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3231515</wp:posOffset>
                </wp:positionH>
                <wp:positionV relativeFrom="paragraph">
                  <wp:posOffset>50800</wp:posOffset>
                </wp:positionV>
                <wp:extent cx="1138555" cy="21717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8555" cy="217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KUPNÍ SMLOUVA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4.44999999999999pt;margin-top:4.pt;width:89.650000000000006pt;height:17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KUPNÍ SMLOUVA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5090160</wp:posOffset>
                </wp:positionH>
                <wp:positionV relativeFrom="paragraph">
                  <wp:posOffset>368300</wp:posOffset>
                </wp:positionV>
                <wp:extent cx="1637030" cy="35179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7030" cy="351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00.80000000000001pt;margin-top:29.pt;width:128.90000000000001pt;height:27.69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Ki‘\A’S&lt;A ^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j;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?ÁVA A ÁDrÚoA SJ.MC VYSOQNY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 586 01 Jihlava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 ředitelem Ing. Janem Míkou, MBA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5725" w:val="left"/>
        </w:tabs>
        <w:bidi w:val="0"/>
        <w:spacing w:before="0" w:after="0" w:line="233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ve věcech obchodních:</w:t>
        <w:tab/>
        <w:t>- vedoucí oddělení správy majetku, tf.: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CZ00090450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446" w:val="left"/>
        </w:tabs>
        <w:bidi w:val="0"/>
        <w:spacing w:before="0" w:after="0" w:line="233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účet:</w:t>
        <w:tab/>
        <w:t>KB, a.s., pobočka Jihlava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33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 a příjmení: ROKA Transport s. r. o.,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 Ústrašín 68, 393 01 Pelhřimov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05662851, DIČ: CZ05662851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 spojení: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23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uzavřeli tuto kupní smlouvu podle § 2079 a násl., zákona č. 89/2012 Sb., Občanský zákoník, ve znění pozdějších předpisů: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Prohlášení prodávajícího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Krajské správě a údržbě silnic Vysočiny, příspěvkové organizaci, dále jen „příspěvková organizace" byl na základě zřizovací listiny schválené usnesením ZK 083/07/01/ZK ze dne 20. 12. 2001 ve znění pozdějších dodatků předán majetek k hospodaření. KSÚSV při prodeji tohoto majetku postupuje v souladu se zásadami ZK Vysočina o vymezení majetkových práv a povinností KSÚSV, příspěvkové organizace zřizované Krajem Vysočina č. 03/19 ze dne 19. 3. 2019.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prodeje uvedeného movitého majetku projednala na svém jednání Rada Kraje Vysočina dne 16. července 2019 a usnesením číslo 1218/21/2019/RK ve kterém rozhodla movitý majetek prodat.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prodeje se prodává kupujícímu za podmínek stanovených v této smlouvě. Prodávající se zavazuje předat předmět prodeje kupujícímu po zaplacení kupní ceny specifikované v této smlouvě s tím, že se sjednává výhrada vlastnického práva prodávajícího až k okamžiku zaplacení kupní ceny kupujícím.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náklady na převod vozidla v registru, včetně přepravy z místa stávajícího umístění v KSÚSV, hradí kupující.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0" w:val="left"/>
        </w:tabs>
        <w:bidi w:val="0"/>
        <w:spacing w:before="0" w:after="60" w:line="233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smlouvy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smlouvy je prodej: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Vibrační válec VV100,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inv. č.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3533214300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7" w:val="left"/>
        </w:tabs>
        <w:bidi w:val="0"/>
        <w:spacing w:before="0" w:after="0" w:line="233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cena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355" w:val="left"/>
          <w:tab w:leader="hyphen" w:pos="4126" w:val="left"/>
          <w:tab w:leader="hyphen" w:pos="5725" w:val="left"/>
        </w:tabs>
        <w:bidi w:val="0"/>
        <w:spacing w:before="0" w:after="22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Kupní cena činí: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60 000,-Kč,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slovy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šedesáttisíc</w:t>
        <w:tab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2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bude zaplacena převodem na výše uvedený účet prodávajícího. Na předmětnou částku bude ze strany prodávajícího vystavena faktura.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7" w:val="left"/>
        </w:tabs>
        <w:bidi w:val="0"/>
        <w:spacing w:before="0" w:after="0" w:line="233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Prohlášení kupujícího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7" w:val="left"/>
        </w:tabs>
        <w:bidi w:val="0"/>
        <w:spacing w:before="0" w:after="0" w:line="23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Kupující se zavazuje zaplatit dohodnutou kupní cenu v termínu do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30.9.2019 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 tomto zaplacení (rozumí se připsání dohodnuté finanční částky na účet prodávajícího), na základě protokolu o předání stroje - zařízení přijímá předmět prodeje do svého výlučného vlastnictví a do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30.11.2019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 předmět prodeje z objektu prodávajícího odveze. Za každý den prodlení s odvozem předmětu prodeje po uvedeném datu uhradí kupující 200,- Kč v hotovosti na pokladně prodávajícího.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7" w:val="left"/>
        </w:tabs>
        <w:bidi w:val="0"/>
        <w:spacing w:before="0" w:after="0" w:line="23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prohlašuje, že byl seznámen se stavem předmětu prodeje, tento si řádně prohlédl a v tomto stavu jej přejímá s tím, že stav vozu odpovídá stavu nabízené aukce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7" w:val="left"/>
        </w:tabs>
        <w:bidi w:val="0"/>
        <w:spacing w:before="0" w:after="0" w:line="233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nesplnění podmínek dle bodu 4a) má prodávající právo od smlouvy odstoupit.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v ostatním řídí příslušnými ustanoveními občanského zákoníku. Je vyhotovena ve dvou výtiscích, z nichž každý má platnost originálu a každá ze stran obdrží jeden výtisk. Prodávající a kupující shodně prohlašují, že si tuto smlouvu před jejím podpisem přečetli, byla uzavřena po vzájemném projednání podle jejich pravé a svobodné vůle, určitě, vážně a srozumitelně, nikoliv v tísni a za nápadně nevýhodných podmínek.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33" w:lineRule="auto"/>
        <w:ind w:left="0" w:right="0" w:firstLine="0"/>
        <w:jc w:val="both"/>
      </w:pPr>
      <w:r>
        <mc:AlternateContent>
          <mc:Choice Requires="wps">
            <w:drawing>
              <wp:anchor distT="351790" distB="342900" distL="114300" distR="2059305" simplePos="0" relativeHeight="125829382" behindDoc="0" locked="0" layoutInCell="1" allowOverlap="1">
                <wp:simplePos x="0" y="0"/>
                <wp:positionH relativeFrom="page">
                  <wp:posOffset>4377055</wp:posOffset>
                </wp:positionH>
                <wp:positionV relativeFrom="paragraph">
                  <wp:posOffset>935990</wp:posOffset>
                </wp:positionV>
                <wp:extent cx="1001395" cy="17843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1395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Ú stra šineš'</w:t>
                            </w:r>
                            <w:r>
                              <w:rPr>
                                <w:color w:val="000000"/>
                                <w:spacing w:val="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cíne: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44.64999999999998pt;margin-top:73.700000000000003pt;width:78.849999999999994pt;height:14.050000000000001pt;z-index:-125829371;mso-wrap-distance-left:9.pt;mso-wrap-distance-top:27.699999999999999pt;mso-wrap-distance-right:162.15000000000001pt;mso-wrap-distance-bottom:27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Ú stra šineš'</w:t>
                      </w:r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1</w:t>
                      </w:r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cíne: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688340" distB="0" distL="384175" distR="2317750" simplePos="0" relativeHeight="125829384" behindDoc="0" locked="0" layoutInCell="1" allowOverlap="1">
                <wp:simplePos x="0" y="0"/>
                <wp:positionH relativeFrom="page">
                  <wp:posOffset>4646930</wp:posOffset>
                </wp:positionH>
                <wp:positionV relativeFrom="paragraph">
                  <wp:posOffset>1272540</wp:posOffset>
                </wp:positionV>
                <wp:extent cx="473075" cy="18542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3075" cy="1854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65.89999999999998pt;margin-top:100.2pt;width:37.25pt;height:14.6pt;z-index:-125829369;mso-wrap-distance-left:30.25pt;mso-wrap-distance-top:54.200000000000003pt;mso-wrap-distance-right:182.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424815" distL="2274570" distR="114300" simplePos="0" relativeHeight="125829386" behindDoc="0" locked="0" layoutInCell="1" allowOverlap="1">
                <wp:simplePos x="0" y="0"/>
                <wp:positionH relativeFrom="page">
                  <wp:posOffset>6537325</wp:posOffset>
                </wp:positionH>
                <wp:positionV relativeFrom="paragraph">
                  <wp:posOffset>584200</wp:posOffset>
                </wp:positionV>
                <wp:extent cx="786130" cy="44831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448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PORT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1U 2C 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14.75pt;margin-top:46.pt;width:61.899999999999999pt;height:35.299999999999997pt;z-index:-125829367;mso-wrap-distance-left:179.09999999999999pt;mso-wrap-distance-right:9.pt;mso-wrap-distance-bottom:33.450000000000003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PORT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1U 2C 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Tato smlouva nabývá platnosti dnem podpisu a účinnosti dnem uveřejnění v informačním systému veřejné správy-Registru smluv. Kupující výslovně souhlasí se zveřejněním celého textu této smlouvy včetně podpisů v informačním systému veřejné správy-Registru smluv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-Příloha: protokol o předání stroje - zařízení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position w:val="0"/>
          <w:shd w:val="clear" w:color="auto" w:fill="auto"/>
          <w:lang w:val="cs-CZ" w:eastAsia="cs-CZ" w:bidi="cs-CZ"/>
        </w:rPr>
        <w:t>V Jihlavě, dne: H. 08. 2019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Prodávající: Ing. Jan Mika, MB&gt;</w:t>
      </w:r>
    </w:p>
    <w:sectPr>
      <w:footnotePr>
        <w:pos w:val="pageBottom"/>
        <w:numFmt w:val="decimal"/>
        <w:numRestart w:val="continuous"/>
      </w:footnotePr>
      <w:pgSz w:w="11900" w:h="16840"/>
      <w:pgMar w:top="405" w:left="503" w:right="471" w:bottom="405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7">
    <w:name w:val="Základní text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 (5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Základní text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FFFFFF"/>
    </w:pPr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after="150"/>
    </w:pPr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 (5)"/>
    <w:basedOn w:val="Normal"/>
    <w:link w:val="CharStyle9"/>
    <w:pPr>
      <w:widowControl w:val="0"/>
      <w:shd w:val="clear" w:color="auto" w:fill="FFFFFF"/>
      <w:spacing w:after="50"/>
      <w:ind w:firstLine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FFFFFF"/>
      <w:spacing w:after="44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