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3B" w:rsidRDefault="00415FAC">
      <w:pPr>
        <w:pStyle w:val="Heading20"/>
        <w:framePr w:w="9149" w:h="342" w:hRule="exact" w:wrap="none" w:vAnchor="page" w:hAnchor="page" w:x="1286" w:y="1475"/>
        <w:shd w:val="clear" w:color="auto" w:fill="auto"/>
        <w:spacing w:after="0"/>
        <w:ind w:right="20" w:firstLine="0"/>
      </w:pPr>
      <w:bookmarkStart w:id="0" w:name="bookmark0"/>
      <w:r>
        <w:t>SMLOUVA O PODNÁJMU NEBYTOVÝCH PROSTOR</w:t>
      </w:r>
      <w:bookmarkEnd w:id="0"/>
    </w:p>
    <w:p w:rsidR="00497A3B" w:rsidRDefault="00415FAC">
      <w:pPr>
        <w:pStyle w:val="Heading20"/>
        <w:framePr w:w="9149" w:h="2544" w:hRule="exact" w:wrap="none" w:vAnchor="page" w:hAnchor="page" w:x="1286" w:y="2038"/>
        <w:shd w:val="clear" w:color="auto" w:fill="auto"/>
        <w:spacing w:after="0" w:line="274" w:lineRule="exact"/>
        <w:ind w:left="420"/>
        <w:jc w:val="both"/>
      </w:pPr>
      <w:bookmarkStart w:id="1" w:name="bookmark1"/>
      <w:r>
        <w:t>Hudební divadlo v Karl</w:t>
      </w:r>
      <w:r w:rsidR="00541109">
        <w:t>í</w:t>
      </w:r>
      <w:r>
        <w:t xml:space="preserve">ně </w:t>
      </w:r>
      <w:r>
        <w:rPr>
          <w:rStyle w:val="Heading2NotBold"/>
        </w:rPr>
        <w:t>p.o.</w:t>
      </w:r>
      <w:bookmarkEnd w:id="1"/>
    </w:p>
    <w:p w:rsidR="00497A3B" w:rsidRDefault="00415FAC">
      <w:pPr>
        <w:pStyle w:val="Bodytext20"/>
        <w:framePr w:w="9149" w:h="2544" w:hRule="exact" w:wrap="none" w:vAnchor="page" w:hAnchor="page" w:x="1286" w:y="2038"/>
        <w:shd w:val="clear" w:color="auto" w:fill="auto"/>
        <w:ind w:left="420"/>
      </w:pPr>
      <w:r>
        <w:t>se sídlem Křižíkova 10, 186 00 Praha 8 - Karlín</w:t>
      </w:r>
    </w:p>
    <w:p w:rsidR="00497A3B" w:rsidRDefault="00415FAC">
      <w:pPr>
        <w:pStyle w:val="Bodytext20"/>
        <w:framePr w:w="9149" w:h="2544" w:hRule="exact" w:wrap="none" w:vAnchor="page" w:hAnchor="page" w:x="1286" w:y="2038"/>
        <w:shd w:val="clear" w:color="auto" w:fill="auto"/>
        <w:ind w:left="420"/>
      </w:pPr>
      <w:r>
        <w:t>jednající panem Egonem Kulhánkem, ředitelem HDK</w:t>
      </w:r>
    </w:p>
    <w:p w:rsidR="00497A3B" w:rsidRDefault="00415FAC">
      <w:pPr>
        <w:pStyle w:val="Bodytext20"/>
        <w:framePr w:w="9149" w:h="2544" w:hRule="exact" w:wrap="none" w:vAnchor="page" w:hAnchor="page" w:x="1286" w:y="2038"/>
        <w:shd w:val="clear" w:color="auto" w:fill="auto"/>
        <w:ind w:left="420"/>
      </w:pPr>
      <w:r>
        <w:t>IČ: 00064335, DIČ: CZ00064335</w:t>
      </w:r>
    </w:p>
    <w:p w:rsidR="00497A3B" w:rsidRDefault="00415FAC">
      <w:pPr>
        <w:pStyle w:val="Bodytext20"/>
        <w:framePr w:w="9149" w:h="2544" w:hRule="exact" w:wrap="none" w:vAnchor="page" w:hAnchor="page" w:x="1286" w:y="2038"/>
        <w:shd w:val="clear" w:color="auto" w:fill="auto"/>
        <w:spacing w:after="285"/>
        <w:ind w:left="420"/>
      </w:pPr>
      <w:r>
        <w:t>bankovní spojení: KB, a.s., č.ú.: 431512190287/0100</w:t>
      </w:r>
    </w:p>
    <w:p w:rsidR="00497A3B" w:rsidRDefault="00415FAC">
      <w:pPr>
        <w:pStyle w:val="Bodytext30"/>
        <w:framePr w:w="9149" w:h="2544" w:hRule="exact" w:wrap="none" w:vAnchor="page" w:hAnchor="page" w:x="1286" w:y="2038"/>
        <w:shd w:val="clear" w:color="auto" w:fill="auto"/>
        <w:spacing w:before="0"/>
        <w:ind w:left="420"/>
      </w:pPr>
      <w:r>
        <w:rPr>
          <w:rStyle w:val="Bodytext3NotBoldNotItalic"/>
        </w:rPr>
        <w:t xml:space="preserve">(dále jen </w:t>
      </w:r>
      <w:r>
        <w:t>„divadlo")</w:t>
      </w:r>
    </w:p>
    <w:p w:rsidR="00497A3B" w:rsidRDefault="00415FAC">
      <w:pPr>
        <w:pStyle w:val="Bodytext20"/>
        <w:framePr w:w="9149" w:h="2544" w:hRule="exact" w:wrap="none" w:vAnchor="page" w:hAnchor="page" w:x="1286" w:y="2038"/>
        <w:shd w:val="clear" w:color="auto" w:fill="auto"/>
        <w:spacing w:line="268" w:lineRule="exact"/>
        <w:ind w:left="420"/>
      </w:pPr>
      <w:r>
        <w:t>a</w:t>
      </w:r>
    </w:p>
    <w:p w:rsidR="00541109" w:rsidRDefault="00541109" w:rsidP="00541109">
      <w:pPr>
        <w:pStyle w:val="Bodytext40"/>
        <w:framePr w:w="9149" w:h="1996" w:hRule="exact" w:wrap="none" w:vAnchor="page" w:hAnchor="page" w:x="1286" w:y="4696"/>
        <w:shd w:val="clear" w:color="auto" w:fill="auto"/>
        <w:spacing w:before="0"/>
        <w:ind w:left="420"/>
        <w:rPr>
          <w:rFonts w:ascii="Arial" w:hAnsi="Arial" w:cs="Arial"/>
          <w:sz w:val="24"/>
          <w:szCs w:val="24"/>
        </w:rPr>
      </w:pPr>
    </w:p>
    <w:p w:rsidR="00497A3B" w:rsidRPr="00541109" w:rsidRDefault="00541109" w:rsidP="00541109">
      <w:pPr>
        <w:pStyle w:val="Bodytext40"/>
        <w:framePr w:w="9149" w:h="1996" w:hRule="exact" w:wrap="none" w:vAnchor="page" w:hAnchor="page" w:x="1286" w:y="4696"/>
        <w:shd w:val="clear" w:color="auto" w:fill="auto"/>
        <w:spacing w:before="0"/>
        <w:ind w:left="420"/>
        <w:rPr>
          <w:rFonts w:ascii="Arial" w:hAnsi="Arial" w:cs="Arial"/>
          <w:sz w:val="22"/>
          <w:szCs w:val="22"/>
        </w:rPr>
      </w:pPr>
      <w:r w:rsidRPr="00541109">
        <w:rPr>
          <w:rFonts w:ascii="Arial" w:hAnsi="Arial" w:cs="Arial"/>
          <w:sz w:val="22"/>
          <w:szCs w:val="22"/>
        </w:rPr>
        <w:t>O</w:t>
      </w:r>
      <w:r w:rsidR="00415FAC" w:rsidRPr="00541109">
        <w:rPr>
          <w:rFonts w:ascii="Arial" w:hAnsi="Arial" w:cs="Arial"/>
          <w:sz w:val="22"/>
          <w:szCs w:val="22"/>
        </w:rPr>
        <w:t>bchodní firma: Goodmind s.r.o.</w:t>
      </w:r>
    </w:p>
    <w:p w:rsidR="00497A3B" w:rsidRPr="00541109" w:rsidRDefault="00415FAC" w:rsidP="00541109">
      <w:pPr>
        <w:pStyle w:val="Bodytext50"/>
        <w:framePr w:w="9149" w:h="1996" w:hRule="exact" w:wrap="none" w:vAnchor="page" w:hAnchor="page" w:x="1286" w:y="4696"/>
        <w:shd w:val="clear" w:color="auto" w:fill="auto"/>
        <w:spacing w:before="0" w:after="56"/>
        <w:ind w:left="420"/>
        <w:rPr>
          <w:b w:val="0"/>
          <w:sz w:val="20"/>
          <w:szCs w:val="20"/>
        </w:rPr>
      </w:pPr>
      <w:r w:rsidRPr="00541109">
        <w:rPr>
          <w:rStyle w:val="Bodytext51"/>
          <w:bCs/>
          <w:sz w:val="20"/>
          <w:szCs w:val="20"/>
        </w:rPr>
        <w:t xml:space="preserve">se sídlem: </w:t>
      </w:r>
      <w:r w:rsidR="00541109" w:rsidRPr="00541109">
        <w:rPr>
          <w:rStyle w:val="Bodytext51"/>
          <w:bCs/>
          <w:sz w:val="20"/>
          <w:szCs w:val="20"/>
        </w:rPr>
        <w:t>R</w:t>
      </w:r>
      <w:r w:rsidRPr="00541109">
        <w:rPr>
          <w:b w:val="0"/>
          <w:sz w:val="20"/>
          <w:szCs w:val="20"/>
        </w:rPr>
        <w:t>ybná 716/24 Staré Město 110 00 Praha</w:t>
      </w:r>
    </w:p>
    <w:p w:rsidR="00497A3B" w:rsidRPr="00541109" w:rsidRDefault="00415FAC" w:rsidP="00541109">
      <w:pPr>
        <w:pStyle w:val="Bodytext50"/>
        <w:framePr w:w="9149" w:h="1996" w:hRule="exact" w:wrap="none" w:vAnchor="page" w:hAnchor="page" w:x="1286" w:y="4696"/>
        <w:shd w:val="clear" w:color="auto" w:fill="auto"/>
        <w:spacing w:before="0" w:after="0" w:line="245" w:lineRule="exact"/>
        <w:ind w:left="420"/>
        <w:rPr>
          <w:b w:val="0"/>
          <w:sz w:val="20"/>
          <w:szCs w:val="20"/>
        </w:rPr>
      </w:pPr>
      <w:r w:rsidRPr="00541109">
        <w:rPr>
          <w:rStyle w:val="Bodytext51"/>
          <w:bCs/>
          <w:sz w:val="20"/>
          <w:szCs w:val="20"/>
        </w:rPr>
        <w:t xml:space="preserve">IČ:/ DIČ: </w:t>
      </w:r>
      <w:r w:rsidRPr="00541109">
        <w:rPr>
          <w:b w:val="0"/>
          <w:sz w:val="20"/>
          <w:szCs w:val="20"/>
        </w:rPr>
        <w:t>24315494/ CZ24315494</w:t>
      </w:r>
    </w:p>
    <w:p w:rsidR="00497A3B" w:rsidRPr="00541109" w:rsidRDefault="00415FAC" w:rsidP="00541109">
      <w:pPr>
        <w:pStyle w:val="Bodytext50"/>
        <w:framePr w:w="9149" w:h="1996" w:hRule="exact" w:wrap="none" w:vAnchor="page" w:hAnchor="page" w:x="1286" w:y="4696"/>
        <w:shd w:val="clear" w:color="auto" w:fill="auto"/>
        <w:spacing w:before="0" w:after="0" w:line="245" w:lineRule="exact"/>
        <w:ind w:left="420"/>
        <w:rPr>
          <w:b w:val="0"/>
          <w:sz w:val="20"/>
          <w:szCs w:val="20"/>
        </w:rPr>
      </w:pPr>
      <w:r w:rsidRPr="00541109">
        <w:rPr>
          <w:b w:val="0"/>
          <w:sz w:val="20"/>
          <w:szCs w:val="20"/>
        </w:rPr>
        <w:t>zapsaná v obchodním rejstříku: vedeném Městským soudem v Praze, oddíl C, vložka 195787</w:t>
      </w:r>
    </w:p>
    <w:p w:rsidR="00497A3B" w:rsidRPr="00541109" w:rsidRDefault="00415FAC" w:rsidP="00541109">
      <w:pPr>
        <w:pStyle w:val="Bodytext60"/>
        <w:framePr w:w="9149" w:h="1996" w:hRule="exact" w:wrap="none" w:vAnchor="page" w:hAnchor="page" w:x="1286" w:y="4696"/>
        <w:shd w:val="clear" w:color="auto" w:fill="auto"/>
        <w:ind w:left="420"/>
        <w:rPr>
          <w:b w:val="0"/>
          <w:sz w:val="20"/>
          <w:szCs w:val="20"/>
        </w:rPr>
      </w:pPr>
      <w:r w:rsidRPr="00541109">
        <w:rPr>
          <w:b w:val="0"/>
          <w:sz w:val="20"/>
          <w:szCs w:val="20"/>
        </w:rPr>
        <w:t>kterou zastupuje: Mgr. Petr Svoboda</w:t>
      </w:r>
    </w:p>
    <w:p w:rsidR="00497A3B" w:rsidRPr="00541109" w:rsidRDefault="00415FAC" w:rsidP="00541109">
      <w:pPr>
        <w:pStyle w:val="Bodytext60"/>
        <w:framePr w:w="9149" w:h="1996" w:hRule="exact" w:wrap="none" w:vAnchor="page" w:hAnchor="page" w:x="1286" w:y="4696"/>
        <w:shd w:val="clear" w:color="auto" w:fill="auto"/>
        <w:ind w:left="420"/>
        <w:rPr>
          <w:b w:val="0"/>
          <w:sz w:val="20"/>
          <w:szCs w:val="20"/>
        </w:rPr>
      </w:pPr>
      <w:r w:rsidRPr="00541109">
        <w:rPr>
          <w:b w:val="0"/>
          <w:sz w:val="20"/>
          <w:szCs w:val="20"/>
        </w:rPr>
        <w:t>bankovní spojení: 5491394309/0800 u České Spořitelny a.s.</w:t>
      </w:r>
    </w:p>
    <w:p w:rsidR="00497A3B" w:rsidRDefault="00415FAC">
      <w:pPr>
        <w:pStyle w:val="Bodytext30"/>
        <w:framePr w:w="9149" w:h="7721" w:hRule="exact" w:wrap="none" w:vAnchor="page" w:hAnchor="page" w:x="1286" w:y="7532"/>
        <w:shd w:val="clear" w:color="auto" w:fill="auto"/>
        <w:spacing w:before="0" w:after="0" w:line="552" w:lineRule="exact"/>
        <w:ind w:left="420"/>
      </w:pPr>
      <w:r>
        <w:rPr>
          <w:rStyle w:val="Bodytext3NotBoldNotItalic"/>
        </w:rPr>
        <w:t>(dále jen „</w:t>
      </w:r>
      <w:r>
        <w:t>společnost")</w:t>
      </w:r>
    </w:p>
    <w:p w:rsidR="00497A3B" w:rsidRDefault="00415FAC">
      <w:pPr>
        <w:pStyle w:val="Bodytext20"/>
        <w:framePr w:w="9149" w:h="7721" w:hRule="exact" w:wrap="none" w:vAnchor="page" w:hAnchor="page" w:x="1286" w:y="7532"/>
        <w:shd w:val="clear" w:color="auto" w:fill="auto"/>
        <w:spacing w:line="552" w:lineRule="exact"/>
        <w:ind w:left="420"/>
      </w:pPr>
      <w:r>
        <w:t>uzavřená níže uvedeného dne, měsíce a roku tuto</w:t>
      </w:r>
    </w:p>
    <w:p w:rsidR="00497A3B" w:rsidRDefault="00415FAC">
      <w:pPr>
        <w:pStyle w:val="Heading20"/>
        <w:framePr w:w="9149" w:h="7721" w:hRule="exact" w:wrap="none" w:vAnchor="page" w:hAnchor="page" w:x="1286" w:y="7532"/>
        <w:shd w:val="clear" w:color="auto" w:fill="auto"/>
        <w:spacing w:after="0" w:line="552" w:lineRule="exact"/>
        <w:ind w:right="20" w:firstLine="0"/>
      </w:pPr>
      <w:bookmarkStart w:id="2" w:name="bookmark2"/>
      <w:r>
        <w:t>smlouvy o podnájmu nebytových prostor:</w:t>
      </w:r>
      <w:bookmarkEnd w:id="2"/>
    </w:p>
    <w:p w:rsidR="00497A3B" w:rsidRDefault="00415FAC">
      <w:pPr>
        <w:pStyle w:val="Heading20"/>
        <w:framePr w:w="9149" w:h="7721" w:hRule="exact" w:wrap="none" w:vAnchor="page" w:hAnchor="page" w:x="1286" w:y="7532"/>
        <w:shd w:val="clear" w:color="auto" w:fill="auto"/>
        <w:spacing w:after="0" w:line="552" w:lineRule="exact"/>
        <w:ind w:left="4340" w:firstLine="0"/>
        <w:jc w:val="left"/>
      </w:pPr>
      <w:bookmarkStart w:id="3" w:name="bookmark3"/>
      <w:r>
        <w:t>Preambule</w:t>
      </w:r>
      <w:bookmarkEnd w:id="3"/>
    </w:p>
    <w:p w:rsidR="00497A3B" w:rsidRDefault="00415FAC">
      <w:pPr>
        <w:pStyle w:val="Bodytext20"/>
        <w:framePr w:w="9149" w:h="7721" w:hRule="exact" w:wrap="none" w:vAnchor="page" w:hAnchor="page" w:x="1286" w:y="7532"/>
        <w:shd w:val="clear" w:color="auto" w:fill="auto"/>
        <w:spacing w:after="285"/>
        <w:ind w:firstLine="0"/>
      </w:pPr>
      <w:r>
        <w:t>Divadlo je oprávněno přenechat společnosti nebytové prostory uvedené níže do užívání na základě "Nájemní smlouvy č. NAN/58//01/009617/2006" ze dne 9.10.2006 uzavřené mezi Hlavním městem Praha a Hudebním divadlem v Karl</w:t>
      </w:r>
      <w:r w:rsidR="00541109">
        <w:t>í</w:t>
      </w:r>
      <w:r>
        <w:t>ně, p.o.</w:t>
      </w:r>
    </w:p>
    <w:p w:rsidR="00497A3B" w:rsidRDefault="00415FAC">
      <w:pPr>
        <w:pStyle w:val="Heading20"/>
        <w:framePr w:w="9149" w:h="7721" w:hRule="exact" w:wrap="none" w:vAnchor="page" w:hAnchor="page" w:x="1286" w:y="7532"/>
        <w:shd w:val="clear" w:color="auto" w:fill="auto"/>
        <w:spacing w:after="0"/>
        <w:ind w:left="4340" w:firstLine="0"/>
        <w:jc w:val="left"/>
      </w:pPr>
      <w:bookmarkStart w:id="4" w:name="bookmark4"/>
      <w:r>
        <w:t>ČI. I.</w:t>
      </w:r>
      <w:bookmarkEnd w:id="4"/>
    </w:p>
    <w:p w:rsidR="00497A3B" w:rsidRDefault="00415FAC">
      <w:pPr>
        <w:pStyle w:val="Heading20"/>
        <w:framePr w:w="9149" w:h="7721" w:hRule="exact" w:wrap="none" w:vAnchor="page" w:hAnchor="page" w:x="1286" w:y="7532"/>
        <w:shd w:val="clear" w:color="auto" w:fill="auto"/>
        <w:spacing w:after="276"/>
        <w:ind w:right="20" w:firstLine="0"/>
      </w:pPr>
      <w:bookmarkStart w:id="5" w:name="bookmark5"/>
      <w:r>
        <w:t>Předmět smlouvy</w:t>
      </w:r>
      <w:bookmarkEnd w:id="5"/>
    </w:p>
    <w:p w:rsidR="00497A3B" w:rsidRDefault="00415FAC">
      <w:pPr>
        <w:pStyle w:val="Bodytext20"/>
        <w:framePr w:w="9149" w:h="7721" w:hRule="exact" w:wrap="none" w:vAnchor="page" w:hAnchor="page" w:x="1286" w:y="7532"/>
        <w:numPr>
          <w:ilvl w:val="0"/>
          <w:numId w:val="1"/>
        </w:numPr>
        <w:shd w:val="clear" w:color="auto" w:fill="auto"/>
        <w:tabs>
          <w:tab w:val="left" w:pos="367"/>
        </w:tabs>
        <w:spacing w:after="280"/>
        <w:ind w:left="420"/>
      </w:pPr>
      <w:r>
        <w:t xml:space="preserve">Divadlo touto podnájemní smlouvou přenechává společnosti do užívání nebytové prostory divadla za účelem natáčení celovečerního filmu </w:t>
      </w:r>
      <w:r>
        <w:rPr>
          <w:rStyle w:val="Bodytext2BoldItalic"/>
        </w:rPr>
        <w:t>Mstitel</w:t>
      </w:r>
      <w:r>
        <w:t xml:space="preserve"> (dále jen </w:t>
      </w:r>
      <w:r>
        <w:rPr>
          <w:rStyle w:val="Bodytext2BoldItalic"/>
        </w:rPr>
        <w:t>„akce").</w:t>
      </w:r>
    </w:p>
    <w:p w:rsidR="00497A3B" w:rsidRDefault="00415FAC">
      <w:pPr>
        <w:pStyle w:val="Bodytext20"/>
        <w:framePr w:w="9149" w:h="7721" w:hRule="exact" w:wrap="none" w:vAnchor="page" w:hAnchor="page" w:x="1286" w:y="7532"/>
        <w:numPr>
          <w:ilvl w:val="0"/>
          <w:numId w:val="1"/>
        </w:numPr>
        <w:shd w:val="clear" w:color="auto" w:fill="auto"/>
        <w:tabs>
          <w:tab w:val="left" w:pos="368"/>
        </w:tabs>
        <w:spacing w:after="280"/>
        <w:ind w:left="420"/>
      </w:pPr>
      <w:r>
        <w:t>Doba podnájmu se sjednává na období od 12/8 2019 od 00:00 do 17/8 2019 do 23:59. Harmonogram akce a pronajaté prostory jsou přílohou smlouvy č. 1.</w:t>
      </w:r>
    </w:p>
    <w:p w:rsidR="00497A3B" w:rsidRDefault="00415FAC">
      <w:pPr>
        <w:pStyle w:val="Bodytext20"/>
        <w:framePr w:w="9149" w:h="7721" w:hRule="exact" w:wrap="none" w:vAnchor="page" w:hAnchor="page" w:x="1286" w:y="7532"/>
        <w:numPr>
          <w:ilvl w:val="0"/>
          <w:numId w:val="1"/>
        </w:numPr>
        <w:shd w:val="clear" w:color="auto" w:fill="auto"/>
        <w:tabs>
          <w:tab w:val="left" w:pos="368"/>
        </w:tabs>
        <w:ind w:left="420"/>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w:t>
      </w:r>
    </w:p>
    <w:p w:rsidR="00497A3B" w:rsidRDefault="00497A3B">
      <w:pPr>
        <w:rPr>
          <w:sz w:val="2"/>
          <w:szCs w:val="2"/>
        </w:rPr>
        <w:sectPr w:rsidR="00497A3B">
          <w:pgSz w:w="11900" w:h="16840"/>
          <w:pgMar w:top="360" w:right="360" w:bottom="360" w:left="360" w:header="0" w:footer="3" w:gutter="0"/>
          <w:cols w:space="720"/>
          <w:noEndnote/>
          <w:docGrid w:linePitch="360"/>
        </w:sectPr>
      </w:pPr>
    </w:p>
    <w:p w:rsidR="00497A3B" w:rsidRDefault="00415FAC">
      <w:pPr>
        <w:pStyle w:val="Bodytext20"/>
        <w:framePr w:w="9154" w:h="1988" w:hRule="exact" w:wrap="none" w:vAnchor="page" w:hAnchor="page" w:x="1284" w:y="1410"/>
        <w:shd w:val="clear" w:color="auto" w:fill="auto"/>
        <w:tabs>
          <w:tab w:val="left" w:pos="368"/>
        </w:tabs>
        <w:spacing w:after="280"/>
        <w:ind w:left="420"/>
      </w:pPr>
      <w:r>
        <w:lastRenderedPageBreak/>
        <w:t>podpisu předávacího protokolu oběma smluvními stranami nebude společnosti umožněn vstup do prostor divadla. Předávací protokol je přílohou smlouvy č. 2.</w:t>
      </w:r>
    </w:p>
    <w:p w:rsidR="00497A3B" w:rsidRDefault="00415FAC">
      <w:pPr>
        <w:pStyle w:val="Bodytext20"/>
        <w:framePr w:w="9154" w:h="1988" w:hRule="exact" w:wrap="none" w:vAnchor="page" w:hAnchor="page" w:x="1284" w:y="1410"/>
        <w:numPr>
          <w:ilvl w:val="0"/>
          <w:numId w:val="1"/>
        </w:numPr>
        <w:shd w:val="clear" w:color="auto" w:fill="auto"/>
        <w:tabs>
          <w:tab w:val="left" w:pos="358"/>
        </w:tabs>
        <w:ind w:left="420"/>
      </w:pPr>
      <w:r>
        <w:t>Společnost je oprávněna užít prostory pouze za účelem uvedeným v odst. 1. tohoto článku. Činnost společnosti bude spočívat především ve stavbě scény a technologií, přípravě, nasvícení, natočení videoklipu a zbouraní scény a technologií.</w:t>
      </w:r>
    </w:p>
    <w:p w:rsidR="00497A3B" w:rsidRDefault="00415FAC">
      <w:pPr>
        <w:pStyle w:val="Heading20"/>
        <w:framePr w:w="9154" w:h="10819" w:hRule="exact" w:wrap="none" w:vAnchor="page" w:hAnchor="page" w:x="1284" w:y="3607"/>
        <w:shd w:val="clear" w:color="auto" w:fill="auto"/>
        <w:spacing w:after="0"/>
        <w:ind w:firstLine="0"/>
      </w:pPr>
      <w:bookmarkStart w:id="6" w:name="bookmark6"/>
      <w:r>
        <w:t>ČI. II.</w:t>
      </w:r>
      <w:bookmarkEnd w:id="6"/>
    </w:p>
    <w:p w:rsidR="00497A3B" w:rsidRDefault="00415FAC">
      <w:pPr>
        <w:pStyle w:val="Heading20"/>
        <w:framePr w:w="9154" w:h="10819" w:hRule="exact" w:wrap="none" w:vAnchor="page" w:hAnchor="page" w:x="1284" w:y="3607"/>
        <w:shd w:val="clear" w:color="auto" w:fill="auto"/>
        <w:spacing w:after="276"/>
        <w:ind w:firstLine="0"/>
      </w:pPr>
      <w:bookmarkStart w:id="7" w:name="bookmark7"/>
      <w:r>
        <w:t>Práva a povinnosti smluvních stran</w:t>
      </w:r>
      <w:bookmarkEnd w:id="7"/>
    </w:p>
    <w:p w:rsidR="00497A3B" w:rsidRDefault="00415FAC" w:rsidP="00541109">
      <w:pPr>
        <w:pStyle w:val="Bodytext20"/>
        <w:framePr w:w="9154" w:h="10819" w:hRule="exact" w:wrap="none" w:vAnchor="page" w:hAnchor="page" w:x="1284" w:y="3607"/>
        <w:numPr>
          <w:ilvl w:val="0"/>
          <w:numId w:val="2"/>
        </w:numPr>
        <w:shd w:val="clear" w:color="auto" w:fill="auto"/>
        <w:tabs>
          <w:tab w:val="left" w:pos="358"/>
        </w:tabs>
        <w:spacing w:after="280"/>
        <w:ind w:left="420"/>
        <w:jc w:val="left"/>
      </w:pPr>
      <w:r>
        <w:t xml:space="preserve">Společnost smí používat a obsluhovat technická zařízení a vybavení najímaných prostor pouze v souladu s pokyny nebo za účasti osoby pověřené divadlem. Za tímto účelem je tato osoba divadlem určena </w:t>
      </w:r>
      <w:r w:rsidR="00E467F4">
        <w:rPr>
          <w:rStyle w:val="Bodytext2Bold"/>
        </w:rPr>
        <w:t>xxx</w:t>
      </w:r>
      <w:r>
        <w:rPr>
          <w:rStyle w:val="Bodytext2Bold"/>
        </w:rPr>
        <w:t xml:space="preserve">. </w:t>
      </w:r>
      <w:r>
        <w:t xml:space="preserve">Společnost je povinna dodržovat bezpečnostní a požární předpisy spojené s provozem budovy, ve které jsou umístěny prostory (dále jen </w:t>
      </w:r>
      <w:r>
        <w:rPr>
          <w:rStyle w:val="Bodytext2BoldItalic"/>
        </w:rPr>
        <w:t>„budova"),</w:t>
      </w:r>
      <w:r>
        <w:t xml:space="preserve"> a zařízení uvedených </w:t>
      </w:r>
      <w:r>
        <w:rPr>
          <w:rStyle w:val="Bodytext2Spacing2pt"/>
        </w:rPr>
        <w:t>vč</w:t>
      </w:r>
      <w:r w:rsidR="00541109">
        <w:rPr>
          <w:rStyle w:val="Bodytext2Spacing2pt"/>
        </w:rPr>
        <w:t>l. I.1</w:t>
      </w:r>
      <w:r>
        <w:t xml:space="preserve"> s nimiž byla divadlem seznámena. Požární směrnice, Požární evakuační plán, BOZP + Požární řád + rizika a Prohlášení odpovědné osoby jsou přílohami smlouvy č. 3, 4, 5, 6.</w:t>
      </w:r>
    </w:p>
    <w:p w:rsidR="00497A3B" w:rsidRDefault="00415FAC">
      <w:pPr>
        <w:pStyle w:val="Bodytext20"/>
        <w:framePr w:w="9154" w:h="10819" w:hRule="exact" w:wrap="none" w:vAnchor="page" w:hAnchor="page" w:x="1284" w:y="3607"/>
        <w:numPr>
          <w:ilvl w:val="0"/>
          <w:numId w:val="2"/>
        </w:numPr>
        <w:shd w:val="clear" w:color="auto" w:fill="auto"/>
        <w:tabs>
          <w:tab w:val="left" w:pos="358"/>
        </w:tabs>
        <w:spacing w:after="285"/>
        <w:ind w:left="420"/>
      </w:pPr>
      <w:r>
        <w:t xml:space="preserve">Společnost se zavazuje prostřednictvím svého zástupce zajistit řádnou, průběžnou a kvalifikovanou komunikaci mezi společností a zaměstnancem divadla. Kvalifikovaným zástupcem společnosti je: </w:t>
      </w:r>
      <w:r w:rsidR="00E467F4">
        <w:rPr>
          <w:rStyle w:val="Bodytext21"/>
        </w:rPr>
        <w:t>xxx</w:t>
      </w:r>
    </w:p>
    <w:p w:rsidR="00497A3B" w:rsidRDefault="00415FAC">
      <w:pPr>
        <w:pStyle w:val="Bodytext20"/>
        <w:framePr w:w="9154" w:h="10819" w:hRule="exact" w:wrap="none" w:vAnchor="page" w:hAnchor="page" w:x="1284" w:y="3607"/>
        <w:numPr>
          <w:ilvl w:val="0"/>
          <w:numId w:val="2"/>
        </w:numPr>
        <w:shd w:val="clear" w:color="auto" w:fill="auto"/>
        <w:tabs>
          <w:tab w:val="left" w:pos="358"/>
        </w:tabs>
        <w:spacing w:after="276" w:line="268" w:lineRule="exact"/>
        <w:ind w:left="420"/>
      </w:pPr>
      <w:r>
        <w:t>Společnost není oprávněna dát prostory do užívání třetí osobě.</w:t>
      </w:r>
    </w:p>
    <w:p w:rsidR="00497A3B" w:rsidRDefault="00415FAC">
      <w:pPr>
        <w:pStyle w:val="Bodytext20"/>
        <w:framePr w:w="9154" w:h="10819" w:hRule="exact" w:wrap="none" w:vAnchor="page" w:hAnchor="page" w:x="1284" w:y="3607"/>
        <w:numPr>
          <w:ilvl w:val="0"/>
          <w:numId w:val="2"/>
        </w:numPr>
        <w:shd w:val="clear" w:color="auto" w:fill="auto"/>
        <w:tabs>
          <w:tab w:val="left" w:pos="358"/>
        </w:tabs>
        <w:spacing w:after="280"/>
        <w:ind w:left="420"/>
      </w:pPr>
      <w:r>
        <w:t>Divadlo neodpovídá za škodu na věcech, které byly společností, resp. třetími osobami v době trvání podnájmu dle této smlouvy do prostor či do budovy vneseny, ledaže takovou škodu způsobí divadlo.</w:t>
      </w:r>
    </w:p>
    <w:p w:rsidR="00497A3B" w:rsidRDefault="00415FAC">
      <w:pPr>
        <w:pStyle w:val="Bodytext20"/>
        <w:framePr w:w="9154" w:h="10819" w:hRule="exact" w:wrap="none" w:vAnchor="page" w:hAnchor="page" w:x="1284" w:y="3607"/>
        <w:numPr>
          <w:ilvl w:val="0"/>
          <w:numId w:val="2"/>
        </w:numPr>
        <w:shd w:val="clear" w:color="auto" w:fill="auto"/>
        <w:tabs>
          <w:tab w:val="left" w:pos="358"/>
        </w:tabs>
        <w:spacing w:after="280"/>
        <w:ind w:left="420"/>
      </w:pPr>
      <w:r>
        <w:t>Společnost odpovídá za škody vzniklé divadlu nebo třetí osobě v době trvání podnájmu dle této smlouvy, zejména za škody způsobené v důsledku instalace dekorací umístěných v prostorách v souvislosti s provozováním akce.</w:t>
      </w:r>
    </w:p>
    <w:p w:rsidR="00497A3B" w:rsidRDefault="00415FAC">
      <w:pPr>
        <w:pStyle w:val="Bodytext20"/>
        <w:framePr w:w="9154" w:h="10819" w:hRule="exact" w:wrap="none" w:vAnchor="page" w:hAnchor="page" w:x="1284" w:y="3607"/>
        <w:numPr>
          <w:ilvl w:val="0"/>
          <w:numId w:val="2"/>
        </w:numPr>
        <w:shd w:val="clear" w:color="auto" w:fill="auto"/>
        <w:tabs>
          <w:tab w:val="left" w:pos="358"/>
        </w:tabs>
        <w:spacing w:after="280"/>
        <w:ind w:left="420"/>
      </w:pPr>
      <w:r>
        <w:t>Společnost se zavazuje učinit veškerá opatření k</w:t>
      </w:r>
      <w:r w:rsidR="00541109">
        <w:t xml:space="preserve"> </w:t>
      </w:r>
      <w:r>
        <w:t>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rsidR="00497A3B" w:rsidRDefault="00415FAC">
      <w:pPr>
        <w:pStyle w:val="Bodytext20"/>
        <w:framePr w:w="9154" w:h="10819" w:hRule="exact" w:wrap="none" w:vAnchor="page" w:hAnchor="page" w:x="1284" w:y="3607"/>
        <w:numPr>
          <w:ilvl w:val="0"/>
          <w:numId w:val="2"/>
        </w:numPr>
        <w:shd w:val="clear" w:color="auto" w:fill="auto"/>
        <w:tabs>
          <w:tab w:val="left" w:pos="358"/>
        </w:tabs>
        <w:ind w:left="420"/>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rsidR="00497A3B" w:rsidRDefault="00497A3B">
      <w:pPr>
        <w:rPr>
          <w:sz w:val="2"/>
          <w:szCs w:val="2"/>
        </w:rPr>
        <w:sectPr w:rsidR="00497A3B">
          <w:pgSz w:w="11900" w:h="16840"/>
          <w:pgMar w:top="360" w:right="360" w:bottom="360" w:left="360" w:header="0" w:footer="3" w:gutter="0"/>
          <w:cols w:space="720"/>
          <w:noEndnote/>
          <w:docGrid w:linePitch="360"/>
        </w:sectPr>
      </w:pPr>
    </w:p>
    <w:p w:rsidR="00497A3B" w:rsidRDefault="00415FAC">
      <w:pPr>
        <w:pStyle w:val="Bodytext20"/>
        <w:framePr w:w="9154" w:h="13844" w:hRule="exact" w:wrap="none" w:vAnchor="page" w:hAnchor="page" w:x="1284" w:y="1410"/>
        <w:numPr>
          <w:ilvl w:val="0"/>
          <w:numId w:val="2"/>
        </w:numPr>
        <w:shd w:val="clear" w:color="auto" w:fill="auto"/>
        <w:tabs>
          <w:tab w:val="left" w:pos="377"/>
          <w:tab w:val="left" w:pos="1847"/>
          <w:tab w:val="left" w:pos="3978"/>
          <w:tab w:val="left" w:pos="5015"/>
          <w:tab w:val="left" w:pos="6412"/>
          <w:tab w:val="left" w:pos="8360"/>
        </w:tabs>
        <w:ind w:left="420"/>
      </w:pPr>
      <w:r>
        <w:lastRenderedPageBreak/>
        <w:t>Společnost</w:t>
      </w:r>
      <w:r>
        <w:tab/>
        <w:t>zajistí na vlastní</w:t>
      </w:r>
      <w:r>
        <w:tab/>
        <w:t>náklady</w:t>
      </w:r>
      <w:r>
        <w:tab/>
        <w:t>dostatečné</w:t>
      </w:r>
      <w:r>
        <w:tab/>
        <w:t>množství osob</w:t>
      </w:r>
      <w:r>
        <w:tab/>
        <w:t>(mimo</w:t>
      </w:r>
    </w:p>
    <w:p w:rsidR="00497A3B" w:rsidRDefault="00415FAC">
      <w:pPr>
        <w:pStyle w:val="Bodytext20"/>
        <w:framePr w:w="9154" w:h="13844" w:hRule="exact" w:wrap="none" w:vAnchor="page" w:hAnchor="page" w:x="1284" w:y="1410"/>
        <w:shd w:val="clear" w:color="auto" w:fill="auto"/>
        <w:spacing w:after="280"/>
        <w:ind w:left="420" w:firstLine="0"/>
      </w:pPr>
      <w:r>
        <w:t>zaměstnanců divadla) pro manipulaci s předměty společnosti v prostorech mimo velkého divadelního sálu, a to v době přípravy akce, v průběhu konání akce, po ukončení akce, až do doby vyklizení prostor společností.</w:t>
      </w:r>
    </w:p>
    <w:p w:rsidR="00497A3B" w:rsidRDefault="00415FAC">
      <w:pPr>
        <w:pStyle w:val="Bodytext20"/>
        <w:framePr w:w="9154" w:h="13844" w:hRule="exact" w:wrap="none" w:vAnchor="page" w:hAnchor="page" w:x="1284" w:y="1410"/>
        <w:numPr>
          <w:ilvl w:val="0"/>
          <w:numId w:val="2"/>
        </w:numPr>
        <w:shd w:val="clear" w:color="auto" w:fill="auto"/>
        <w:tabs>
          <w:tab w:val="left" w:pos="377"/>
        </w:tabs>
        <w:ind w:left="420"/>
      </w:pPr>
      <w:r>
        <w:t>Společnost není oprávněna vylepovat jakékoli materiály na venkovní a vnitřní zdi,</w:t>
      </w:r>
    </w:p>
    <w:p w:rsidR="00497A3B" w:rsidRDefault="00415FAC">
      <w:pPr>
        <w:pStyle w:val="Bodytext20"/>
        <w:framePr w:w="9154" w:h="13844" w:hRule="exact" w:wrap="none" w:vAnchor="page" w:hAnchor="page" w:x="1284" w:y="1410"/>
        <w:shd w:val="clear" w:color="auto" w:fill="auto"/>
        <w:tabs>
          <w:tab w:val="left" w:pos="1847"/>
          <w:tab w:val="left" w:pos="3978"/>
          <w:tab w:val="left" w:pos="5015"/>
          <w:tab w:val="left" w:pos="6412"/>
          <w:tab w:val="left" w:pos="8360"/>
        </w:tabs>
        <w:ind w:left="420" w:firstLine="0"/>
      </w:pPr>
      <w:r>
        <w:t>sloupy a dveře budovy. Pro případ porušení tohoto zákazu ze strany společnosti, popř. třetích osob pověřených společností se smluvní strany dohodly, že společnost</w:t>
      </w:r>
      <w:r>
        <w:tab/>
        <w:t>zaplatí smluvní</w:t>
      </w:r>
      <w:r>
        <w:tab/>
        <w:t>pokutu</w:t>
      </w:r>
      <w:r>
        <w:tab/>
        <w:t>ve výši</w:t>
      </w:r>
      <w:r>
        <w:tab/>
      </w:r>
      <w:r w:rsidR="00E467F4">
        <w:t>xx</w:t>
      </w:r>
      <w:r>
        <w:t>,- Kč</w:t>
      </w:r>
      <w:r>
        <w:tab/>
        <w:t>(slovy:</w:t>
      </w:r>
    </w:p>
    <w:p w:rsidR="00497A3B" w:rsidRDefault="00E467F4">
      <w:pPr>
        <w:pStyle w:val="Bodytext20"/>
        <w:framePr w:w="9154" w:h="13844" w:hRule="exact" w:wrap="none" w:vAnchor="page" w:hAnchor="page" w:x="1284" w:y="1410"/>
        <w:shd w:val="clear" w:color="auto" w:fill="auto"/>
        <w:spacing w:after="276"/>
        <w:ind w:left="420" w:firstLine="0"/>
      </w:pPr>
      <w:r>
        <w:t xml:space="preserve">xxx </w:t>
      </w:r>
      <w:r w:rsidR="00415FAC">
        <w:t>korunčeských)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rsidR="00497A3B" w:rsidRDefault="00415FAC">
      <w:pPr>
        <w:pStyle w:val="Bodytext20"/>
        <w:framePr w:w="9154" w:h="13844" w:hRule="exact" w:wrap="none" w:vAnchor="page" w:hAnchor="page" w:x="1284" w:y="1410"/>
        <w:numPr>
          <w:ilvl w:val="0"/>
          <w:numId w:val="2"/>
        </w:numPr>
        <w:shd w:val="clear" w:color="auto" w:fill="auto"/>
        <w:tabs>
          <w:tab w:val="left" w:pos="442"/>
        </w:tabs>
        <w:spacing w:after="288" w:line="278" w:lineRule="exact"/>
        <w:ind w:left="420"/>
      </w:pPr>
      <w:r>
        <w:t>Společnost není oprávněna v prostoru umisťovat jakékoli objekty a zařízení, jež nebyly divadlem písemně nebo ústní dohodou schváleny.</w:t>
      </w:r>
    </w:p>
    <w:p w:rsidR="00497A3B" w:rsidRDefault="00415FAC">
      <w:pPr>
        <w:pStyle w:val="Heading20"/>
        <w:framePr w:w="9154" w:h="13844" w:hRule="exact" w:wrap="none" w:vAnchor="page" w:hAnchor="page" w:x="1284" w:y="1410"/>
        <w:shd w:val="clear" w:color="auto" w:fill="auto"/>
        <w:spacing w:after="0"/>
        <w:ind w:right="20" w:firstLine="0"/>
      </w:pPr>
      <w:bookmarkStart w:id="8" w:name="bookmark8"/>
      <w:r>
        <w:t xml:space="preserve">ČI. </w:t>
      </w:r>
      <w:r>
        <w:rPr>
          <w:lang w:val="en-US" w:eastAsia="en-US" w:bidi="en-US"/>
        </w:rPr>
        <w:t>III.</w:t>
      </w:r>
      <w:bookmarkEnd w:id="8"/>
    </w:p>
    <w:p w:rsidR="00497A3B" w:rsidRDefault="00415FAC">
      <w:pPr>
        <w:pStyle w:val="Heading20"/>
        <w:framePr w:w="9154" w:h="13844" w:hRule="exact" w:wrap="none" w:vAnchor="page" w:hAnchor="page" w:x="1284" w:y="1410"/>
        <w:shd w:val="clear" w:color="auto" w:fill="auto"/>
        <w:spacing w:after="276"/>
        <w:ind w:right="20" w:firstLine="0"/>
      </w:pPr>
      <w:bookmarkStart w:id="9" w:name="bookmark9"/>
      <w:r>
        <w:t>Podnájemné a jeho splatnost</w:t>
      </w:r>
      <w:bookmarkEnd w:id="9"/>
    </w:p>
    <w:p w:rsidR="00497A3B" w:rsidRDefault="00415FAC">
      <w:pPr>
        <w:pStyle w:val="Bodytext20"/>
        <w:framePr w:w="9154" w:h="13844" w:hRule="exact" w:wrap="none" w:vAnchor="page" w:hAnchor="page" w:x="1284" w:y="1410"/>
        <w:numPr>
          <w:ilvl w:val="0"/>
          <w:numId w:val="3"/>
        </w:numPr>
        <w:shd w:val="clear" w:color="auto" w:fill="auto"/>
        <w:tabs>
          <w:tab w:val="left" w:pos="377"/>
        </w:tabs>
        <w:spacing w:after="280"/>
        <w:ind w:left="420"/>
      </w:pPr>
      <w:r>
        <w:t xml:space="preserve">Společnost je povinna zaplatit za užívání prostor a movitých věcí v prostorech umístěných v rozsahu dle této smlouvy a za využití služeb s podnájmem spojených (vodné, stočné, elektrická energie, klimatizace, úklid) podnájemné ve výši </w:t>
      </w:r>
      <w:r w:rsidR="00E467F4">
        <w:rPr>
          <w:rStyle w:val="Bodytext2Bold"/>
        </w:rPr>
        <w:t>xxx</w:t>
      </w:r>
      <w:r>
        <w:rPr>
          <w:rStyle w:val="Bodytext2Bold"/>
        </w:rPr>
        <w:t xml:space="preserve">,- Kč + DPH </w:t>
      </w:r>
      <w:r>
        <w:t xml:space="preserve">za každý jeden den natáčení v prostorách divadla (slovy: </w:t>
      </w:r>
      <w:r w:rsidR="00E467F4">
        <w:rPr>
          <w:rStyle w:val="Bodytext2Bold"/>
        </w:rPr>
        <w:t>xxx</w:t>
      </w:r>
      <w:r>
        <w:rPr>
          <w:rStyle w:val="Bodytext2Bold"/>
        </w:rPr>
        <w:t xml:space="preserve"> korun českých+ </w:t>
      </w:r>
      <w:r>
        <w:t>příslušná částka DPH). K částce za podnájem bude doúčtována DPH v aktuální platné výši. Placení podnájemného podléhá každý odebraný den podnájmu (24 hodiny), tedy každý uskutečněný, i započatý, natáčecí den. Započatým dnem se rozumí den, ve kterém bylo odebráno alespoň 4 hodiny daného dne, tzn. že natáčení přesáhlo půlnoc předchozího natáčecího dne a pokračovalo do nového natáčecího dne alespoň 4 hodiny. Skutečná délka podnájmu, tedy počet natáčecích dní, se může změnit dle potřeb natáčecího plánu. Délka natáčení nesmí překročit časový rozsah podnájmu dle čl. I odst. 2 této smlouvy.</w:t>
      </w:r>
    </w:p>
    <w:p w:rsidR="00497A3B" w:rsidRDefault="00415FAC">
      <w:pPr>
        <w:pStyle w:val="Bodytext70"/>
        <w:framePr w:w="9154" w:h="13844" w:hRule="exact" w:wrap="none" w:vAnchor="page" w:hAnchor="page" w:x="1284" w:y="1410"/>
        <w:numPr>
          <w:ilvl w:val="0"/>
          <w:numId w:val="3"/>
        </w:numPr>
        <w:shd w:val="clear" w:color="auto" w:fill="auto"/>
        <w:tabs>
          <w:tab w:val="left" w:pos="377"/>
        </w:tabs>
        <w:spacing w:before="0"/>
        <w:ind w:left="420"/>
      </w:pPr>
      <w:r>
        <w:t xml:space="preserve">Společnost je povinna zaplatit podnájemné uvedené v odst. 1. tohoto článku převodem na účet divadla uvedený v záhlaví této smlouvy a to do data splatnosti uvedeného na faktuře - daňovém dokladu vystaveného divadlem. Fakturu - daňový doklad vystaví divadlo nejpozději do 7 dní po ukončení akce. </w:t>
      </w:r>
      <w:r>
        <w:rPr>
          <w:rStyle w:val="Bodytext7NotBold"/>
        </w:rPr>
        <w:t>V případě, že společnost nezaplatí podnájemné uvedené v odst.</w:t>
      </w:r>
    </w:p>
    <w:p w:rsidR="00497A3B" w:rsidRDefault="00415FAC">
      <w:pPr>
        <w:pStyle w:val="Bodytext20"/>
        <w:framePr w:w="9154" w:h="13844" w:hRule="exact" w:wrap="none" w:vAnchor="page" w:hAnchor="page" w:x="1284" w:y="1410"/>
        <w:numPr>
          <w:ilvl w:val="0"/>
          <w:numId w:val="4"/>
        </w:numPr>
        <w:shd w:val="clear" w:color="auto" w:fill="auto"/>
        <w:tabs>
          <w:tab w:val="left" w:pos="778"/>
          <w:tab w:val="left" w:pos="790"/>
        </w:tabs>
        <w:spacing w:after="280"/>
        <w:ind w:left="420" w:firstLine="0"/>
      </w:pPr>
      <w:r>
        <w:t xml:space="preserve">tohoto článku řádně a včas, má divadlo právo od této smlouvy odstoupit a společnost je povinna zaplatit divadlu smluvní pokutu ve výši </w:t>
      </w:r>
      <w:r w:rsidR="00E467F4">
        <w:t>xx</w:t>
      </w:r>
      <w:r>
        <w:t>,- Kč, která je splatná do 14. od odstoupení od této smlouvy. O tomto plnění bude vyhotoven daňový doklad.</w:t>
      </w:r>
    </w:p>
    <w:p w:rsidR="00497A3B" w:rsidRDefault="00415FAC">
      <w:pPr>
        <w:pStyle w:val="Bodytext70"/>
        <w:framePr w:w="9154" w:h="13844" w:hRule="exact" w:wrap="none" w:vAnchor="page" w:hAnchor="page" w:x="1284" w:y="1410"/>
        <w:numPr>
          <w:ilvl w:val="0"/>
          <w:numId w:val="3"/>
        </w:numPr>
        <w:shd w:val="clear" w:color="auto" w:fill="auto"/>
        <w:tabs>
          <w:tab w:val="left" w:pos="324"/>
        </w:tabs>
        <w:spacing w:before="0"/>
        <w:ind w:left="380"/>
      </w:pPr>
      <w:r>
        <w:t xml:space="preserve">Společnost se zavazuje uhradit služby jednotlivých pracovníků a spolupracovníků divadla konané v souvislosti s natáčením. </w:t>
      </w:r>
      <w:r>
        <w:rPr>
          <w:rStyle w:val="Bodytext7NotBold"/>
        </w:rPr>
        <w:t xml:space="preserve">Za tímto účelem bude nejpozději </w:t>
      </w:r>
      <w:r>
        <w:rPr>
          <w:rStyle w:val="Bodytext7NotBold0"/>
        </w:rPr>
        <w:t>do 5. července 201</w:t>
      </w:r>
      <w:r>
        <w:rPr>
          <w:rStyle w:val="Bodytext7NotBold"/>
        </w:rPr>
        <w:t>9 divadlem vyhotoven a společnosti (na e-</w:t>
      </w:r>
    </w:p>
    <w:p w:rsidR="00497A3B" w:rsidRDefault="00497A3B">
      <w:pPr>
        <w:rPr>
          <w:sz w:val="2"/>
          <w:szCs w:val="2"/>
        </w:rPr>
        <w:sectPr w:rsidR="00497A3B">
          <w:pgSz w:w="11900" w:h="16840"/>
          <w:pgMar w:top="360" w:right="360" w:bottom="360" w:left="360" w:header="0" w:footer="3" w:gutter="0"/>
          <w:cols w:space="720"/>
          <w:noEndnote/>
          <w:docGrid w:linePitch="360"/>
        </w:sectPr>
      </w:pPr>
    </w:p>
    <w:p w:rsidR="00497A3B" w:rsidRDefault="000E7164">
      <w:pPr>
        <w:pStyle w:val="Bodytext70"/>
        <w:framePr w:w="9130" w:h="3091" w:hRule="exact" w:wrap="none" w:vAnchor="page" w:hAnchor="page" w:x="1296" w:y="1415"/>
        <w:shd w:val="clear" w:color="auto" w:fill="auto"/>
        <w:tabs>
          <w:tab w:val="left" w:pos="324"/>
        </w:tabs>
        <w:spacing w:before="0" w:after="285"/>
        <w:ind w:left="380"/>
      </w:pPr>
      <w:r>
        <w:rPr>
          <w:rStyle w:val="Bodytext2"/>
          <w:b w:val="0"/>
          <w:bCs w:val="0"/>
          <w:lang w:val="en-US" w:eastAsia="en-US" w:bidi="en-US"/>
        </w:rPr>
        <w:lastRenderedPageBreak/>
        <w:t xml:space="preserve">      </w:t>
      </w:r>
      <w:r w:rsidR="00415FAC">
        <w:rPr>
          <w:rStyle w:val="Bodytext2"/>
          <w:b w:val="0"/>
          <w:bCs w:val="0"/>
          <w:lang w:val="en-US" w:eastAsia="en-US" w:bidi="en-US"/>
        </w:rPr>
        <w:t xml:space="preserve">mail: </w:t>
      </w:r>
      <w:r w:rsidR="00E467F4">
        <w:rPr>
          <w:rStyle w:val="Bodytext2"/>
          <w:b w:val="0"/>
          <w:bCs w:val="0"/>
          <w:lang w:val="en-US" w:eastAsia="en-US" w:bidi="en-US"/>
        </w:rPr>
        <w:t>xxx</w:t>
      </w:r>
      <w:r w:rsidR="00415FAC">
        <w:rPr>
          <w:rStyle w:val="Bodytext2"/>
          <w:b w:val="0"/>
          <w:bCs w:val="0"/>
          <w:lang w:val="en-US" w:eastAsia="en-US" w:bidi="en-US"/>
        </w:rPr>
        <w:t xml:space="preserve">) </w:t>
      </w:r>
      <w:r w:rsidR="00415FAC">
        <w:rPr>
          <w:rStyle w:val="Bodytext2"/>
          <w:b w:val="0"/>
          <w:bCs w:val="0"/>
        </w:rPr>
        <w:t xml:space="preserve">zaslán seznam dotčených pracovníků a spolupracovníků s uvedením odhadu výše odměn, </w:t>
      </w:r>
      <w:r w:rsidR="00415FAC">
        <w:rPr>
          <w:rStyle w:val="Bodytext2Bold"/>
          <w:b/>
          <w:bCs/>
        </w:rPr>
        <w:t xml:space="preserve">přičemž součet jednotlivých částek je limitní a nepřesáhne částku </w:t>
      </w:r>
      <w:r w:rsidR="00E467F4">
        <w:rPr>
          <w:rStyle w:val="Bodytext2Bold"/>
          <w:b/>
          <w:bCs/>
        </w:rPr>
        <w:t>xx</w:t>
      </w:r>
      <w:r w:rsidR="00415FAC">
        <w:rPr>
          <w:rStyle w:val="Bodytext2Bold"/>
          <w:b/>
          <w:bCs/>
        </w:rPr>
        <w:t xml:space="preserve">,-Kč za jeden </w:t>
      </w:r>
      <w:r w:rsidR="00415FAC">
        <w:rPr>
          <w:rStyle w:val="Bodytext2"/>
          <w:b w:val="0"/>
          <w:bCs w:val="0"/>
        </w:rPr>
        <w:t xml:space="preserve">den </w:t>
      </w:r>
      <w:r w:rsidR="00415FAC">
        <w:rPr>
          <w:rStyle w:val="Bodytext2Bold"/>
          <w:b/>
          <w:bCs/>
        </w:rPr>
        <w:t xml:space="preserve">natáčení (slovy </w:t>
      </w:r>
      <w:r w:rsidR="00E467F4">
        <w:rPr>
          <w:rStyle w:val="Bodytext2Bold"/>
          <w:b/>
          <w:bCs/>
        </w:rPr>
        <w:t>xx</w:t>
      </w:r>
      <w:bookmarkStart w:id="10" w:name="_GoBack"/>
      <w:bookmarkEnd w:id="10"/>
      <w:r w:rsidR="00415FAC">
        <w:rPr>
          <w:rStyle w:val="Bodytext2Bold"/>
          <w:b/>
          <w:bCs/>
        </w:rPr>
        <w:t xml:space="preserve"> korun českých), včetně příslušné daně v zákonné výši. </w:t>
      </w:r>
      <w:r w:rsidR="00415FAC">
        <w:rPr>
          <w:rStyle w:val="Bodytext2"/>
          <w:b w:val="0"/>
          <w:bCs w:val="0"/>
        </w:rPr>
        <w:t>Výše uvedená částka bude uhrazena jednotlivým pracovníkům a spolupracovníkům divadla na základě DPP dle skutečně odpracovaných hodin. Společnost a Divadlo stanoví na základě dohody termín pro vyplacení a to nejpozději do 7 dní od ukončení Akce.</w:t>
      </w:r>
    </w:p>
    <w:p w:rsidR="00497A3B" w:rsidRPr="000E7164" w:rsidRDefault="00415FAC">
      <w:pPr>
        <w:pStyle w:val="Bodytext20"/>
        <w:framePr w:w="9130" w:h="3091" w:hRule="exact" w:wrap="none" w:vAnchor="page" w:hAnchor="page" w:x="1296" w:y="1415"/>
        <w:shd w:val="clear" w:color="auto" w:fill="auto"/>
        <w:spacing w:line="268" w:lineRule="exact"/>
        <w:ind w:left="40" w:firstLine="0"/>
        <w:jc w:val="center"/>
        <w:rPr>
          <w:b/>
        </w:rPr>
      </w:pPr>
      <w:r w:rsidRPr="000E7164">
        <w:rPr>
          <w:b/>
        </w:rPr>
        <w:t>ČI. IV.</w:t>
      </w:r>
    </w:p>
    <w:p w:rsidR="00497A3B" w:rsidRDefault="00415FAC">
      <w:pPr>
        <w:pStyle w:val="Heading20"/>
        <w:framePr w:w="9130" w:h="3091" w:hRule="exact" w:wrap="none" w:vAnchor="page" w:hAnchor="page" w:x="1296" w:y="1415"/>
        <w:shd w:val="clear" w:color="auto" w:fill="auto"/>
        <w:spacing w:after="0"/>
        <w:ind w:left="40" w:firstLine="0"/>
      </w:pPr>
      <w:bookmarkStart w:id="11" w:name="bookmark10"/>
      <w:r>
        <w:t>Závěrečná ustanovení</w:t>
      </w:r>
      <w:bookmarkEnd w:id="11"/>
    </w:p>
    <w:p w:rsidR="00497A3B" w:rsidRDefault="00415FAC">
      <w:pPr>
        <w:pStyle w:val="Bodytext20"/>
        <w:framePr w:w="9130" w:h="5285" w:hRule="exact" w:wrap="none" w:vAnchor="page" w:hAnchor="page" w:x="1296" w:y="5000"/>
        <w:numPr>
          <w:ilvl w:val="0"/>
          <w:numId w:val="5"/>
        </w:numPr>
        <w:shd w:val="clear" w:color="auto" w:fill="auto"/>
        <w:tabs>
          <w:tab w:val="left" w:pos="370"/>
        </w:tabs>
        <w:spacing w:after="284"/>
        <w:ind w:left="380" w:hanging="380"/>
      </w:pPr>
      <w:r>
        <w:t>Smlouva nabývá platnosti a účinnosti dnem podpisu oběma smluvními stranami a uzavírá se na dobu určitou stanovenou v čl. I. této smlouvy.</w:t>
      </w:r>
    </w:p>
    <w:p w:rsidR="00497A3B" w:rsidRDefault="00415FAC">
      <w:pPr>
        <w:pStyle w:val="Bodytext20"/>
        <w:framePr w:w="9130" w:h="5285" w:hRule="exact" w:wrap="none" w:vAnchor="page" w:hAnchor="page" w:x="1296" w:y="5000"/>
        <w:numPr>
          <w:ilvl w:val="0"/>
          <w:numId w:val="5"/>
        </w:numPr>
        <w:shd w:val="clear" w:color="auto" w:fill="auto"/>
        <w:tabs>
          <w:tab w:val="left" w:pos="370"/>
        </w:tabs>
        <w:spacing w:after="276" w:line="269" w:lineRule="exact"/>
        <w:ind w:left="380" w:hanging="380"/>
      </w:pPr>
      <w:r>
        <w:t>Práva a povinnosti z této smlouvy vyplývající a v této smlouvě neupravená se řídí českým právem.</w:t>
      </w:r>
    </w:p>
    <w:p w:rsidR="00497A3B" w:rsidRDefault="00415FAC">
      <w:pPr>
        <w:pStyle w:val="Bodytext20"/>
        <w:framePr w:w="9130" w:h="5285" w:hRule="exact" w:wrap="none" w:vAnchor="page" w:hAnchor="page" w:x="1296" w:y="5000"/>
        <w:numPr>
          <w:ilvl w:val="0"/>
          <w:numId w:val="5"/>
        </w:numPr>
        <w:shd w:val="clear" w:color="auto" w:fill="auto"/>
        <w:tabs>
          <w:tab w:val="left" w:pos="373"/>
        </w:tabs>
        <w:spacing w:after="280"/>
        <w:ind w:left="380" w:hanging="380"/>
      </w:pPr>
      <w:r>
        <w:t>Tato smlouva je vyhotovena ve dvou stejnopisech, z nichž jeden obdrží společnost a jeden obdrží divadlo.</w:t>
      </w:r>
    </w:p>
    <w:p w:rsidR="00497A3B" w:rsidRDefault="00415FAC">
      <w:pPr>
        <w:pStyle w:val="Bodytext20"/>
        <w:framePr w:w="9130" w:h="5285" w:hRule="exact" w:wrap="none" w:vAnchor="page" w:hAnchor="page" w:x="1296" w:y="5000"/>
        <w:numPr>
          <w:ilvl w:val="0"/>
          <w:numId w:val="5"/>
        </w:numPr>
        <w:shd w:val="clear" w:color="auto" w:fill="auto"/>
        <w:tabs>
          <w:tab w:val="left" w:pos="373"/>
        </w:tabs>
        <w:spacing w:after="280"/>
        <w:ind w:left="380" w:hanging="380"/>
      </w:pPr>
      <w:r>
        <w:t>Změny a doplňky této smlouvy je možné činit pouze po vzájemné dohodě smluvních stran, a to písemným a číslovaným dodatkem.</w:t>
      </w:r>
    </w:p>
    <w:p w:rsidR="00497A3B" w:rsidRDefault="00415FAC">
      <w:pPr>
        <w:pStyle w:val="Bodytext20"/>
        <w:framePr w:w="9130" w:h="5285" w:hRule="exact" w:wrap="none" w:vAnchor="page" w:hAnchor="page" w:x="1296" w:y="5000"/>
        <w:numPr>
          <w:ilvl w:val="0"/>
          <w:numId w:val="5"/>
        </w:numPr>
        <w:shd w:val="clear" w:color="auto" w:fill="auto"/>
        <w:tabs>
          <w:tab w:val="left" w:pos="373"/>
        </w:tabs>
        <w:spacing w:after="280"/>
        <w:ind w:left="380" w:hanging="380"/>
      </w:pPr>
      <w:r>
        <w:t>Smluvní strany po přečtení textu smlouvy prohlašují, že mu rozumějí, že smlouva je sepsána v souladu s jejich pravou a svobodnou vůli a cítí se jí vázáni. Na důkaz toho připojují své podpisy.</w:t>
      </w:r>
    </w:p>
    <w:p w:rsidR="00497A3B" w:rsidRDefault="00415FAC">
      <w:pPr>
        <w:pStyle w:val="Bodytext20"/>
        <w:framePr w:w="9130" w:h="5285" w:hRule="exact" w:wrap="none" w:vAnchor="page" w:hAnchor="page" w:x="1296" w:y="5000"/>
        <w:numPr>
          <w:ilvl w:val="0"/>
          <w:numId w:val="5"/>
        </w:numPr>
        <w:shd w:val="clear" w:color="auto" w:fill="auto"/>
        <w:tabs>
          <w:tab w:val="left" w:pos="373"/>
        </w:tabs>
        <w:ind w:left="380" w:hanging="380"/>
      </w:pPr>
      <w:r>
        <w:t>Podpisem této smlouvy společnost prohlašuje, že byla seznámena se zásadami BOZP v divadle a zavazuje se, stejně jako všichni účastníci podnájmu, tímto popisem je dodržovat.</w:t>
      </w:r>
    </w:p>
    <w:p w:rsidR="00497A3B" w:rsidRDefault="00415FAC">
      <w:pPr>
        <w:pStyle w:val="Bodytext20"/>
        <w:framePr w:wrap="none" w:vAnchor="page" w:hAnchor="page" w:x="1296" w:y="11063"/>
        <w:shd w:val="clear" w:color="auto" w:fill="auto"/>
        <w:spacing w:line="268" w:lineRule="exact"/>
        <w:ind w:left="385" w:right="6567" w:hanging="380"/>
      </w:pPr>
      <w:r>
        <w:t>V Praze, dne 18/7/2019</w:t>
      </w:r>
    </w:p>
    <w:p w:rsidR="00497A3B" w:rsidRDefault="00415FAC">
      <w:pPr>
        <w:pStyle w:val="Heading10"/>
        <w:framePr w:w="9130" w:h="2480" w:hRule="exact" w:wrap="none" w:vAnchor="page" w:hAnchor="page" w:x="1296" w:y="11669"/>
        <w:shd w:val="clear" w:color="auto" w:fill="auto"/>
        <w:tabs>
          <w:tab w:val="left" w:leader="dot" w:pos="780"/>
          <w:tab w:val="left" w:leader="dot" w:pos="3226"/>
        </w:tabs>
        <w:spacing w:before="0"/>
        <w:ind w:left="24" w:right="5880"/>
      </w:pPr>
      <w:bookmarkStart w:id="12" w:name="bookmark11"/>
      <w:r>
        <w:tab/>
      </w:r>
      <w:bookmarkEnd w:id="12"/>
    </w:p>
    <w:p w:rsidR="00497A3B" w:rsidRDefault="00415FAC">
      <w:pPr>
        <w:pStyle w:val="Bodytext20"/>
        <w:framePr w:w="9130" w:h="2480" w:hRule="exact" w:wrap="none" w:vAnchor="page" w:hAnchor="page" w:x="1296" w:y="11669"/>
        <w:shd w:val="clear" w:color="auto" w:fill="auto"/>
        <w:spacing w:line="268" w:lineRule="exact"/>
        <w:ind w:left="404" w:right="5880" w:hanging="380"/>
      </w:pPr>
      <w:r>
        <w:t>Egon Kulhánek,</w:t>
      </w:r>
    </w:p>
    <w:p w:rsidR="00497A3B" w:rsidRDefault="00415FAC">
      <w:pPr>
        <w:pStyle w:val="Bodytext20"/>
        <w:framePr w:w="9130" w:h="2480" w:hRule="exact" w:wrap="none" w:vAnchor="page" w:hAnchor="page" w:x="1296" w:y="11669"/>
        <w:shd w:val="clear" w:color="auto" w:fill="auto"/>
        <w:spacing w:line="268" w:lineRule="exact"/>
        <w:ind w:left="404" w:right="5880" w:hanging="380"/>
      </w:pPr>
      <w:r>
        <w:t>Hudební divadlo v Karl</w:t>
      </w:r>
      <w:r w:rsidR="000E7164">
        <w:t>í</w:t>
      </w:r>
      <w:r>
        <w:t>ně p.o.</w:t>
      </w:r>
    </w:p>
    <w:p w:rsidR="00497A3B" w:rsidRDefault="00415FAC">
      <w:pPr>
        <w:pStyle w:val="Bodytext20"/>
        <w:framePr w:w="1834" w:h="619" w:hRule="exact" w:wrap="none" w:vAnchor="page" w:hAnchor="page" w:x="7574" w:y="13536"/>
        <w:shd w:val="clear" w:color="auto" w:fill="auto"/>
        <w:spacing w:line="278" w:lineRule="exact"/>
        <w:ind w:firstLine="0"/>
        <w:jc w:val="left"/>
      </w:pPr>
      <w:r>
        <w:t>Petr Svoboda Goodmind s.r.o.</w:t>
      </w:r>
    </w:p>
    <w:p w:rsidR="00497A3B" w:rsidRDefault="00497A3B">
      <w:pPr>
        <w:rPr>
          <w:sz w:val="2"/>
          <w:szCs w:val="2"/>
        </w:rPr>
      </w:pPr>
    </w:p>
    <w:sectPr w:rsidR="00497A3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E1E" w:rsidRDefault="00886E1E">
      <w:r>
        <w:separator/>
      </w:r>
    </w:p>
  </w:endnote>
  <w:endnote w:type="continuationSeparator" w:id="0">
    <w:p w:rsidR="00886E1E" w:rsidRDefault="0088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David">
    <w:altName w:val="Times New Roman"/>
    <w:charset w:val="B1"/>
    <w:family w:val="swiss"/>
    <w:pitch w:val="variable"/>
    <w:sig w:usb0="00000803" w:usb1="00000000" w:usb2="00000000" w:usb3="00000000" w:csb0="0000002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E1E" w:rsidRDefault="00886E1E"/>
  </w:footnote>
  <w:footnote w:type="continuationSeparator" w:id="0">
    <w:p w:rsidR="00886E1E" w:rsidRDefault="00886E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372A7"/>
    <w:multiLevelType w:val="multilevel"/>
    <w:tmpl w:val="78C0D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A940BC"/>
    <w:multiLevelType w:val="multilevel"/>
    <w:tmpl w:val="3EF226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A1395B"/>
    <w:multiLevelType w:val="multilevel"/>
    <w:tmpl w:val="28188C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5B2DFA"/>
    <w:multiLevelType w:val="multilevel"/>
    <w:tmpl w:val="37E23C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8507A7"/>
    <w:multiLevelType w:val="multilevel"/>
    <w:tmpl w:val="66FC5F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97A3B"/>
    <w:rsid w:val="000E7164"/>
    <w:rsid w:val="00415FAC"/>
    <w:rsid w:val="00497A3B"/>
    <w:rsid w:val="00541109"/>
    <w:rsid w:val="00886E1E"/>
    <w:rsid w:val="00AD0F24"/>
    <w:rsid w:val="00E46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ECB7"/>
  <w15:docId w15:val="{39B6A51E-AE7A-482D-8D67-8500757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val="0"/>
      <w:iCs w:val="0"/>
      <w:smallCaps w:val="0"/>
      <w:strike w:val="0"/>
      <w:u w:val="none"/>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u w:val="none"/>
    </w:rPr>
  </w:style>
  <w:style w:type="character" w:customStyle="1" w:styleId="Bodytext3">
    <w:name w:val="Body text (3)_"/>
    <w:basedOn w:val="Standardnpsmoodstavce"/>
    <w:link w:val="Bodytext30"/>
    <w:rPr>
      <w:rFonts w:ascii="Arial" w:eastAsia="Arial" w:hAnsi="Arial" w:cs="Arial"/>
      <w:b/>
      <w:bCs/>
      <w:i/>
      <w:iCs/>
      <w:smallCaps w:val="0"/>
      <w:strike w:val="0"/>
      <w:u w:val="none"/>
    </w:rPr>
  </w:style>
  <w:style w:type="character" w:customStyle="1" w:styleId="Bodytext3NotBoldNotItalic">
    <w:name w:val="Body text (3) + Not Bold;Not Italic"/>
    <w:basedOn w:val="Bodytext3"/>
    <w:rPr>
      <w:rFonts w:ascii="Arial" w:eastAsia="Arial" w:hAnsi="Arial" w:cs="Arial"/>
      <w:b/>
      <w:bCs/>
      <w:i/>
      <w:iCs/>
      <w:smallCaps w:val="0"/>
      <w:strike w:val="0"/>
      <w:color w:val="000000"/>
      <w:spacing w:val="0"/>
      <w:w w:val="100"/>
      <w:position w:val="0"/>
      <w:sz w:val="24"/>
      <w:szCs w:val="24"/>
      <w:u w:val="none"/>
      <w:lang w:val="cs-CZ" w:eastAsia="cs-CZ" w:bidi="cs-CZ"/>
    </w:rPr>
  </w:style>
  <w:style w:type="character" w:customStyle="1" w:styleId="Bodytext4">
    <w:name w:val="Body text (4)_"/>
    <w:basedOn w:val="Standardnpsmoodstavce"/>
    <w:link w:val="Bodytext40"/>
    <w:rPr>
      <w:rFonts w:ascii="Trebuchet MS" w:eastAsia="Trebuchet MS" w:hAnsi="Trebuchet MS" w:cs="Trebuchet MS"/>
      <w:b/>
      <w:bCs/>
      <w:i w:val="0"/>
      <w:iCs w:val="0"/>
      <w:smallCaps w:val="0"/>
      <w:strike w:val="0"/>
      <w:sz w:val="18"/>
      <w:szCs w:val="18"/>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17"/>
      <w:szCs w:val="17"/>
      <w:u w:val="none"/>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7"/>
      <w:szCs w:val="17"/>
      <w:u w:val="none"/>
    </w:rPr>
  </w:style>
  <w:style w:type="character" w:customStyle="1" w:styleId="Bodytext2BoldItalic">
    <w:name w:val="Body text (2) + Bold;Italic"/>
    <w:basedOn w:val="Bodytext2"/>
    <w:rPr>
      <w:rFonts w:ascii="Arial" w:eastAsia="Arial" w:hAnsi="Arial" w:cs="Arial"/>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Spacing2pt">
    <w:name w:val="Body text (2) + Spacing 2 pt"/>
    <w:basedOn w:val="Bodytext2"/>
    <w:rPr>
      <w:rFonts w:ascii="Arial" w:eastAsia="Arial" w:hAnsi="Arial" w:cs="Arial"/>
      <w:b w:val="0"/>
      <w:bCs w:val="0"/>
      <w:i w:val="0"/>
      <w:iCs w:val="0"/>
      <w:smallCaps w:val="0"/>
      <w:strike w:val="0"/>
      <w:color w:val="000000"/>
      <w:spacing w:val="40"/>
      <w:w w:val="100"/>
      <w:position w:val="0"/>
      <w:sz w:val="24"/>
      <w:szCs w:val="24"/>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F4596C"/>
      <w:spacing w:val="0"/>
      <w:w w:val="100"/>
      <w:position w:val="0"/>
      <w:sz w:val="24"/>
      <w:szCs w:val="24"/>
      <w:u w:val="non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u w:val="none"/>
    </w:rPr>
  </w:style>
  <w:style w:type="character" w:customStyle="1" w:styleId="Bodytext7NotBold">
    <w:name w:val="Body text (7) + Not Bold"/>
    <w:basedOn w:val="Bodytext7"/>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7NotBold0">
    <w:name w:val="Body text (7) + Not Bold"/>
    <w:basedOn w:val="Bodytext7"/>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Heading1">
    <w:name w:val="Heading #1_"/>
    <w:basedOn w:val="Standardnpsmoodstavce"/>
    <w:link w:val="Heading10"/>
    <w:rPr>
      <w:rFonts w:ascii="David" w:eastAsia="David" w:hAnsi="David" w:cs="David"/>
      <w:b w:val="0"/>
      <w:bCs w:val="0"/>
      <w:i w:val="0"/>
      <w:iCs w:val="0"/>
      <w:smallCaps w:val="0"/>
      <w:strike w:val="0"/>
      <w:sz w:val="200"/>
      <w:szCs w:val="200"/>
      <w:u w:val="none"/>
    </w:rPr>
  </w:style>
  <w:style w:type="paragraph" w:customStyle="1" w:styleId="Heading20">
    <w:name w:val="Heading #2"/>
    <w:basedOn w:val="Normln"/>
    <w:link w:val="Heading2"/>
    <w:pPr>
      <w:shd w:val="clear" w:color="auto" w:fill="FFFFFF"/>
      <w:spacing w:after="280" w:line="268" w:lineRule="exact"/>
      <w:ind w:hanging="420"/>
      <w:jc w:val="center"/>
      <w:outlineLvl w:val="1"/>
    </w:pPr>
    <w:rPr>
      <w:rFonts w:ascii="Arial" w:eastAsia="Arial" w:hAnsi="Arial" w:cs="Arial"/>
      <w:b/>
      <w:bCs/>
    </w:rPr>
  </w:style>
  <w:style w:type="paragraph" w:customStyle="1" w:styleId="Bodytext20">
    <w:name w:val="Body text (2)"/>
    <w:basedOn w:val="Normln"/>
    <w:link w:val="Bodytext2"/>
    <w:pPr>
      <w:shd w:val="clear" w:color="auto" w:fill="FFFFFF"/>
      <w:spacing w:line="274" w:lineRule="exact"/>
      <w:ind w:hanging="420"/>
      <w:jc w:val="both"/>
    </w:pPr>
    <w:rPr>
      <w:rFonts w:ascii="Arial" w:eastAsia="Arial" w:hAnsi="Arial" w:cs="Arial"/>
    </w:rPr>
  </w:style>
  <w:style w:type="paragraph" w:customStyle="1" w:styleId="Bodytext30">
    <w:name w:val="Body text (3)"/>
    <w:basedOn w:val="Normln"/>
    <w:link w:val="Bodytext3"/>
    <w:pPr>
      <w:shd w:val="clear" w:color="auto" w:fill="FFFFFF"/>
      <w:spacing w:before="280" w:after="280" w:line="268" w:lineRule="exact"/>
      <w:ind w:hanging="420"/>
      <w:jc w:val="both"/>
    </w:pPr>
    <w:rPr>
      <w:rFonts w:ascii="Arial" w:eastAsia="Arial" w:hAnsi="Arial" w:cs="Arial"/>
      <w:b/>
      <w:bCs/>
      <w:i/>
      <w:iCs/>
    </w:rPr>
  </w:style>
  <w:style w:type="paragraph" w:customStyle="1" w:styleId="Bodytext40">
    <w:name w:val="Body text (4)"/>
    <w:basedOn w:val="Normln"/>
    <w:link w:val="Bodytext4"/>
    <w:pPr>
      <w:shd w:val="clear" w:color="auto" w:fill="FFFFFF"/>
      <w:spacing w:before="520" w:after="100" w:line="190" w:lineRule="exact"/>
      <w:ind w:hanging="420"/>
      <w:jc w:val="both"/>
    </w:pPr>
    <w:rPr>
      <w:rFonts w:ascii="Trebuchet MS" w:eastAsia="Trebuchet MS" w:hAnsi="Trebuchet MS" w:cs="Trebuchet MS"/>
      <w:b/>
      <w:bCs/>
      <w:sz w:val="18"/>
      <w:szCs w:val="18"/>
    </w:rPr>
  </w:style>
  <w:style w:type="paragraph" w:customStyle="1" w:styleId="Bodytext50">
    <w:name w:val="Body text (5)"/>
    <w:basedOn w:val="Normln"/>
    <w:link w:val="Bodytext5"/>
    <w:pPr>
      <w:shd w:val="clear" w:color="auto" w:fill="FFFFFF"/>
      <w:spacing w:before="100" w:after="100" w:line="190" w:lineRule="exact"/>
      <w:ind w:hanging="420"/>
      <w:jc w:val="both"/>
    </w:pPr>
    <w:rPr>
      <w:rFonts w:ascii="Arial" w:eastAsia="Arial" w:hAnsi="Arial" w:cs="Arial"/>
      <w:b/>
      <w:bCs/>
      <w:sz w:val="17"/>
      <w:szCs w:val="17"/>
    </w:rPr>
  </w:style>
  <w:style w:type="paragraph" w:customStyle="1" w:styleId="Bodytext60">
    <w:name w:val="Body text (6)"/>
    <w:basedOn w:val="Normln"/>
    <w:link w:val="Bodytext6"/>
    <w:pPr>
      <w:shd w:val="clear" w:color="auto" w:fill="FFFFFF"/>
      <w:spacing w:line="245" w:lineRule="exact"/>
      <w:ind w:hanging="420"/>
      <w:jc w:val="both"/>
    </w:pPr>
    <w:rPr>
      <w:rFonts w:ascii="Arial" w:eastAsia="Arial" w:hAnsi="Arial" w:cs="Arial"/>
      <w:b/>
      <w:bCs/>
      <w:sz w:val="17"/>
      <w:szCs w:val="17"/>
    </w:rPr>
  </w:style>
  <w:style w:type="paragraph" w:customStyle="1" w:styleId="Bodytext70">
    <w:name w:val="Body text (7)"/>
    <w:basedOn w:val="Normln"/>
    <w:link w:val="Bodytext7"/>
    <w:pPr>
      <w:shd w:val="clear" w:color="auto" w:fill="FFFFFF"/>
      <w:spacing w:before="280" w:line="274" w:lineRule="exact"/>
      <w:ind w:hanging="420"/>
      <w:jc w:val="both"/>
    </w:pPr>
    <w:rPr>
      <w:rFonts w:ascii="Arial" w:eastAsia="Arial" w:hAnsi="Arial" w:cs="Arial"/>
      <w:b/>
      <w:bCs/>
    </w:rPr>
  </w:style>
  <w:style w:type="paragraph" w:customStyle="1" w:styleId="Heading10">
    <w:name w:val="Heading #1"/>
    <w:basedOn w:val="Normln"/>
    <w:link w:val="Heading1"/>
    <w:pPr>
      <w:shd w:val="clear" w:color="auto" w:fill="FFFFFF"/>
      <w:spacing w:before="1560" w:line="1742" w:lineRule="exact"/>
      <w:jc w:val="both"/>
      <w:outlineLvl w:val="0"/>
    </w:pPr>
    <w:rPr>
      <w:rFonts w:ascii="David" w:eastAsia="David" w:hAnsi="David" w:cs="David"/>
      <w:sz w:val="200"/>
      <w:szCs w:val="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B4E3-0C41-4094-AB0D-5D089FFA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1249</Words>
  <Characters>7373</Characters>
  <Application>Microsoft Office Word</Application>
  <DocSecurity>0</DocSecurity>
  <Lines>61</Lines>
  <Paragraphs>17</Paragraphs>
  <ScaleCrop>false</ScaleCrop>
  <Company>Hudební divadlo Karlín</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5</cp:revision>
  <dcterms:created xsi:type="dcterms:W3CDTF">2019-08-05T14:12:00Z</dcterms:created>
  <dcterms:modified xsi:type="dcterms:W3CDTF">2019-08-14T21:41:00Z</dcterms:modified>
</cp:coreProperties>
</file>