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9-433/F5006/19/RS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INGOS s.r.o.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K Nouzovu 2090, 143 00 Praha 4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64580903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CZ64580903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03/2020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17.07.2019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akce:1/2/F50/06</w:t>
            </w:r>
          </w:p>
          <w:p w:rsidR="00DB7B85" w:rsidRDefault="00344316">
            <w:r>
              <w:t>Název akce:Celková přestavba ÚČOV na Císařském ostrově, etapa 007 - nátoky na ÚČOV - III. etapa</w:t>
            </w:r>
          </w:p>
          <w:p w:rsidR="00DB7B85" w:rsidRDefault="00DB7B85"/>
          <w:p w:rsidR="00DB7B85" w:rsidRDefault="00344316">
            <w:r>
              <w:t>Na základě Vaší nabídky č. 31.821.16/03 ze</w:t>
            </w:r>
            <w:r>
              <w:t xml:space="preserve"> dne 16.7.2019 objednáváme odbornou technickou a konzultační činnost  při realizaci stavby HP EF, část elektro, VN a SŘTP.</w:t>
            </w:r>
          </w:p>
          <w:p w:rsidR="00DB7B85" w:rsidRDefault="00DB7B85"/>
          <w:p w:rsidR="00DB7B85" w:rsidRDefault="00344316">
            <w:r>
              <w:t>Termín:     od 1.7.2019 do 31.3.2020</w:t>
            </w:r>
          </w:p>
          <w:p w:rsidR="00DB7B85" w:rsidRDefault="00DB7B85"/>
          <w:p w:rsidR="00DB7B85" w:rsidRDefault="00344316">
            <w:r>
              <w:t>Cena:        nepřekročí 496.000,- Kč a bude doložena kalkulací dle skutečně provedených prací</w:t>
            </w:r>
          </w:p>
          <w:p w:rsidR="00DB7B85" w:rsidRDefault="00344316">
            <w:r>
              <w:t>Celkový rozsah maximálně 200 hodin, hodinová sazba je 1160,- Kč/hod (vysoce kvalifikované koncepční a koordinační práce) a 300 hodin, hodinová sazba 880,- Kč/hod (velmi náročné a koncepční práce). Předpokládá se měsíční fakturace.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344316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316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B7B85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CF36-3D73-4D5A-B7FF-D5E7F600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2019-08-14T10:48:00Z</dcterms:created>
  <dcterms:modified xsi:type="dcterms:W3CDTF">2019-08-14T10:48:00Z</dcterms:modified>
</cp:coreProperties>
</file>