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BOHEMIA VITAE Jindřichův Hradec, a.s.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Jarošov nad Nežárkou 239, 37841 Jarošov nad Nežárkou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Děbolín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6 234,33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89 632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9 984,74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Lhota u Stráže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40 500,00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8 957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867,52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Jindřichův Hradec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7 417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730,90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Libořezy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39 200,00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23 182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2 049,20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Mníšek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17 223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1 471,95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Příbraz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1 166,19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Radouňka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76 481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10 244,40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19 483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4 142,44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manipulační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75 298,80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3 627,82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25 125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47 840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6 408,02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207 764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27 829,36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96 277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12 896,02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37 713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108 033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14 470,70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80 051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10 722,59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27 460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3 678,18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74 878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10 029,68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55 905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7 488,31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35 533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4 759,54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3 165,70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715,01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142 794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19 126,83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4 118,47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167 873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22 486,08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jen pozemek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921,56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282 967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37 902,58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1 894,68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39 082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5 234,92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639,20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1 110,02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50 203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6 724,54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2 316,35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223 200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29 896,97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přístup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75 298,40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2 264 707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299 902,39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Stráž nad Nežárkou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616,08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282,74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3 498,84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16 741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374,06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1,025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178 085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23 050,29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Stříbřec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2,255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1 264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120,85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2 602 683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339 344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č.167N02/17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16710217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1.9.2002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339 344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5.8.2019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1.9.2002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