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4" w:rsidRPr="0063009B" w:rsidRDefault="00A75133" w:rsidP="0063009B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3009B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3009B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3009B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Pr="00B852AB" w:rsidRDefault="00B852AB" w:rsidP="00B852AB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B852AB" w:rsidRPr="00B852AB" w:rsidRDefault="00B852AB" w:rsidP="00B852AB"/>
    <w:p w:rsidR="005F7FA9" w:rsidRPr="00730E84" w:rsidRDefault="005F7FA9" w:rsidP="005F7FA9">
      <w:pPr>
        <w:pStyle w:val="Zkladntext"/>
        <w:spacing w:line="240" w:lineRule="exact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9923FB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940, 401 17 Ústí nad Labem</w:t>
      </w:r>
    </w:p>
    <w:p w:rsidR="005F7FA9" w:rsidRPr="00730E84" w:rsidRDefault="005F7FA9" w:rsidP="004935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9923FB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49354F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1C0BF8">
      <w:pPr>
        <w:shd w:val="clear" w:color="auto" w:fill="FFFFFF"/>
        <w:tabs>
          <w:tab w:val="left" w:pos="1843"/>
        </w:tabs>
        <w:ind w:left="2124"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49354F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345FA" w:rsidRDefault="001345FA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</w:p>
    <w:p w:rsidR="001C0BF8" w:rsidRPr="00DB56BC" w:rsidRDefault="00793184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1C0BF8" w:rsidRPr="00DB56BC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>Plynárenská 499/1, 657 02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 xml:space="preserve">Brno </w:t>
      </w:r>
    </w:p>
    <w:p w:rsidR="0049354F" w:rsidRPr="00DB56BC" w:rsidRDefault="0049354F" w:rsidP="0049354F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512D7B" w:rsidRPr="0049354F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1C0BF8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270326" w:rsidRPr="008813A3" w:rsidRDefault="00270326" w:rsidP="00270326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813A3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Petr Hřebec</w:t>
      </w:r>
      <w:r w:rsidRPr="008813A3">
        <w:rPr>
          <w:rFonts w:ascii="Arial" w:hAnsi="Arial" w:cs="Arial"/>
          <w:sz w:val="22"/>
          <w:szCs w:val="22"/>
        </w:rPr>
        <w:t xml:space="preserve">, vedoucí přípravy staveb </w:t>
      </w:r>
    </w:p>
    <w:p w:rsidR="00270326" w:rsidRPr="00DB56BC" w:rsidRDefault="00270326" w:rsidP="00270326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813A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Ing. Lenka </w:t>
      </w:r>
      <w:r w:rsidR="00EF0679">
        <w:rPr>
          <w:rFonts w:ascii="Arial" w:hAnsi="Arial" w:cs="Arial"/>
          <w:b/>
          <w:sz w:val="22"/>
          <w:szCs w:val="22"/>
        </w:rPr>
        <w:t>Mendlíková</w:t>
      </w:r>
      <w:r w:rsidRPr="008813A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oddělení majetkoprávní podpory</w:t>
      </w:r>
    </w:p>
    <w:p w:rsidR="00461FD4" w:rsidRPr="0063009B" w:rsidRDefault="00461FD4" w:rsidP="00E4735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C2030E" w:rsidRDefault="00C2030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31077" w:rsidRPr="0063009B" w:rsidRDefault="0043107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9354F" w:rsidRDefault="0049354F" w:rsidP="0063009B">
      <w:pPr>
        <w:jc w:val="center"/>
        <w:rPr>
          <w:rFonts w:ascii="Arial" w:hAnsi="Arial" w:cs="Arial"/>
          <w:b/>
          <w:snapToGrid w:val="0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F1547E">
        <w:rPr>
          <w:rFonts w:ascii="Arial" w:hAnsi="Arial" w:cs="Arial"/>
          <w:b/>
          <w:snapToGrid w:val="0"/>
        </w:rPr>
        <w:t>742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D91B11">
        <w:rPr>
          <w:rFonts w:ascii="Arial" w:hAnsi="Arial" w:cs="Arial"/>
          <w:b/>
          <w:snapToGrid w:val="0"/>
        </w:rPr>
        <w:t>6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Pr="00E146ED" w:rsidRDefault="00830390" w:rsidP="00E146ED">
      <w:pPr>
        <w:jc w:val="center"/>
        <w:rPr>
          <w:rFonts w:ascii="Arial" w:hAnsi="Arial" w:cs="Arial"/>
          <w:b/>
        </w:rPr>
      </w:pPr>
      <w:r w:rsidRPr="00104F28">
        <w:rPr>
          <w:rFonts w:ascii="Arial" w:hAnsi="Arial" w:cs="Arial"/>
          <w:b/>
        </w:rPr>
        <w:t xml:space="preserve">č. </w:t>
      </w:r>
      <w:r w:rsidR="00861A2A">
        <w:rPr>
          <w:rFonts w:ascii="Arial" w:hAnsi="Arial" w:cs="Arial"/>
          <w:b/>
        </w:rPr>
        <w:t>7700072802_1/BVB</w:t>
      </w: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EE4930" w:rsidRDefault="00EE4930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C2030E" w:rsidRDefault="00C2030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31077" w:rsidRPr="00120018" w:rsidRDefault="00431077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D0551A" w:rsidRDefault="00461FD4" w:rsidP="00B52D2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1. Budoucí povinný prohlašuje, že je vlastníkem</w:t>
      </w:r>
      <w:r w:rsidR="007C527D">
        <w:rPr>
          <w:rFonts w:ascii="Arial" w:hAnsi="Arial" w:cs="Arial"/>
          <w:sz w:val="22"/>
          <w:szCs w:val="22"/>
        </w:rPr>
        <w:t xml:space="preserve"> </w:t>
      </w:r>
      <w:r w:rsidR="007C527D" w:rsidRPr="007052FB">
        <w:rPr>
          <w:rFonts w:ascii="Arial" w:hAnsi="Arial" w:cs="Arial"/>
          <w:sz w:val="22"/>
          <w:szCs w:val="22"/>
        </w:rPr>
        <w:t>pozemk</w:t>
      </w:r>
      <w:r w:rsidR="00D91B11">
        <w:rPr>
          <w:rFonts w:ascii="Arial" w:hAnsi="Arial" w:cs="Arial"/>
          <w:sz w:val="22"/>
          <w:szCs w:val="22"/>
        </w:rPr>
        <w:t>ů</w:t>
      </w:r>
      <w:r w:rsidRPr="00120018">
        <w:rPr>
          <w:rFonts w:ascii="Arial" w:hAnsi="Arial" w:cs="Arial"/>
          <w:sz w:val="22"/>
          <w:szCs w:val="22"/>
        </w:rPr>
        <w:t xml:space="preserve"> </w:t>
      </w:r>
      <w:r w:rsidR="00D420B0" w:rsidRPr="00120018">
        <w:rPr>
          <w:rFonts w:ascii="Arial" w:hAnsi="Arial" w:cs="Arial"/>
          <w:sz w:val="22"/>
          <w:szCs w:val="22"/>
        </w:rPr>
        <w:t>p.č.</w:t>
      </w:r>
      <w:r w:rsidR="002F30C9" w:rsidRPr="00120018">
        <w:rPr>
          <w:rFonts w:ascii="Arial" w:hAnsi="Arial" w:cs="Arial"/>
          <w:sz w:val="22"/>
          <w:szCs w:val="22"/>
        </w:rPr>
        <w:t xml:space="preserve"> </w:t>
      </w:r>
      <w:r w:rsidR="00F1547E">
        <w:rPr>
          <w:rFonts w:ascii="Arial" w:hAnsi="Arial" w:cs="Arial"/>
          <w:sz w:val="22"/>
          <w:szCs w:val="22"/>
        </w:rPr>
        <w:t>2689, 2345/1, 589/14, 589/1</w:t>
      </w:r>
      <w:r w:rsidR="00D91B11">
        <w:rPr>
          <w:rFonts w:ascii="Arial" w:hAnsi="Arial" w:cs="Arial"/>
          <w:sz w:val="22"/>
          <w:szCs w:val="22"/>
        </w:rPr>
        <w:t>, vše</w:t>
      </w:r>
      <w:r w:rsidR="000E6DFF" w:rsidRPr="00120018">
        <w:rPr>
          <w:rFonts w:ascii="Arial" w:hAnsi="Arial" w:cs="Arial"/>
          <w:sz w:val="22"/>
          <w:szCs w:val="22"/>
        </w:rPr>
        <w:t xml:space="preserve"> </w:t>
      </w:r>
      <w:r w:rsidR="00AB2DF6" w:rsidRPr="00120018">
        <w:rPr>
          <w:rFonts w:ascii="Arial" w:hAnsi="Arial" w:cs="Arial"/>
          <w:sz w:val="22"/>
          <w:szCs w:val="22"/>
        </w:rPr>
        <w:t xml:space="preserve">v k.ú. </w:t>
      </w:r>
      <w:r w:rsidR="00DB2F34">
        <w:rPr>
          <w:rFonts w:ascii="Arial" w:hAnsi="Arial" w:cs="Arial"/>
          <w:sz w:val="22"/>
          <w:szCs w:val="22"/>
        </w:rPr>
        <w:t>Jablonec</w:t>
      </w:r>
      <w:r w:rsidR="00D91B11">
        <w:rPr>
          <w:rFonts w:ascii="Arial" w:hAnsi="Arial" w:cs="Arial"/>
          <w:sz w:val="22"/>
          <w:szCs w:val="22"/>
        </w:rPr>
        <w:t xml:space="preserve"> nad Nisou,</w:t>
      </w:r>
      <w:r w:rsidR="00F73C5D" w:rsidRPr="00120018">
        <w:rPr>
          <w:rFonts w:ascii="Arial" w:hAnsi="Arial" w:cs="Arial"/>
          <w:sz w:val="22"/>
          <w:szCs w:val="22"/>
        </w:rPr>
        <w:t xml:space="preserve"> </w:t>
      </w:r>
      <w:r w:rsidR="007A3DE5" w:rsidRPr="00120018">
        <w:rPr>
          <w:rFonts w:ascii="Arial" w:hAnsi="Arial" w:cs="Arial"/>
          <w:noProof/>
          <w:sz w:val="22"/>
          <w:szCs w:val="22"/>
        </w:rPr>
        <w:t>zapsan</w:t>
      </w:r>
      <w:r w:rsidR="00D91B11">
        <w:rPr>
          <w:rFonts w:ascii="Arial" w:hAnsi="Arial" w:cs="Arial"/>
          <w:noProof/>
          <w:sz w:val="22"/>
          <w:szCs w:val="22"/>
        </w:rPr>
        <w:t>ýc</w:t>
      </w:r>
      <w:r w:rsidR="00B852AB">
        <w:rPr>
          <w:rFonts w:ascii="Arial" w:hAnsi="Arial" w:cs="Arial"/>
          <w:noProof/>
          <w:sz w:val="22"/>
          <w:szCs w:val="22"/>
        </w:rPr>
        <w:t>h</w:t>
      </w:r>
      <w:r w:rsidR="007A3DE5" w:rsidRPr="00120018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120018">
        <w:rPr>
          <w:rFonts w:ascii="Arial" w:hAnsi="Arial" w:cs="Arial"/>
          <w:bCs/>
          <w:sz w:val="22"/>
          <w:szCs w:val="22"/>
        </w:rPr>
        <w:t>na L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120018">
        <w:rPr>
          <w:rFonts w:ascii="Arial" w:hAnsi="Arial" w:cs="Arial"/>
          <w:noProof/>
          <w:sz w:val="22"/>
          <w:szCs w:val="22"/>
        </w:rPr>
        <w:t>10001</w:t>
      </w:r>
      <w:r w:rsidR="00AB2DF6" w:rsidRPr="00120018">
        <w:rPr>
          <w:rFonts w:ascii="Arial" w:hAnsi="Arial" w:cs="Arial"/>
          <w:sz w:val="22"/>
          <w:szCs w:val="22"/>
        </w:rPr>
        <w:t xml:space="preserve"> u</w:t>
      </w:r>
      <w:r w:rsidR="008E6FD2" w:rsidRPr="00120018">
        <w:rPr>
          <w:rFonts w:ascii="Arial" w:hAnsi="Arial" w:cs="Arial"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120018">
        <w:rPr>
          <w:rFonts w:ascii="Arial" w:hAnsi="Arial" w:cs="Arial"/>
          <w:bCs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120018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120018">
        <w:rPr>
          <w:rFonts w:ascii="Arial" w:hAnsi="Arial" w:cs="Arial"/>
          <w:sz w:val="22"/>
          <w:szCs w:val="22"/>
        </w:rPr>
        <w:t xml:space="preserve"> (dále </w:t>
      </w:r>
      <w:r w:rsidR="00AB2DF6" w:rsidRPr="00D0551A">
        <w:rPr>
          <w:rFonts w:ascii="Arial" w:hAnsi="Arial" w:cs="Arial"/>
          <w:sz w:val="22"/>
          <w:szCs w:val="22"/>
        </w:rPr>
        <w:t xml:space="preserve">jen </w:t>
      </w:r>
      <w:r w:rsidR="00D0551A" w:rsidRPr="00D0551A">
        <w:rPr>
          <w:rFonts w:ascii="Arial" w:hAnsi="Arial" w:cs="Arial"/>
          <w:iCs/>
          <w:sz w:val="22"/>
          <w:szCs w:val="22"/>
        </w:rPr>
        <w:t>„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D0551A" w:rsidRPr="00D0551A">
        <w:rPr>
          <w:rFonts w:ascii="Arial" w:hAnsi="Arial" w:cs="Arial"/>
          <w:iCs/>
          <w:sz w:val="22"/>
          <w:szCs w:val="22"/>
        </w:rPr>
        <w:t>udoucí služebn</w:t>
      </w:r>
      <w:r w:rsidR="00D91B11">
        <w:rPr>
          <w:rFonts w:ascii="Arial" w:hAnsi="Arial" w:cs="Arial"/>
          <w:iCs/>
          <w:sz w:val="22"/>
          <w:szCs w:val="22"/>
        </w:rPr>
        <w:t>é</w:t>
      </w:r>
      <w:r w:rsidR="00D0551A" w:rsidRPr="00D0551A">
        <w:rPr>
          <w:rFonts w:ascii="Arial" w:hAnsi="Arial" w:cs="Arial"/>
          <w:iCs/>
          <w:sz w:val="22"/>
          <w:szCs w:val="22"/>
        </w:rPr>
        <w:t xml:space="preserve"> pozemk</w:t>
      </w:r>
      <w:r w:rsidR="00D91B11">
        <w:rPr>
          <w:rFonts w:ascii="Arial" w:hAnsi="Arial" w:cs="Arial"/>
          <w:iCs/>
          <w:sz w:val="22"/>
          <w:szCs w:val="22"/>
        </w:rPr>
        <w:t>y</w:t>
      </w:r>
      <w:r w:rsidR="00D0551A" w:rsidRPr="00D0551A">
        <w:rPr>
          <w:rFonts w:ascii="Arial" w:hAnsi="Arial" w:cs="Arial"/>
          <w:iCs/>
          <w:sz w:val="22"/>
          <w:szCs w:val="22"/>
        </w:rPr>
        <w:t>“</w:t>
      </w:r>
      <w:r w:rsidR="00C2030E">
        <w:rPr>
          <w:rFonts w:ascii="Arial" w:hAnsi="Arial" w:cs="Arial"/>
          <w:iCs/>
          <w:sz w:val="22"/>
          <w:szCs w:val="22"/>
        </w:rPr>
        <w:t>)</w:t>
      </w:r>
      <w:r w:rsidR="00D0551A" w:rsidRPr="00D0551A">
        <w:rPr>
          <w:rFonts w:ascii="Arial" w:hAnsi="Arial" w:cs="Arial"/>
          <w:iCs/>
          <w:sz w:val="22"/>
          <w:szCs w:val="22"/>
        </w:rPr>
        <w:t>.</w:t>
      </w:r>
    </w:p>
    <w:p w:rsidR="00524DA9" w:rsidRDefault="00743B2A" w:rsidP="00B52D26">
      <w:pPr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2.</w:t>
      </w:r>
      <w:r w:rsidR="00524DA9">
        <w:rPr>
          <w:rFonts w:ascii="Arial" w:hAnsi="Arial" w:cs="Arial"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 xml:space="preserve">Budoucí oprávněný bere výslovně na vědomí, že p.p.č. </w:t>
      </w:r>
      <w:r w:rsidR="00F1547E">
        <w:rPr>
          <w:rFonts w:ascii="Arial" w:hAnsi="Arial" w:cs="Arial"/>
          <w:sz w:val="22"/>
          <w:szCs w:val="22"/>
        </w:rPr>
        <w:t>2345/1</w:t>
      </w:r>
      <w:r w:rsidR="00DB2F34">
        <w:rPr>
          <w:rFonts w:ascii="Arial" w:hAnsi="Arial" w:cs="Arial"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 xml:space="preserve">v k.ú. </w:t>
      </w:r>
      <w:r w:rsidR="00DB2F34">
        <w:rPr>
          <w:rFonts w:ascii="Arial" w:hAnsi="Arial" w:cs="Arial"/>
          <w:bCs/>
          <w:sz w:val="22"/>
          <w:szCs w:val="22"/>
        </w:rPr>
        <w:t>Jablonec</w:t>
      </w:r>
      <w:r w:rsidR="00D91B11">
        <w:rPr>
          <w:rFonts w:ascii="Arial" w:hAnsi="Arial" w:cs="Arial"/>
          <w:bCs/>
          <w:sz w:val="22"/>
          <w:szCs w:val="22"/>
        </w:rPr>
        <w:t xml:space="preserve"> nad Nisou</w:t>
      </w:r>
      <w:r w:rsidR="00524DA9">
        <w:rPr>
          <w:rFonts w:ascii="Arial" w:hAnsi="Arial" w:cs="Arial"/>
          <w:bCs/>
          <w:sz w:val="22"/>
          <w:szCs w:val="22"/>
        </w:rPr>
        <w:t xml:space="preserve"> j</w:t>
      </w:r>
      <w:r w:rsidR="00F1547E">
        <w:rPr>
          <w:rFonts w:ascii="Arial" w:hAnsi="Arial" w:cs="Arial"/>
          <w:bCs/>
          <w:sz w:val="22"/>
          <w:szCs w:val="22"/>
        </w:rPr>
        <w:t>e</w:t>
      </w:r>
      <w:r w:rsidR="00431077">
        <w:rPr>
          <w:rFonts w:ascii="Arial" w:hAnsi="Arial" w:cs="Arial"/>
          <w:bCs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>dotčen</w:t>
      </w:r>
      <w:r w:rsidR="00F1547E">
        <w:rPr>
          <w:rFonts w:ascii="Arial" w:hAnsi="Arial" w:cs="Arial"/>
          <w:bCs/>
          <w:sz w:val="22"/>
          <w:szCs w:val="22"/>
        </w:rPr>
        <w:t>a</w:t>
      </w:r>
      <w:r w:rsidR="00524DA9">
        <w:rPr>
          <w:rFonts w:ascii="Arial" w:hAnsi="Arial" w:cs="Arial"/>
          <w:bCs/>
          <w:sz w:val="22"/>
          <w:szCs w:val="22"/>
        </w:rPr>
        <w:t xml:space="preserve"> </w:t>
      </w:r>
      <w:r w:rsidR="00926897">
        <w:rPr>
          <w:rFonts w:ascii="Arial" w:hAnsi="Arial" w:cs="Arial"/>
          <w:bCs/>
          <w:sz w:val="22"/>
          <w:szCs w:val="22"/>
        </w:rPr>
        <w:t>Grantem EIB</w:t>
      </w:r>
      <w:r w:rsidR="00524DA9">
        <w:rPr>
          <w:rFonts w:ascii="Arial" w:hAnsi="Arial" w:cs="Arial"/>
          <w:bCs/>
          <w:sz w:val="22"/>
          <w:szCs w:val="22"/>
        </w:rPr>
        <w:t xml:space="preserve"> „</w:t>
      </w:r>
      <w:r w:rsidR="00926897">
        <w:rPr>
          <w:rFonts w:ascii="Arial" w:hAnsi="Arial" w:cs="Arial"/>
          <w:bCs/>
          <w:sz w:val="22"/>
          <w:szCs w:val="22"/>
        </w:rPr>
        <w:t>Rekonstrukce ulic a chodníků</w:t>
      </w:r>
      <w:r w:rsidR="00F1547E">
        <w:rPr>
          <w:rFonts w:ascii="Arial" w:hAnsi="Arial" w:cs="Arial"/>
          <w:bCs/>
          <w:sz w:val="22"/>
          <w:szCs w:val="22"/>
        </w:rPr>
        <w:t xml:space="preserve"> (velkoplošné opravy asfaltových povrchů) </w:t>
      </w:r>
      <w:r w:rsidR="00524DA9">
        <w:rPr>
          <w:rFonts w:ascii="Arial" w:hAnsi="Arial" w:cs="Arial"/>
          <w:bCs/>
          <w:sz w:val="22"/>
          <w:szCs w:val="22"/>
        </w:rPr>
        <w:t>“ a</w:t>
      </w:r>
      <w:r w:rsidR="007651CE">
        <w:rPr>
          <w:rFonts w:ascii="Arial" w:hAnsi="Arial" w:cs="Arial"/>
          <w:bCs/>
          <w:sz w:val="22"/>
          <w:szCs w:val="22"/>
        </w:rPr>
        <w:t> </w:t>
      </w:r>
      <w:r w:rsidR="00524DA9">
        <w:rPr>
          <w:rFonts w:ascii="Arial" w:hAnsi="Arial" w:cs="Arial"/>
          <w:bCs/>
          <w:sz w:val="22"/>
          <w:szCs w:val="22"/>
        </w:rPr>
        <w:t>její výsledky musí být zachovány po dobu udržitelnosti projektu, tj. minimálně do 31. 12. 20</w:t>
      </w:r>
      <w:r w:rsidR="003D60AC">
        <w:rPr>
          <w:rFonts w:ascii="Arial" w:hAnsi="Arial" w:cs="Arial"/>
          <w:bCs/>
          <w:sz w:val="22"/>
          <w:szCs w:val="22"/>
        </w:rPr>
        <w:t>16</w:t>
      </w:r>
      <w:r w:rsidR="004A1D28">
        <w:rPr>
          <w:rFonts w:ascii="Arial" w:hAnsi="Arial" w:cs="Arial"/>
          <w:bCs/>
          <w:sz w:val="22"/>
          <w:szCs w:val="22"/>
        </w:rPr>
        <w:t xml:space="preserve"> a</w:t>
      </w:r>
      <w:r w:rsidR="008F758D">
        <w:rPr>
          <w:rFonts w:ascii="Arial" w:hAnsi="Arial" w:cs="Arial"/>
          <w:bCs/>
          <w:sz w:val="22"/>
          <w:szCs w:val="22"/>
        </w:rPr>
        <w:t> </w:t>
      </w:r>
      <w:r w:rsidR="00671A93">
        <w:rPr>
          <w:rFonts w:ascii="Arial" w:hAnsi="Arial" w:cs="Arial"/>
          <w:bCs/>
          <w:sz w:val="22"/>
          <w:szCs w:val="22"/>
        </w:rPr>
        <w:t xml:space="preserve">Dotací </w:t>
      </w:r>
      <w:r w:rsidR="00F1547E">
        <w:rPr>
          <w:rFonts w:ascii="Arial" w:hAnsi="Arial" w:cs="Arial"/>
          <w:bCs/>
          <w:sz w:val="22"/>
          <w:szCs w:val="22"/>
        </w:rPr>
        <w:t>I</w:t>
      </w:r>
      <w:r w:rsidR="004A1D28">
        <w:rPr>
          <w:rFonts w:ascii="Arial" w:hAnsi="Arial" w:cs="Arial"/>
          <w:bCs/>
          <w:sz w:val="22"/>
          <w:szCs w:val="22"/>
        </w:rPr>
        <w:t>O</w:t>
      </w:r>
      <w:r w:rsidR="00F1547E">
        <w:rPr>
          <w:rFonts w:ascii="Arial" w:hAnsi="Arial" w:cs="Arial"/>
          <w:bCs/>
          <w:sz w:val="22"/>
          <w:szCs w:val="22"/>
        </w:rPr>
        <w:t>P/IPRM 2015</w:t>
      </w:r>
      <w:r w:rsidR="00671A93">
        <w:rPr>
          <w:rFonts w:ascii="Arial" w:hAnsi="Arial" w:cs="Arial"/>
          <w:bCs/>
          <w:sz w:val="22"/>
          <w:szCs w:val="22"/>
        </w:rPr>
        <w:t xml:space="preserve"> „</w:t>
      </w:r>
      <w:r w:rsidR="00F1547E">
        <w:rPr>
          <w:rFonts w:ascii="Arial" w:hAnsi="Arial" w:cs="Arial"/>
          <w:bCs/>
          <w:sz w:val="22"/>
          <w:szCs w:val="22"/>
        </w:rPr>
        <w:t>Obytný soubor Řetízková a otočka MHD na Žižkově vrchu v Jablonci nad</w:t>
      </w:r>
      <w:r w:rsidR="008F758D">
        <w:rPr>
          <w:rFonts w:ascii="Arial" w:hAnsi="Arial" w:cs="Arial"/>
          <w:bCs/>
          <w:sz w:val="22"/>
          <w:szCs w:val="22"/>
        </w:rPr>
        <w:t> </w:t>
      </w:r>
      <w:r w:rsidR="00F1547E">
        <w:rPr>
          <w:rFonts w:ascii="Arial" w:hAnsi="Arial" w:cs="Arial"/>
          <w:bCs/>
          <w:sz w:val="22"/>
          <w:szCs w:val="22"/>
        </w:rPr>
        <w:t>Nisou</w:t>
      </w:r>
      <w:r w:rsidR="00671A93">
        <w:rPr>
          <w:rFonts w:ascii="Arial" w:hAnsi="Arial" w:cs="Arial"/>
          <w:bCs/>
          <w:sz w:val="22"/>
          <w:szCs w:val="22"/>
        </w:rPr>
        <w:t>“ a její výsledky musí být zachovány po dobu udržitelnosti projektu, tj. minimálně do 31. 12. 202</w:t>
      </w:r>
      <w:r w:rsidR="00F1547E">
        <w:rPr>
          <w:rFonts w:ascii="Arial" w:hAnsi="Arial" w:cs="Arial"/>
          <w:bCs/>
          <w:sz w:val="22"/>
          <w:szCs w:val="22"/>
        </w:rPr>
        <w:t>0</w:t>
      </w:r>
      <w:r w:rsidR="003D60AC">
        <w:rPr>
          <w:rFonts w:ascii="Arial" w:hAnsi="Arial" w:cs="Arial"/>
          <w:bCs/>
          <w:sz w:val="22"/>
          <w:szCs w:val="22"/>
        </w:rPr>
        <w:t xml:space="preserve"> a </w:t>
      </w:r>
      <w:r w:rsidR="00F1547E">
        <w:rPr>
          <w:rFonts w:ascii="Arial" w:hAnsi="Arial" w:cs="Arial"/>
          <w:bCs/>
          <w:sz w:val="22"/>
          <w:szCs w:val="22"/>
        </w:rPr>
        <w:t>p</w:t>
      </w:r>
      <w:r w:rsidR="003D60AC">
        <w:rPr>
          <w:rFonts w:ascii="Arial" w:hAnsi="Arial" w:cs="Arial"/>
          <w:bCs/>
          <w:sz w:val="22"/>
          <w:szCs w:val="22"/>
        </w:rPr>
        <w:t xml:space="preserve">.p.č. </w:t>
      </w:r>
      <w:r w:rsidR="00F1547E">
        <w:rPr>
          <w:rFonts w:ascii="Arial" w:hAnsi="Arial" w:cs="Arial"/>
          <w:bCs/>
          <w:sz w:val="22"/>
          <w:szCs w:val="22"/>
        </w:rPr>
        <w:t>589/14</w:t>
      </w:r>
      <w:r w:rsidR="003D60AC">
        <w:rPr>
          <w:rFonts w:ascii="Arial" w:hAnsi="Arial" w:cs="Arial"/>
          <w:bCs/>
          <w:sz w:val="22"/>
          <w:szCs w:val="22"/>
        </w:rPr>
        <w:t xml:space="preserve"> v k.ú. Jablonec nad Nisou je dotčena </w:t>
      </w:r>
      <w:r w:rsidR="00F27924">
        <w:rPr>
          <w:rFonts w:ascii="Arial" w:hAnsi="Arial" w:cs="Arial"/>
          <w:bCs/>
          <w:sz w:val="22"/>
          <w:szCs w:val="22"/>
        </w:rPr>
        <w:t>Grantem EIB</w:t>
      </w:r>
      <w:r w:rsidR="003D60AC">
        <w:rPr>
          <w:rFonts w:ascii="Arial" w:hAnsi="Arial" w:cs="Arial"/>
          <w:bCs/>
          <w:sz w:val="22"/>
          <w:szCs w:val="22"/>
        </w:rPr>
        <w:t xml:space="preserve"> „</w:t>
      </w:r>
      <w:r w:rsidR="00F1547E">
        <w:rPr>
          <w:rFonts w:ascii="Arial" w:hAnsi="Arial" w:cs="Arial"/>
          <w:bCs/>
          <w:sz w:val="22"/>
          <w:szCs w:val="22"/>
        </w:rPr>
        <w:t>Rekonstrukce ulic a</w:t>
      </w:r>
      <w:r w:rsidR="007651CE">
        <w:rPr>
          <w:rFonts w:ascii="Arial" w:hAnsi="Arial" w:cs="Arial"/>
          <w:bCs/>
          <w:sz w:val="22"/>
          <w:szCs w:val="22"/>
        </w:rPr>
        <w:t> </w:t>
      </w:r>
      <w:r w:rsidR="00F1547E">
        <w:rPr>
          <w:rFonts w:ascii="Arial" w:hAnsi="Arial" w:cs="Arial"/>
          <w:bCs/>
          <w:sz w:val="22"/>
          <w:szCs w:val="22"/>
        </w:rPr>
        <w:t>chodníků (ul. Ještědská)</w:t>
      </w:r>
      <w:r w:rsidR="003D60AC">
        <w:rPr>
          <w:rFonts w:ascii="Arial" w:hAnsi="Arial" w:cs="Arial"/>
          <w:bCs/>
          <w:sz w:val="22"/>
          <w:szCs w:val="22"/>
        </w:rPr>
        <w:t>“ a její výsledky musí být zachovány po dobu udržitelnosti projektu, tj. minimálně do 31. 12. 20</w:t>
      </w:r>
      <w:r w:rsidR="00F27924">
        <w:rPr>
          <w:rFonts w:ascii="Arial" w:hAnsi="Arial" w:cs="Arial"/>
          <w:bCs/>
          <w:sz w:val="22"/>
          <w:szCs w:val="22"/>
        </w:rPr>
        <w:t>16</w:t>
      </w:r>
      <w:r w:rsidR="00671A93">
        <w:rPr>
          <w:rFonts w:ascii="Arial" w:hAnsi="Arial" w:cs="Arial"/>
          <w:bCs/>
          <w:sz w:val="22"/>
          <w:szCs w:val="22"/>
        </w:rPr>
        <w:t xml:space="preserve">. </w:t>
      </w:r>
      <w:r w:rsidR="00524DA9">
        <w:rPr>
          <w:rFonts w:ascii="Arial" w:hAnsi="Arial" w:cs="Arial"/>
          <w:bCs/>
          <w:sz w:val="22"/>
          <w:szCs w:val="22"/>
        </w:rPr>
        <w:t>Neuvedení</w:t>
      </w:r>
      <w:r w:rsidR="00F27924">
        <w:rPr>
          <w:rFonts w:ascii="Arial" w:hAnsi="Arial" w:cs="Arial"/>
          <w:bCs/>
          <w:sz w:val="22"/>
          <w:szCs w:val="22"/>
        </w:rPr>
        <w:t xml:space="preserve"> </w:t>
      </w:r>
      <w:r w:rsidR="00524DA9">
        <w:rPr>
          <w:rFonts w:ascii="Arial" w:hAnsi="Arial" w:cs="Arial"/>
          <w:bCs/>
          <w:sz w:val="22"/>
          <w:szCs w:val="22"/>
        </w:rPr>
        <w:t>Služebn</w:t>
      </w:r>
      <w:r w:rsidR="00B52D26">
        <w:rPr>
          <w:rFonts w:ascii="Arial" w:hAnsi="Arial" w:cs="Arial"/>
          <w:bCs/>
          <w:sz w:val="22"/>
          <w:szCs w:val="22"/>
        </w:rPr>
        <w:t>ých</w:t>
      </w:r>
      <w:r w:rsidR="00524DA9">
        <w:rPr>
          <w:rFonts w:ascii="Arial" w:hAnsi="Arial" w:cs="Arial"/>
          <w:bCs/>
          <w:sz w:val="22"/>
          <w:szCs w:val="22"/>
        </w:rPr>
        <w:t xml:space="preserve"> věc</w:t>
      </w:r>
      <w:r w:rsidR="00B52D26">
        <w:rPr>
          <w:rFonts w:ascii="Arial" w:hAnsi="Arial" w:cs="Arial"/>
          <w:bCs/>
          <w:sz w:val="22"/>
          <w:szCs w:val="22"/>
        </w:rPr>
        <w:t>í</w:t>
      </w:r>
      <w:r w:rsidR="00524DA9">
        <w:rPr>
          <w:rFonts w:ascii="Arial" w:hAnsi="Arial" w:cs="Arial"/>
          <w:bCs/>
          <w:sz w:val="22"/>
          <w:szCs w:val="22"/>
        </w:rPr>
        <w:t xml:space="preserve"> nemovit</w:t>
      </w:r>
      <w:r w:rsidR="00B52D26">
        <w:rPr>
          <w:rFonts w:ascii="Arial" w:hAnsi="Arial" w:cs="Arial"/>
          <w:bCs/>
          <w:sz w:val="22"/>
          <w:szCs w:val="22"/>
        </w:rPr>
        <w:t>ých</w:t>
      </w:r>
      <w:r w:rsidR="00524DA9"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jako porušení dotačních podmínek ze</w:t>
      </w:r>
      <w:r w:rsidR="00B52D26">
        <w:rPr>
          <w:rFonts w:ascii="Arial" w:hAnsi="Arial" w:cs="Arial"/>
          <w:bCs/>
          <w:sz w:val="22"/>
          <w:szCs w:val="22"/>
        </w:rPr>
        <w:t> </w:t>
      </w:r>
      <w:r w:rsidR="00524DA9">
        <w:rPr>
          <w:rFonts w:ascii="Arial" w:hAnsi="Arial" w:cs="Arial"/>
          <w:bCs/>
          <w:sz w:val="22"/>
          <w:szCs w:val="22"/>
        </w:rPr>
        <w:t xml:space="preserve">strany statutárního </w:t>
      </w:r>
      <w:r w:rsidR="00524DA9">
        <w:rPr>
          <w:rFonts w:ascii="Arial" w:hAnsi="Arial" w:cs="Arial"/>
          <w:bCs/>
          <w:sz w:val="22"/>
          <w:szCs w:val="22"/>
        </w:rPr>
        <w:lastRenderedPageBreak/>
        <w:t>města Jablonec nad Nisou (Budoucího povinného) a s tím vyplývající sankce pro Budoucího povinného.</w:t>
      </w:r>
    </w:p>
    <w:p w:rsidR="00524DA9" w:rsidRDefault="00524DA9" w:rsidP="00524DA9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případě, že Budoucí povinný zjistí poškození Služebn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>, způsobené v příčinné souvislosti s neuvedením Služebn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 strany Budoucího oprávněného po provedení úkonů vyplývajících z oprávnění z věcného břemene plynárenského zařízení, vyzve Budoucí povinný Budoucího oprávněného k odstranění škody. Výzva Budoucího povinného musí obsahovat lhůtu k odstranění škody, která nesmí být kratší jak 90 dnů. </w:t>
      </w:r>
    </w:p>
    <w:p w:rsidR="00524DA9" w:rsidRDefault="00524DA9" w:rsidP="00524DA9">
      <w:pPr>
        <w:tabs>
          <w:tab w:val="left" w:pos="709"/>
          <w:tab w:val="left" w:pos="1134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Pokud Budoucí oprávněný ve stanovené lhůtě škody neodstraní, nebo nezapočne s jejich odstraňováním, je Budoucí povinný oprávněn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Budoucím oprávněném zaplacení smluvní pokuty ve výši 100.000 Kč. To neplatí v případech, bude-li prodlení Budoucího oprávněného způsobeno okolnostmi vylučujícími odpovědnost.</w:t>
      </w:r>
    </w:p>
    <w:p w:rsidR="00524DA9" w:rsidRDefault="00524DA9" w:rsidP="00524DA9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případě, dojde-li k porušení dotačních podmínek výše uveden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dotační</w:t>
      </w:r>
      <w:r w:rsidR="00B52D26">
        <w:rPr>
          <w:rFonts w:ascii="Arial" w:hAnsi="Arial" w:cs="Arial"/>
          <w:snapToGrid w:val="0"/>
          <w:sz w:val="22"/>
          <w:szCs w:val="22"/>
        </w:rPr>
        <w:t>ch</w:t>
      </w:r>
      <w:r>
        <w:rPr>
          <w:rFonts w:ascii="Arial" w:hAnsi="Arial" w:cs="Arial"/>
          <w:snapToGrid w:val="0"/>
          <w:sz w:val="22"/>
          <w:szCs w:val="22"/>
        </w:rPr>
        <w:t xml:space="preserve"> akc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>, které bude v příčinné s</w:t>
      </w:r>
      <w:r w:rsidR="00B52D26">
        <w:rPr>
          <w:rFonts w:ascii="Arial" w:hAnsi="Arial" w:cs="Arial"/>
          <w:snapToGrid w:val="0"/>
          <w:sz w:val="22"/>
          <w:szCs w:val="22"/>
        </w:rPr>
        <w:t>ouvislosti s neuvedením Služebných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52D26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52D26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 strany Budoucího oprávněného po provedení úkonů</w:t>
      </w:r>
      <w: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Budoucí oprávněný povinen uhradit Budoucímu povinnému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524DA9" w:rsidRDefault="00524DA9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>
        <w:rPr>
          <w:rFonts w:ascii="Arial" w:hAnsi="Arial" w:cs="Arial"/>
          <w:snapToGrid w:val="0"/>
          <w:sz w:val="22"/>
          <w:szCs w:val="22"/>
        </w:rPr>
        <w:t>Budoucích s</w:t>
      </w:r>
      <w:r>
        <w:rPr>
          <w:rFonts w:ascii="Arial" w:hAnsi="Arial" w:cs="Arial"/>
          <w:snapToGrid w:val="0"/>
          <w:sz w:val="22"/>
          <w:szCs w:val="22"/>
        </w:rPr>
        <w:t>lužebn</w:t>
      </w:r>
      <w:r w:rsidR="00D91B11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>
        <w:rPr>
          <w:rFonts w:ascii="Arial" w:hAnsi="Arial" w:cs="Arial"/>
          <w:snapToGrid w:val="0"/>
          <w:sz w:val="22"/>
          <w:szCs w:val="22"/>
        </w:rPr>
        <w:t>pozemcích</w:t>
      </w:r>
      <w:r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461FD4" w:rsidRPr="00120018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743B2A" w:rsidRPr="00120018">
        <w:rPr>
          <w:rFonts w:ascii="Arial" w:hAnsi="Arial" w:cs="Arial"/>
          <w:sz w:val="22"/>
          <w:szCs w:val="22"/>
        </w:rPr>
        <w:t xml:space="preserve"> </w:t>
      </w:r>
      <w:r w:rsidR="00A25C98"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120018">
        <w:rPr>
          <w:rFonts w:ascii="Arial" w:hAnsi="Arial" w:cs="Arial"/>
          <w:sz w:val="22"/>
          <w:szCs w:val="22"/>
        </w:rPr>
        <w:t>je budoucím vlastníkem</w:t>
      </w:r>
      <w:r w:rsidR="00074CE5" w:rsidRPr="00120018">
        <w:rPr>
          <w:rFonts w:ascii="Arial" w:hAnsi="Arial" w:cs="Arial"/>
          <w:sz w:val="22"/>
          <w:szCs w:val="22"/>
        </w:rPr>
        <w:t xml:space="preserve"> plynárenského zařízení </w:t>
      </w:r>
      <w:r w:rsidR="00074CE5" w:rsidRPr="00B57F0E">
        <w:rPr>
          <w:rFonts w:ascii="Arial" w:hAnsi="Arial" w:cs="Arial"/>
          <w:b/>
          <w:sz w:val="22"/>
          <w:szCs w:val="22"/>
        </w:rPr>
        <w:t>„</w:t>
      </w:r>
      <w:r w:rsidR="00064CDB" w:rsidRPr="00B57F0E">
        <w:rPr>
          <w:rFonts w:ascii="Arial" w:hAnsi="Arial" w:cs="Arial"/>
          <w:b/>
          <w:sz w:val="22"/>
          <w:szCs w:val="22"/>
        </w:rPr>
        <w:t>Reko MS Jablonec nad</w:t>
      </w:r>
      <w:r w:rsidR="00DE3397" w:rsidRPr="00B57F0E">
        <w:rPr>
          <w:rFonts w:ascii="Arial" w:hAnsi="Arial" w:cs="Arial"/>
          <w:b/>
          <w:sz w:val="22"/>
          <w:szCs w:val="22"/>
        </w:rPr>
        <w:t> </w:t>
      </w:r>
      <w:r w:rsidR="00064CDB" w:rsidRPr="00B57F0E">
        <w:rPr>
          <w:rFonts w:ascii="Arial" w:hAnsi="Arial" w:cs="Arial"/>
          <w:b/>
          <w:sz w:val="22"/>
          <w:szCs w:val="22"/>
        </w:rPr>
        <w:t xml:space="preserve">Nisou – </w:t>
      </w:r>
      <w:r w:rsidR="00F1547E">
        <w:rPr>
          <w:rFonts w:ascii="Arial" w:hAnsi="Arial" w:cs="Arial"/>
          <w:b/>
          <w:sz w:val="22"/>
          <w:szCs w:val="22"/>
        </w:rPr>
        <w:t>Pasířská</w:t>
      </w:r>
      <w:r w:rsidR="00074CE5" w:rsidRPr="00B57F0E">
        <w:rPr>
          <w:rFonts w:ascii="Arial" w:hAnsi="Arial" w:cs="Arial"/>
          <w:b/>
          <w:sz w:val="22"/>
          <w:szCs w:val="22"/>
        </w:rPr>
        <w:t>“</w:t>
      </w:r>
      <w:r w:rsidR="00D91B11" w:rsidRPr="00B57F0E">
        <w:rPr>
          <w:rFonts w:ascii="Arial" w:hAnsi="Arial" w:cs="Arial"/>
          <w:b/>
          <w:sz w:val="22"/>
          <w:szCs w:val="22"/>
        </w:rPr>
        <w:t xml:space="preserve">, č. stavby </w:t>
      </w:r>
      <w:r w:rsidR="00AB78D8">
        <w:rPr>
          <w:rFonts w:ascii="Arial" w:hAnsi="Arial" w:cs="Arial"/>
          <w:b/>
          <w:sz w:val="22"/>
          <w:szCs w:val="22"/>
        </w:rPr>
        <w:t>7700072802</w:t>
      </w:r>
      <w:r w:rsidR="00AB78D8" w:rsidRPr="00120018">
        <w:rPr>
          <w:rFonts w:ascii="Arial" w:hAnsi="Arial" w:cs="Arial"/>
          <w:sz w:val="22"/>
          <w:szCs w:val="22"/>
        </w:rPr>
        <w:t xml:space="preserve"> </w:t>
      </w:r>
      <w:r w:rsidR="00347C64" w:rsidRPr="00120018">
        <w:rPr>
          <w:rFonts w:ascii="Arial" w:hAnsi="Arial" w:cs="Arial"/>
          <w:sz w:val="22"/>
          <w:szCs w:val="22"/>
        </w:rPr>
        <w:t>(dále jen „</w:t>
      </w:r>
      <w:r w:rsidR="00DD7203" w:rsidRPr="00120018">
        <w:rPr>
          <w:rFonts w:ascii="Arial" w:hAnsi="Arial" w:cs="Arial"/>
          <w:sz w:val="22"/>
          <w:szCs w:val="22"/>
        </w:rPr>
        <w:t>Stavba</w:t>
      </w:r>
      <w:r w:rsidR="00461FD4" w:rsidRPr="00120018">
        <w:rPr>
          <w:rFonts w:ascii="Arial" w:hAnsi="Arial" w:cs="Arial"/>
          <w:sz w:val="22"/>
          <w:szCs w:val="22"/>
        </w:rPr>
        <w:t>"), která bude umístěna z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části také v</w:t>
      </w:r>
      <w:r w:rsidR="00763D23" w:rsidRPr="00120018">
        <w:rPr>
          <w:rFonts w:ascii="Arial" w:hAnsi="Arial" w:cs="Arial"/>
          <w:sz w:val="22"/>
          <w:szCs w:val="22"/>
        </w:rPr>
        <w:t> 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CE5E01" w:rsidRPr="00D0551A">
        <w:rPr>
          <w:rFonts w:ascii="Arial" w:hAnsi="Arial" w:cs="Arial"/>
          <w:iCs/>
          <w:sz w:val="22"/>
          <w:szCs w:val="22"/>
        </w:rPr>
        <w:t>udoucí</w:t>
      </w:r>
      <w:r w:rsidR="00D91B11">
        <w:rPr>
          <w:rFonts w:ascii="Arial" w:hAnsi="Arial" w:cs="Arial"/>
          <w:iCs/>
          <w:sz w:val="22"/>
          <w:szCs w:val="22"/>
        </w:rPr>
        <w:t>ch</w:t>
      </w:r>
      <w:r w:rsidR="00CE5E01" w:rsidRPr="00D0551A">
        <w:rPr>
          <w:rFonts w:ascii="Arial" w:hAnsi="Arial" w:cs="Arial"/>
          <w:iCs/>
          <w:sz w:val="22"/>
          <w:szCs w:val="22"/>
        </w:rPr>
        <w:t xml:space="preserve"> služebn</w:t>
      </w:r>
      <w:r w:rsidR="00D91B11">
        <w:rPr>
          <w:rFonts w:ascii="Arial" w:hAnsi="Arial" w:cs="Arial"/>
          <w:iCs/>
          <w:sz w:val="22"/>
          <w:szCs w:val="22"/>
        </w:rPr>
        <w:t>ých</w:t>
      </w:r>
      <w:r w:rsidR="00A424DC">
        <w:rPr>
          <w:rFonts w:ascii="Arial" w:hAnsi="Arial" w:cs="Arial"/>
          <w:iCs/>
          <w:sz w:val="22"/>
          <w:szCs w:val="22"/>
        </w:rPr>
        <w:t xml:space="preserve"> pozem</w:t>
      </w:r>
      <w:r w:rsidR="00D91B11">
        <w:rPr>
          <w:rFonts w:ascii="Arial" w:hAnsi="Arial" w:cs="Arial"/>
          <w:iCs/>
          <w:sz w:val="22"/>
          <w:szCs w:val="22"/>
        </w:rPr>
        <w:t>cích</w:t>
      </w:r>
      <w:r w:rsidR="00461FD4" w:rsidRPr="00120018">
        <w:rPr>
          <w:rFonts w:ascii="Arial" w:hAnsi="Arial" w:cs="Arial"/>
          <w:sz w:val="22"/>
          <w:szCs w:val="22"/>
        </w:rPr>
        <w:t xml:space="preserve">. Rozsah </w:t>
      </w:r>
      <w:r w:rsidR="00E0430C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je vyznačen na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>
        <w:rPr>
          <w:rFonts w:ascii="Arial" w:hAnsi="Arial" w:cs="Arial"/>
          <w:sz w:val="22"/>
          <w:szCs w:val="22"/>
        </w:rPr>
        <w:t xml:space="preserve"> smlouvě b</w:t>
      </w:r>
      <w:r w:rsidR="00461FD4" w:rsidRPr="00120018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61FD4" w:rsidRPr="0012001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uvedené v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předchozím bod</w:t>
      </w:r>
      <w:r w:rsidR="00031227" w:rsidRPr="00120018">
        <w:rPr>
          <w:rFonts w:ascii="Arial" w:hAnsi="Arial" w:cs="Arial"/>
          <w:sz w:val="22"/>
          <w:szCs w:val="22"/>
        </w:rPr>
        <w:t>ě</w:t>
      </w:r>
      <w:r w:rsidR="00461FD4" w:rsidRPr="00120018">
        <w:rPr>
          <w:rFonts w:ascii="Arial" w:hAnsi="Arial" w:cs="Arial"/>
          <w:sz w:val="22"/>
          <w:szCs w:val="22"/>
        </w:rPr>
        <w:t xml:space="preserve"> této smlouvy</w:t>
      </w:r>
      <w:r w:rsidR="00B852AB">
        <w:rPr>
          <w:rFonts w:ascii="Arial" w:hAnsi="Arial" w:cs="Arial"/>
          <w:sz w:val="22"/>
          <w:szCs w:val="22"/>
        </w:rPr>
        <w:t>, nejpozději však do</w:t>
      </w:r>
      <w:r w:rsidR="007651CE">
        <w:rPr>
          <w:rFonts w:ascii="Arial" w:hAnsi="Arial" w:cs="Arial"/>
          <w:sz w:val="22"/>
          <w:szCs w:val="22"/>
        </w:rPr>
        <w:t xml:space="preserve"> </w:t>
      </w:r>
      <w:r w:rsidR="00AB78D8" w:rsidRPr="00AB78D8">
        <w:rPr>
          <w:rFonts w:ascii="Arial" w:hAnsi="Arial" w:cs="Arial"/>
          <w:b/>
          <w:sz w:val="22"/>
          <w:szCs w:val="22"/>
        </w:rPr>
        <w:t>30. 12. 2021</w:t>
      </w:r>
      <w:r w:rsidR="00B852AB">
        <w:rPr>
          <w:rFonts w:ascii="Arial" w:hAnsi="Arial" w:cs="Arial"/>
          <w:sz w:val="22"/>
          <w:szCs w:val="22"/>
        </w:rPr>
        <w:t>,</w:t>
      </w:r>
      <w:r w:rsidR="00461FD4" w:rsidRPr="00120018">
        <w:rPr>
          <w:rFonts w:ascii="Arial" w:hAnsi="Arial" w:cs="Arial"/>
          <w:sz w:val="22"/>
          <w:szCs w:val="22"/>
        </w:rPr>
        <w:t xml:space="preserve"> uzavře Budoucí povinný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E664A0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E664A0">
        <w:rPr>
          <w:rFonts w:ascii="Arial" w:hAnsi="Arial" w:cs="Arial"/>
          <w:sz w:val="22"/>
          <w:szCs w:val="22"/>
        </w:rPr>
        <w:t>é věci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7651CE">
        <w:rPr>
          <w:rFonts w:ascii="Arial" w:hAnsi="Arial" w:cs="Arial"/>
          <w:snapToGrid w:val="0"/>
          <w:sz w:val="22"/>
          <w:szCs w:val="22"/>
          <w:lang w:val="cs-CZ"/>
        </w:rPr>
        <w:t>20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651CE">
        <w:rPr>
          <w:rFonts w:ascii="Arial" w:hAnsi="Arial" w:cs="Arial"/>
          <w:snapToGrid w:val="0"/>
          <w:sz w:val="22"/>
          <w:szCs w:val="22"/>
          <w:lang w:val="cs-CZ"/>
        </w:rPr>
        <w:t>9</w:t>
      </w:r>
      <w:r w:rsidR="00743B2A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7651CE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B52D26">
        <w:rPr>
          <w:rFonts w:ascii="Arial" w:hAnsi="Arial" w:cs="Arial"/>
          <w:snapToGrid w:val="0"/>
          <w:sz w:val="22"/>
          <w:szCs w:val="22"/>
        </w:rPr>
        <w:t>6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7651CE">
        <w:rPr>
          <w:rFonts w:ascii="Arial" w:hAnsi="Arial" w:cs="Arial"/>
          <w:snapToGrid w:val="0"/>
          <w:sz w:val="22"/>
          <w:szCs w:val="22"/>
          <w:lang w:val="cs-CZ"/>
        </w:rPr>
        <w:t>197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B52D26">
        <w:rPr>
          <w:rFonts w:ascii="Arial" w:hAnsi="Arial" w:cs="Arial"/>
          <w:snapToGrid w:val="0"/>
          <w:sz w:val="22"/>
          <w:szCs w:val="22"/>
        </w:rPr>
        <w:t>6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7651CE">
        <w:rPr>
          <w:rFonts w:ascii="Arial" w:hAnsi="Arial" w:cs="Arial"/>
          <w:snapToGrid w:val="0"/>
          <w:sz w:val="22"/>
          <w:szCs w:val="22"/>
          <w:lang w:val="cs-CZ"/>
        </w:rPr>
        <w:t>A/1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B52D26" w:rsidRPr="00120018" w:rsidRDefault="00B52D26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7651CE">
        <w:rPr>
          <w:rFonts w:ascii="Arial" w:hAnsi="Arial" w:cs="Arial"/>
          <w:noProof/>
          <w:sz w:val="22"/>
          <w:szCs w:val="22"/>
          <w:lang w:val="cs-CZ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7651CE">
        <w:rPr>
          <w:rFonts w:ascii="Arial" w:hAnsi="Arial" w:cs="Arial"/>
          <w:noProof/>
          <w:sz w:val="22"/>
          <w:szCs w:val="22"/>
          <w:lang w:val="cs-CZ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7651CE">
        <w:rPr>
          <w:rFonts w:ascii="Arial" w:hAnsi="Arial" w:cs="Arial"/>
          <w:noProof/>
          <w:sz w:val="22"/>
          <w:szCs w:val="22"/>
          <w:lang w:val="cs-CZ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7651CE">
        <w:rPr>
          <w:rFonts w:ascii="Arial" w:hAnsi="Arial" w:cs="Arial"/>
          <w:noProof/>
          <w:sz w:val="22"/>
          <w:szCs w:val="22"/>
          <w:lang w:val="cs-CZ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 xml:space="preserve">. </w:t>
      </w:r>
      <w:r w:rsidR="005365BB" w:rsidRPr="00120018">
        <w:rPr>
          <w:rFonts w:ascii="Arial" w:hAnsi="Arial" w:cs="Arial"/>
          <w:sz w:val="22"/>
          <w:szCs w:val="22"/>
        </w:rPr>
        <w:lastRenderedPageBreak/>
        <w:t>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i/>
          <w:iCs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B52D26" w:rsidRDefault="00B52D26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A71C5B" w:rsidRDefault="00A71C5B" w:rsidP="0063009B">
      <w:pPr>
        <w:jc w:val="both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>č. 3</w:t>
      </w:r>
      <w:r w:rsidR="007651CE">
        <w:rPr>
          <w:rFonts w:ascii="Arial" w:hAnsi="Arial" w:cs="Arial"/>
          <w:sz w:val="22"/>
          <w:szCs w:val="22"/>
        </w:rPr>
        <w:t>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7651C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7651C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7651C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Pr="00120018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2467A1" w:rsidRPr="001618AA" w:rsidRDefault="002467A1" w:rsidP="002467A1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1618AA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  <w:r>
        <w:rPr>
          <w:rFonts w:ascii="Arial" w:hAnsi="Arial" w:cs="Arial"/>
          <w:snapToGrid w:val="0"/>
          <w:kern w:val="24"/>
          <w:sz w:val="22"/>
          <w:szCs w:val="22"/>
        </w:rPr>
        <w:t xml:space="preserve"> Smluvní strany se dohodly, že povinný uveřejní tuto smlouvu v registru smluv, a to do 30 dnů ode dne podpisu smlouvy oběma smluvními stranami. </w:t>
      </w:r>
    </w:p>
    <w:p w:rsidR="002467A1" w:rsidRPr="001618AA" w:rsidRDefault="002467A1" w:rsidP="002467A1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1618AA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nemohou být poskytnuty, a to žlutou barvou zvýraznění textu či přímo ve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zvláštním ustanovení smlouvy je označit např. jako obchodní, bankovní tajemství nebo jinou utajovanou skutečnost podle zvláštního zákona.</w:t>
      </w:r>
    </w:p>
    <w:p w:rsidR="002467A1" w:rsidRPr="001618AA" w:rsidRDefault="002467A1" w:rsidP="002467A1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1618AA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</w:t>
      </w:r>
      <w:r w:rsidR="008F758D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o</w:t>
      </w:r>
      <w:r w:rsidR="008F758D"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1618AA">
        <w:rPr>
          <w:rFonts w:ascii="Arial" w:hAnsi="Arial" w:cs="Arial"/>
          <w:snapToGrid w:val="0"/>
          <w:kern w:val="24"/>
          <w:sz w:val="22"/>
          <w:szCs w:val="22"/>
        </w:rPr>
        <w:t>registru smluv (zákon o registru smluv).</w:t>
      </w:r>
    </w:p>
    <w:p w:rsidR="001E5CDC" w:rsidRDefault="001E5CDC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8F758D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120018" w:rsidRDefault="0012001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235DF" w:rsidRDefault="003235DF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235DF" w:rsidRDefault="003235DF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Pr="00120018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431077" w:rsidRDefault="00431077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GasNet, s.r.o.</w:t>
      </w:r>
      <w:r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270326" w:rsidRPr="007A329E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7A329E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Petr Hřebec</w:t>
      </w:r>
      <w:r w:rsidRPr="007A329E">
        <w:rPr>
          <w:rFonts w:ascii="Arial" w:hAnsi="Arial" w:cs="Arial"/>
          <w:sz w:val="22"/>
          <w:szCs w:val="22"/>
        </w:rPr>
        <w:tab/>
        <w:t>náměstek primátora</w:t>
      </w: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7A329E">
        <w:rPr>
          <w:rFonts w:ascii="Arial" w:hAnsi="Arial" w:cs="Arial"/>
          <w:sz w:val="22"/>
          <w:szCs w:val="22"/>
        </w:rPr>
        <w:t xml:space="preserve">vedoucí přípravy staveb 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GasNet, s.r.o.              </w:t>
      </w: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70326" w:rsidRPr="007A329E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Lenka </w:t>
      </w:r>
      <w:r w:rsidR="00EF0679">
        <w:rPr>
          <w:rFonts w:ascii="Arial" w:hAnsi="Arial" w:cs="Arial"/>
          <w:sz w:val="22"/>
          <w:szCs w:val="22"/>
        </w:rPr>
        <w:t>Mendlíková</w:t>
      </w:r>
    </w:p>
    <w:p w:rsidR="00270326" w:rsidRPr="00120018" w:rsidRDefault="00EF0679" w:rsidP="00270326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0326">
        <w:rPr>
          <w:rFonts w:ascii="Arial" w:hAnsi="Arial" w:cs="Arial"/>
          <w:sz w:val="22"/>
          <w:szCs w:val="22"/>
        </w:rPr>
        <w:t xml:space="preserve">edoucí oddělení </w:t>
      </w:r>
      <w:r w:rsidR="00270326" w:rsidRPr="007A329E">
        <w:rPr>
          <w:rFonts w:ascii="Arial" w:hAnsi="Arial" w:cs="Arial"/>
          <w:sz w:val="22"/>
          <w:szCs w:val="22"/>
        </w:rPr>
        <w:t>majetkoprávní podpory</w:t>
      </w:r>
    </w:p>
    <w:p w:rsidR="00270326" w:rsidRPr="00120018" w:rsidRDefault="00270326" w:rsidP="00270326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2D1DDD" w:rsidRDefault="002D1DD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B52D26" w:rsidRDefault="00B52D26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B52D26" w:rsidRDefault="00B52D26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758D" w:rsidRDefault="008F758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758D" w:rsidRDefault="008F758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758D" w:rsidRDefault="008F758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CC6805" w:rsidRDefault="00CC6805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F27924" w:rsidRDefault="00F27924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524DA9" w:rsidRDefault="00524DA9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E01E32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xxxxxxxxxxxx</w:t>
      </w:r>
      <w:bookmarkStart w:id="0" w:name="_GoBack"/>
      <w:bookmarkEnd w:id="0"/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CA" w:rsidRDefault="008625CA">
      <w:r>
        <w:separator/>
      </w:r>
    </w:p>
  </w:endnote>
  <w:endnote w:type="continuationSeparator" w:id="0">
    <w:p w:rsidR="008625CA" w:rsidRDefault="0086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177FB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177FB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1E32">
      <w:rPr>
        <w:rStyle w:val="slostrnky"/>
        <w:noProof/>
      </w:rPr>
      <w:t>4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CA" w:rsidRDefault="008625CA">
      <w:r>
        <w:separator/>
      </w:r>
    </w:p>
  </w:footnote>
  <w:footnote w:type="continuationSeparator" w:id="0">
    <w:p w:rsidR="008625CA" w:rsidRDefault="0086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A5442"/>
    <w:rsid w:val="000A68D6"/>
    <w:rsid w:val="000B2D45"/>
    <w:rsid w:val="000B76D8"/>
    <w:rsid w:val="000D1C7F"/>
    <w:rsid w:val="000D78F2"/>
    <w:rsid w:val="000E2123"/>
    <w:rsid w:val="000E4853"/>
    <w:rsid w:val="000E6DFF"/>
    <w:rsid w:val="000F0934"/>
    <w:rsid w:val="00101DE9"/>
    <w:rsid w:val="00104F28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620AB"/>
    <w:rsid w:val="001644F8"/>
    <w:rsid w:val="00172494"/>
    <w:rsid w:val="00177D1A"/>
    <w:rsid w:val="00177FB2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2A8F"/>
    <w:rsid w:val="001E330F"/>
    <w:rsid w:val="001E5CDC"/>
    <w:rsid w:val="001F3700"/>
    <w:rsid w:val="001F5309"/>
    <w:rsid w:val="00204802"/>
    <w:rsid w:val="00204B7E"/>
    <w:rsid w:val="00205576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7A1"/>
    <w:rsid w:val="00246E2E"/>
    <w:rsid w:val="0025209A"/>
    <w:rsid w:val="00252C0B"/>
    <w:rsid w:val="00270326"/>
    <w:rsid w:val="00272A75"/>
    <w:rsid w:val="00272EEA"/>
    <w:rsid w:val="00286805"/>
    <w:rsid w:val="00287F3B"/>
    <w:rsid w:val="00291FBC"/>
    <w:rsid w:val="00296361"/>
    <w:rsid w:val="002B2B42"/>
    <w:rsid w:val="002B54CF"/>
    <w:rsid w:val="002B6533"/>
    <w:rsid w:val="002C2800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35DF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4AF8"/>
    <w:rsid w:val="003C7D87"/>
    <w:rsid w:val="003D026D"/>
    <w:rsid w:val="003D04F6"/>
    <w:rsid w:val="003D4F39"/>
    <w:rsid w:val="003D5FE3"/>
    <w:rsid w:val="003D60AC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31077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A1D28"/>
    <w:rsid w:val="004B195F"/>
    <w:rsid w:val="004B6A40"/>
    <w:rsid w:val="004B796C"/>
    <w:rsid w:val="004B7CA2"/>
    <w:rsid w:val="004C5F55"/>
    <w:rsid w:val="004D5CC0"/>
    <w:rsid w:val="004F070C"/>
    <w:rsid w:val="004F5105"/>
    <w:rsid w:val="00512D7B"/>
    <w:rsid w:val="00515F4F"/>
    <w:rsid w:val="00524DA9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E053B"/>
    <w:rsid w:val="005E0B46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1A93"/>
    <w:rsid w:val="00675807"/>
    <w:rsid w:val="00676D96"/>
    <w:rsid w:val="00682A8E"/>
    <w:rsid w:val="00682B7C"/>
    <w:rsid w:val="006876C1"/>
    <w:rsid w:val="00687B83"/>
    <w:rsid w:val="0069277F"/>
    <w:rsid w:val="006932BA"/>
    <w:rsid w:val="00695B0E"/>
    <w:rsid w:val="006A06CE"/>
    <w:rsid w:val="006A2A3F"/>
    <w:rsid w:val="006A3F53"/>
    <w:rsid w:val="006A4606"/>
    <w:rsid w:val="006B364A"/>
    <w:rsid w:val="006B584C"/>
    <w:rsid w:val="006C4022"/>
    <w:rsid w:val="006C4858"/>
    <w:rsid w:val="006C6072"/>
    <w:rsid w:val="006C67A4"/>
    <w:rsid w:val="006C6E97"/>
    <w:rsid w:val="006D215E"/>
    <w:rsid w:val="006E1860"/>
    <w:rsid w:val="006E3E04"/>
    <w:rsid w:val="006F213F"/>
    <w:rsid w:val="006F220F"/>
    <w:rsid w:val="00702FC9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651CE"/>
    <w:rsid w:val="00774827"/>
    <w:rsid w:val="00776D52"/>
    <w:rsid w:val="00784034"/>
    <w:rsid w:val="00787D58"/>
    <w:rsid w:val="00793184"/>
    <w:rsid w:val="00795B5C"/>
    <w:rsid w:val="00797AB3"/>
    <w:rsid w:val="00797C61"/>
    <w:rsid w:val="007A05AF"/>
    <w:rsid w:val="007A3DE5"/>
    <w:rsid w:val="007A4B4C"/>
    <w:rsid w:val="007B31E0"/>
    <w:rsid w:val="007C527D"/>
    <w:rsid w:val="007D3E24"/>
    <w:rsid w:val="007D469A"/>
    <w:rsid w:val="007D63FF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5891"/>
    <w:rsid w:val="00861A2A"/>
    <w:rsid w:val="008625CA"/>
    <w:rsid w:val="008664A0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758D"/>
    <w:rsid w:val="00900BBD"/>
    <w:rsid w:val="00906DF4"/>
    <w:rsid w:val="00913C78"/>
    <w:rsid w:val="00915E08"/>
    <w:rsid w:val="0092137F"/>
    <w:rsid w:val="009250B4"/>
    <w:rsid w:val="00926897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01D"/>
    <w:rsid w:val="009C56B3"/>
    <w:rsid w:val="009C6450"/>
    <w:rsid w:val="009C7B5C"/>
    <w:rsid w:val="009D7521"/>
    <w:rsid w:val="009E114E"/>
    <w:rsid w:val="009E2955"/>
    <w:rsid w:val="009E3E69"/>
    <w:rsid w:val="009F1BC4"/>
    <w:rsid w:val="009F6BAB"/>
    <w:rsid w:val="00A04015"/>
    <w:rsid w:val="00A113E6"/>
    <w:rsid w:val="00A20CAC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B78D8"/>
    <w:rsid w:val="00AC7DA5"/>
    <w:rsid w:val="00AD073F"/>
    <w:rsid w:val="00AE03A4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34023"/>
    <w:rsid w:val="00B3543E"/>
    <w:rsid w:val="00B40F5E"/>
    <w:rsid w:val="00B4174E"/>
    <w:rsid w:val="00B428A5"/>
    <w:rsid w:val="00B43D89"/>
    <w:rsid w:val="00B510D0"/>
    <w:rsid w:val="00B52D26"/>
    <w:rsid w:val="00B557E3"/>
    <w:rsid w:val="00B57F0E"/>
    <w:rsid w:val="00B629EC"/>
    <w:rsid w:val="00B62C09"/>
    <w:rsid w:val="00B63FEF"/>
    <w:rsid w:val="00B665F6"/>
    <w:rsid w:val="00B747F4"/>
    <w:rsid w:val="00B82BB0"/>
    <w:rsid w:val="00B852AB"/>
    <w:rsid w:val="00B8547A"/>
    <w:rsid w:val="00B8596C"/>
    <w:rsid w:val="00B90BA3"/>
    <w:rsid w:val="00B91468"/>
    <w:rsid w:val="00B93BBD"/>
    <w:rsid w:val="00B96CC5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2030E"/>
    <w:rsid w:val="00C32B9E"/>
    <w:rsid w:val="00C336F5"/>
    <w:rsid w:val="00C41FED"/>
    <w:rsid w:val="00C50A72"/>
    <w:rsid w:val="00C53979"/>
    <w:rsid w:val="00C55759"/>
    <w:rsid w:val="00C62CDC"/>
    <w:rsid w:val="00C63C46"/>
    <w:rsid w:val="00C6533F"/>
    <w:rsid w:val="00C663CB"/>
    <w:rsid w:val="00C85307"/>
    <w:rsid w:val="00C91D66"/>
    <w:rsid w:val="00C93D13"/>
    <w:rsid w:val="00CB615A"/>
    <w:rsid w:val="00CC6805"/>
    <w:rsid w:val="00CD7D0B"/>
    <w:rsid w:val="00CE0B16"/>
    <w:rsid w:val="00CE42C5"/>
    <w:rsid w:val="00CE5E01"/>
    <w:rsid w:val="00CF73C9"/>
    <w:rsid w:val="00CF7FD6"/>
    <w:rsid w:val="00D01D48"/>
    <w:rsid w:val="00D0551A"/>
    <w:rsid w:val="00D05B3A"/>
    <w:rsid w:val="00D24352"/>
    <w:rsid w:val="00D34C65"/>
    <w:rsid w:val="00D35D15"/>
    <w:rsid w:val="00D40EB1"/>
    <w:rsid w:val="00D4151C"/>
    <w:rsid w:val="00D420B0"/>
    <w:rsid w:val="00D47A4D"/>
    <w:rsid w:val="00D60063"/>
    <w:rsid w:val="00D64C82"/>
    <w:rsid w:val="00D67CFD"/>
    <w:rsid w:val="00D76AFD"/>
    <w:rsid w:val="00D84FEA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2F34"/>
    <w:rsid w:val="00DB63E1"/>
    <w:rsid w:val="00DC15BC"/>
    <w:rsid w:val="00DD07E4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1E32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679"/>
    <w:rsid w:val="00EF0F9C"/>
    <w:rsid w:val="00EF3445"/>
    <w:rsid w:val="00EF3B74"/>
    <w:rsid w:val="00F024D3"/>
    <w:rsid w:val="00F07B09"/>
    <w:rsid w:val="00F104D6"/>
    <w:rsid w:val="00F1547E"/>
    <w:rsid w:val="00F21383"/>
    <w:rsid w:val="00F26F5B"/>
    <w:rsid w:val="00F27924"/>
    <w:rsid w:val="00F36B58"/>
    <w:rsid w:val="00F42877"/>
    <w:rsid w:val="00F43F59"/>
    <w:rsid w:val="00F633E2"/>
    <w:rsid w:val="00F705FB"/>
    <w:rsid w:val="00F73C5D"/>
    <w:rsid w:val="00F847A5"/>
    <w:rsid w:val="00F84E00"/>
    <w:rsid w:val="00F87ACA"/>
    <w:rsid w:val="00F907B6"/>
    <w:rsid w:val="00F966AC"/>
    <w:rsid w:val="00FC077A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29D9"/>
  <w15:docId w15:val="{5A8FD47B-E04A-411A-B9BC-C7DC83A1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  <w:rPr>
      <w:lang w:val="x-none" w:eastAsia="x-none"/>
    </w:rPr>
  </w:style>
  <w:style w:type="character" w:customStyle="1" w:styleId="odstpolVChar">
    <w:name w:val="odst po čl V Char"/>
    <w:link w:val="odstpolV"/>
    <w:rsid w:val="005F7FA9"/>
    <w:rPr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CDB3-7C4D-4199-AF3A-F21ECF63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1515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2016-10-14T06:15:00Z</cp:lastPrinted>
  <dcterms:created xsi:type="dcterms:W3CDTF">2016-12-20T09:26:00Z</dcterms:created>
  <dcterms:modified xsi:type="dcterms:W3CDTF">2016-12-20T09:26:00Z</dcterms:modified>
</cp:coreProperties>
</file>