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0" w:name="page9"/>
      <w:bookmarkStart w:id="1" w:name="_GoBack"/>
      <w:bookmarkEnd w:id="0"/>
      <w:bookmarkEnd w:id="1"/>
      <w:r>
        <w:rPr>
          <w:noProof/>
        </w:rPr>
        <w:drawing>
          <wp:anchor distT="0" distB="0" distL="114300" distR="114300" simplePos="0" relativeHeight="25166233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2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140"/>
        <w:rPr>
          <w:rFonts w:ascii="Times New Roman" w:hAnsi="Times New Roman" w:cs="Times New Roman"/>
          <w:sz w:val="24"/>
          <w:szCs w:val="24"/>
        </w:rPr>
      </w:pPr>
      <w:r>
        <w:rPr>
          <w:rFonts w:ascii="Cambria" w:hAnsi="Cambria" w:cs="Cambria"/>
          <w:b/>
          <w:bCs/>
          <w:sz w:val="36"/>
          <w:szCs w:val="36"/>
        </w:rPr>
        <w:t>Příloha č. 1 - Závazné parametry řešení projektu</w:t>
      </w:r>
    </w:p>
    <w:p w:rsidR="001E2BB3" w:rsidRDefault="001E2BB3">
      <w:pPr>
        <w:widowControl w:val="0"/>
        <w:autoSpaceDE w:val="0"/>
        <w:autoSpaceDN w:val="0"/>
        <w:adjustRightInd w:val="0"/>
        <w:spacing w:after="0" w:line="32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1) Název projektu v původním jazyce projektu</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Název projektu v původním jazyce projektu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Nízkonákladové systémy čištění vod</w:t>
      </w:r>
    </w:p>
    <w:p w:rsidR="001E2BB3" w:rsidRDefault="00347D3A">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3175</wp:posOffset>
            </wp:positionH>
            <wp:positionV relativeFrom="paragraph">
              <wp:posOffset>95250</wp:posOffset>
            </wp:positionV>
            <wp:extent cx="6630035" cy="635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2) Datum zahájení a ukončení projektu</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Datum zahájení a ukončení projektu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01/2017 - 12/2020</w:t>
      </w:r>
    </w:p>
    <w:p w:rsidR="001E2BB3" w:rsidRDefault="00347D3A">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3175</wp:posOffset>
            </wp:positionH>
            <wp:positionV relativeFrom="paragraph">
              <wp:posOffset>95250</wp:posOffset>
            </wp:positionV>
            <wp:extent cx="6630035" cy="635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3) Předmět řešení návrhu projektu</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Předmět řešení návrhu projektu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Vývoj anaerobně sorpčního biofiltru pro konstruhované mokřady.</w:t>
      </w:r>
    </w:p>
    <w:p w:rsidR="001E2BB3" w:rsidRDefault="00347D3A">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3175</wp:posOffset>
            </wp:positionH>
            <wp:positionV relativeFrom="paragraph">
              <wp:posOffset>95250</wp:posOffset>
            </wp:positionV>
            <wp:extent cx="6630035" cy="63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4) Cíl projektu (účel podpory)</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Představení projektu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overflowPunct w:val="0"/>
        <w:autoSpaceDE w:val="0"/>
        <w:autoSpaceDN w:val="0"/>
        <w:adjustRightInd w:val="0"/>
        <w:spacing w:after="0" w:line="283" w:lineRule="auto"/>
        <w:ind w:left="100" w:right="40" w:hanging="35"/>
        <w:jc w:val="both"/>
        <w:rPr>
          <w:rFonts w:ascii="Times New Roman" w:hAnsi="Times New Roman" w:cs="Times New Roman"/>
          <w:sz w:val="24"/>
          <w:szCs w:val="24"/>
        </w:rPr>
      </w:pPr>
      <w:r>
        <w:rPr>
          <w:rFonts w:ascii="Cambria" w:hAnsi="Cambria" w:cs="Cambria"/>
          <w:sz w:val="16"/>
          <w:szCs w:val="16"/>
        </w:rPr>
        <w:t>Cílem projektu je vývoj nízkonákladového anaerobně sorpčního biofiltru simulujícího přírodní biodegradační procesy. Tento biofiltr bude vyvíjen především pro odstraňování xenobiotik, jako jsou organochlorované pesticidy a endokrinní disruptory, a pro odstraňování těžkých kovů resp. síranů z důlních vod a bude optimalizován dle chemického složení a množství konkrétních kontaminovaných vod. Jako náplň filtru budou využity specifické substráty jako rašelina, biochar, anhydrit, lignit a odpadní biomasa, přičemž podíl, distribuce a stratifikace těchto substrátů budou navrženy tak, aby byly maximalizovány žádané biodegradační efekty autochtonních mikrobiálních konsorcií. Vyvíjená technologie je navrhována jako nízkonákladová a využitelná zejména pro lokality bez inženýrských infrastruktur.</w:t>
      </w:r>
    </w:p>
    <w:p w:rsidR="001E2BB3" w:rsidRDefault="00347D3A">
      <w:pPr>
        <w:widowControl w:val="0"/>
        <w:autoSpaceDE w:val="0"/>
        <w:autoSpaceDN w:val="0"/>
        <w:adjustRightInd w:val="0"/>
        <w:spacing w:after="0" w:line="55"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3175</wp:posOffset>
            </wp:positionH>
            <wp:positionV relativeFrom="paragraph">
              <wp:posOffset>-18415</wp:posOffset>
            </wp:positionV>
            <wp:extent cx="6630035" cy="635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5) Klíčová osoba řešitelského týmu</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1140"/>
      </w:tblGrid>
      <w:tr w:rsidR="001E2BB3">
        <w:trPr>
          <w:trHeight w:val="28"/>
        </w:trPr>
        <w:tc>
          <w:tcPr>
            <w:tcW w:w="9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Klíčová osoba řešitelského týmu</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9320" w:type="dxa"/>
            <w:tcBorders>
              <w:top w:val="nil"/>
              <w:left w:val="single" w:sz="8" w:space="0" w:color="auto"/>
              <w:bottom w:val="single" w:sz="8" w:space="0" w:color="auto"/>
              <w:right w:val="nil"/>
            </w:tcBorders>
            <w:vAlign w:val="bottom"/>
          </w:tcPr>
          <w:p w:rsidR="001E2BB3" w:rsidRDefault="00D35ED8">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xxx</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333"/>
        </w:trPr>
        <w:tc>
          <w:tcPr>
            <w:tcW w:w="932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6) Harmonogram a výstupy/výsledky projektu</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467"/>
        </w:trPr>
        <w:tc>
          <w:tcPr>
            <w:tcW w:w="932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Název období a rok</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5"/>
        </w:trPr>
        <w:tc>
          <w:tcPr>
            <w:tcW w:w="9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932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Název období</w:t>
            </w:r>
          </w:p>
        </w:tc>
        <w:tc>
          <w:tcPr>
            <w:tcW w:w="11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1E2BB3">
        <w:trPr>
          <w:trHeight w:val="336"/>
        </w:trPr>
        <w:tc>
          <w:tcPr>
            <w:tcW w:w="932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Podrobná metodická příprava, projektová příprava lokalit</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Cambria" w:hAnsi="Cambria" w:cs="Cambria"/>
                <w:sz w:val="16"/>
                <w:szCs w:val="16"/>
              </w:rPr>
              <w:t>2017</w:t>
            </w:r>
          </w:p>
        </w:tc>
      </w:tr>
      <w:tr w:rsidR="001E2BB3">
        <w:trPr>
          <w:trHeight w:val="333"/>
        </w:trPr>
        <w:tc>
          <w:tcPr>
            <w:tcW w:w="932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Činnosti a výstupy/výsledky daného období</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5"/>
        </w:trPr>
        <w:tc>
          <w:tcPr>
            <w:tcW w:w="9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Dílčí činnosti daného období</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229"/>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Aktualizace rešerší - konstrukce a materiály pro náplň filtru, analytické metody</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r>
      <w:tr w:rsidR="001E2BB3">
        <w:trPr>
          <w:trHeight w:val="192"/>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Příprava analytických metod a jejich validace na reálných matricích</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r>
      <w:tr w:rsidR="001E2BB3">
        <w:trPr>
          <w:trHeight w:val="192"/>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Laboratorní testy náplní biofiltrů s využitím respirometru, plynového chromatografu a metod molekulární mikrobiologie</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r>
      <w:tr w:rsidR="001E2BB3">
        <w:trPr>
          <w:trHeight w:val="192"/>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Příprava automatických měřících systémů</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r>
      <w:tr w:rsidR="001E2BB3">
        <w:trPr>
          <w:trHeight w:val="192"/>
        </w:trPr>
        <w:tc>
          <w:tcPr>
            <w:tcW w:w="932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Terénní monitoring lokalit a jejich výběr do projektu</w:t>
            </w: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r>
      <w:tr w:rsidR="001E2BB3">
        <w:trPr>
          <w:trHeight w:val="300"/>
        </w:trPr>
        <w:tc>
          <w:tcPr>
            <w:tcW w:w="9320" w:type="dxa"/>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Příprava projektů konstruovaných anaerobních biofiltrů pro schválení vodoprávními úřady pro 2 lokality</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bl>
    <w:p w:rsidR="001E2BB3" w:rsidRDefault="001E2BB3">
      <w:pPr>
        <w:widowControl w:val="0"/>
        <w:autoSpaceDE w:val="0"/>
        <w:autoSpaceDN w:val="0"/>
        <w:adjustRightInd w:val="0"/>
        <w:spacing w:after="0" w:line="8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p w:rsidR="001E2BB3" w:rsidRDefault="001E2BB3">
      <w:pPr>
        <w:widowControl w:val="0"/>
        <w:autoSpaceDE w:val="0"/>
        <w:autoSpaceDN w:val="0"/>
        <w:adjustRightInd w:val="0"/>
        <w:spacing w:after="0"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20"/>
      </w:tblGrid>
      <w:tr w:rsidR="001E2BB3">
        <w:trPr>
          <w:trHeight w:val="28"/>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TH02030766-2017V001</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2017</w:t>
            </w:r>
          </w:p>
        </w:tc>
        <w:tc>
          <w:tcPr>
            <w:tcW w:w="232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850"/>
              <w:jc w:val="right"/>
              <w:rPr>
                <w:rFonts w:ascii="Times New Roman" w:hAnsi="Times New Roman" w:cs="Times New Roman"/>
                <w:sz w:val="24"/>
                <w:szCs w:val="24"/>
              </w:rPr>
            </w:pPr>
            <w:r>
              <w:rPr>
                <w:rFonts w:ascii="Cambria" w:hAnsi="Cambria" w:cs="Cambria"/>
                <w:sz w:val="16"/>
                <w:szCs w:val="16"/>
              </w:rPr>
              <w:t>2017</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148" w:left="840" w:header="720" w:footer="720" w:gutter="0"/>
          <w:cols w:space="720" w:equalWidth="0">
            <w:col w:w="10440"/>
          </w:cols>
          <w:noEndnote/>
        </w:sectPr>
      </w:pPr>
    </w:p>
    <w:p w:rsidR="001E2BB3" w:rsidRDefault="001E2BB3">
      <w:pPr>
        <w:widowControl w:val="0"/>
        <w:autoSpaceDE w:val="0"/>
        <w:autoSpaceDN w:val="0"/>
        <w:adjustRightInd w:val="0"/>
        <w:spacing w:after="0" w:line="7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Název období a rok</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2"/>
          <w:szCs w:val="12"/>
        </w:rPr>
        <w:t>Název období</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-8890</wp:posOffset>
            </wp:positionH>
            <wp:positionV relativeFrom="paragraph">
              <wp:posOffset>-70485</wp:posOffset>
            </wp:positionV>
            <wp:extent cx="5907405" cy="11557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Výstavba mokřadů a její monitoring</w:t>
      </w:r>
    </w:p>
    <w:p w:rsidR="001E2BB3" w:rsidRDefault="00347D3A">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-8890</wp:posOffset>
            </wp:positionH>
            <wp:positionV relativeFrom="paragraph">
              <wp:posOffset>95250</wp:posOffset>
            </wp:positionV>
            <wp:extent cx="5907405" cy="6350"/>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40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19"/>
          <w:szCs w:val="19"/>
        </w:rPr>
        <w:t>Činnosti a výstupy/výsledky daného období</w:t>
      </w:r>
    </w:p>
    <w:p w:rsidR="001E2BB3" w:rsidRDefault="001E2BB3">
      <w:pPr>
        <w:widowControl w:val="0"/>
        <w:autoSpaceDE w:val="0"/>
        <w:autoSpaceDN w:val="0"/>
        <w:adjustRightInd w:val="0"/>
        <w:spacing w:after="0" w:line="13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2"/>
          <w:szCs w:val="12"/>
        </w:rPr>
        <w:t>Dílčí činnosti daného období</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-8890</wp:posOffset>
            </wp:positionH>
            <wp:positionV relativeFrom="paragraph">
              <wp:posOffset>-70485</wp:posOffset>
            </wp:positionV>
            <wp:extent cx="6630035" cy="11557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overflowPunct w:val="0"/>
        <w:autoSpaceDE w:val="0"/>
        <w:autoSpaceDN w:val="0"/>
        <w:adjustRightInd w:val="0"/>
        <w:spacing w:after="0" w:line="479" w:lineRule="auto"/>
        <w:ind w:left="60" w:right="360"/>
        <w:rPr>
          <w:rFonts w:ascii="Times New Roman" w:hAnsi="Times New Roman" w:cs="Times New Roman"/>
          <w:sz w:val="24"/>
          <w:szCs w:val="24"/>
        </w:rPr>
      </w:pPr>
      <w:r>
        <w:rPr>
          <w:rFonts w:ascii="Cambria" w:hAnsi="Cambria" w:cs="Cambria"/>
          <w:sz w:val="15"/>
          <w:szCs w:val="15"/>
        </w:rPr>
        <w:t>Detailní monitoring lokalit před zahájením výstavby Výstavba mokřadů typu anaerobně sorpčních biofiltrů</w:t>
      </w:r>
    </w:p>
    <w:p w:rsidR="001E2BB3" w:rsidRDefault="001E2BB3">
      <w:pPr>
        <w:widowControl w:val="0"/>
        <w:autoSpaceDE w:val="0"/>
        <w:autoSpaceDN w:val="0"/>
        <w:adjustRightInd w:val="0"/>
        <w:spacing w:after="0" w:line="255" w:lineRule="exact"/>
        <w:rPr>
          <w:rFonts w:ascii="Times New Roman" w:hAnsi="Times New Roman" w:cs="Times New Roman"/>
          <w:sz w:val="24"/>
          <w:szCs w:val="24"/>
        </w:rPr>
      </w:pPr>
    </w:p>
    <w:p w:rsidR="001E2BB3" w:rsidRDefault="00E83CAF">
      <w:pPr>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r>
        <w:rPr>
          <w:rFonts w:ascii="Times New Roman" w:hAnsi="Times New Roman" w:cs="Times New Roman"/>
          <w:sz w:val="24"/>
          <w:szCs w:val="24"/>
        </w:rPr>
        <w:tab/>
      </w:r>
      <w:r>
        <w:rPr>
          <w:rFonts w:ascii="Cambria" w:hAnsi="Cambria" w:cs="Cambria"/>
          <w:color w:val="F03741"/>
          <w:sz w:val="16"/>
          <w:szCs w:val="16"/>
        </w:rPr>
        <w:t>Evropská 1692/37, 160 00 Praha 6</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r>
        <w:rPr>
          <w:rFonts w:ascii="Times New Roman" w:hAnsi="Times New Roman" w:cs="Times New Roman"/>
          <w:sz w:val="24"/>
          <w:szCs w:val="24"/>
        </w:rPr>
        <w:tab/>
      </w:r>
      <w:r>
        <w:rPr>
          <w:rFonts w:ascii="Cambria" w:hAnsi="Cambria" w:cs="Cambria"/>
          <w:color w:val="F03741"/>
          <w:sz w:val="16"/>
          <w:szCs w:val="16"/>
        </w:rPr>
        <w:t>+420 234 611 111</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 xml:space="preserve">České republiky      </w:t>
      </w:r>
      <w:r>
        <w:rPr>
          <w:rFonts w:ascii="Cambria" w:hAnsi="Cambria" w:cs="Cambria"/>
          <w:color w:val="F03741"/>
          <w:sz w:val="16"/>
          <w:szCs w:val="16"/>
        </w:rPr>
        <w:t>info@tacr.cz, www.tacr.cz</w:t>
      </w:r>
    </w:p>
    <w:p w:rsidR="001E2BB3" w:rsidRDefault="00E83CA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1E2BB3" w:rsidRDefault="001E2BB3">
      <w:pPr>
        <w:widowControl w:val="0"/>
        <w:autoSpaceDE w:val="0"/>
        <w:autoSpaceDN w:val="0"/>
        <w:adjustRightInd w:val="0"/>
        <w:spacing w:after="0" w:line="22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sz w:val="12"/>
          <w:szCs w:val="12"/>
        </w:rPr>
        <w:t>Rok</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848995</wp:posOffset>
            </wp:positionH>
            <wp:positionV relativeFrom="paragraph">
              <wp:posOffset>-70485</wp:posOffset>
            </wp:positionV>
            <wp:extent cx="6350" cy="11557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sz w:val="16"/>
          <w:szCs w:val="16"/>
        </w:rPr>
        <w:t>2018</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0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0"/>
          <w:szCs w:val="20"/>
        </w:rPr>
        <w:t>strana 1 / 8</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148" w:left="860" w:header="720" w:footer="720" w:gutter="0"/>
          <w:cols w:num="2" w:space="4980" w:equalWidth="0">
            <w:col w:w="4100" w:space="4980"/>
            <w:col w:w="100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2" w:name="page11"/>
      <w:bookmarkEnd w:id="2"/>
      <w:r>
        <w:rPr>
          <w:noProof/>
        </w:rPr>
        <w:lastRenderedPageBreak/>
        <w:drawing>
          <wp:anchor distT="0" distB="0" distL="114300" distR="114300" simplePos="0" relativeHeight="25167564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1180"/>
        <w:gridCol w:w="1140"/>
      </w:tblGrid>
      <w:tr w:rsidR="001E2BB3">
        <w:trPr>
          <w:trHeight w:val="28"/>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24"/>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23" w:lineRule="exact"/>
              <w:ind w:left="40"/>
              <w:rPr>
                <w:rFonts w:ascii="Times New Roman" w:hAnsi="Times New Roman" w:cs="Times New Roman"/>
                <w:sz w:val="24"/>
                <w:szCs w:val="24"/>
              </w:rPr>
            </w:pPr>
            <w:r>
              <w:rPr>
                <w:rFonts w:ascii="Cambria" w:hAnsi="Cambria" w:cs="Cambria"/>
                <w:sz w:val="12"/>
                <w:szCs w:val="12"/>
              </w:rPr>
              <w:t>Dílčí činnosti daného období</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0"/>
                <w:szCs w:val="10"/>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0"/>
                <w:szCs w:val="10"/>
              </w:rPr>
            </w:pPr>
          </w:p>
        </w:tc>
      </w:tr>
      <w:tr w:rsidR="001E2BB3">
        <w:trPr>
          <w:trHeight w:val="287"/>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Zahájení zkušebního provozu na jedné lokalitě</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285"/>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4"/>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TH02030766-2018V001</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2018</w:t>
            </w:r>
          </w:p>
        </w:tc>
        <w:tc>
          <w:tcPr>
            <w:tcW w:w="11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710"/>
              <w:jc w:val="right"/>
              <w:rPr>
                <w:rFonts w:ascii="Times New Roman" w:hAnsi="Times New Roman" w:cs="Times New Roman"/>
                <w:sz w:val="24"/>
                <w:szCs w:val="24"/>
              </w:rPr>
            </w:pPr>
            <w:r>
              <w:rPr>
                <w:rFonts w:ascii="Cambria" w:hAnsi="Cambria" w:cs="Cambria"/>
                <w:sz w:val="16"/>
                <w:szCs w:val="16"/>
              </w:rPr>
              <w:t>2018</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286"/>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4"/>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TH02030766-2018V002</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Certifikovaná metodika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Metodika certifikovaná MZE v oblasti ochrany zdrojů vod před znečištěním.</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Nmet - certifikovaná metodika</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2018</w:t>
            </w:r>
          </w:p>
        </w:tc>
        <w:tc>
          <w:tcPr>
            <w:tcW w:w="11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710"/>
              <w:jc w:val="right"/>
              <w:rPr>
                <w:rFonts w:ascii="Times New Roman" w:hAnsi="Times New Roman" w:cs="Times New Roman"/>
                <w:sz w:val="24"/>
                <w:szCs w:val="24"/>
              </w:rPr>
            </w:pPr>
            <w:r>
              <w:rPr>
                <w:rFonts w:ascii="Cambria" w:hAnsi="Cambria" w:cs="Cambria"/>
                <w:sz w:val="16"/>
                <w:szCs w:val="16"/>
              </w:rPr>
              <w:t>2019</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333"/>
        </w:trPr>
        <w:tc>
          <w:tcPr>
            <w:tcW w:w="19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w w:val="98"/>
                <w:sz w:val="20"/>
                <w:szCs w:val="20"/>
              </w:rPr>
              <w:t>Název období a rok</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5"/>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Název období</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Dokončení výstavby, zkušební provoz, optimalizace</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Cambria" w:hAnsi="Cambria" w:cs="Cambria"/>
                <w:sz w:val="16"/>
                <w:szCs w:val="16"/>
              </w:rPr>
              <w:t>2019</w:t>
            </w:r>
          </w:p>
        </w:tc>
      </w:tr>
    </w:tbl>
    <w:p w:rsidR="001E2BB3" w:rsidRDefault="001E2BB3">
      <w:pPr>
        <w:widowControl w:val="0"/>
        <w:autoSpaceDE w:val="0"/>
        <w:autoSpaceDN w:val="0"/>
        <w:adjustRightInd w:val="0"/>
        <w:spacing w:after="0" w:line="7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Činnosti a výstupy/výsledky daného období</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Dílčí činnosti daného období</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Dokončení výstavby na druhé lokalitě</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Zkušební provoz na obou lokalitách</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Průběžný monitoring transformace cílových polutantů a složení mikrobiálních metabolitů</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Průběžný monitoring mikrobiálních populací, diverzity a četnosti funkčních genů</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Optimalizace sorpční a čistící funkce anaerobních biofiltrů pomocí manipulací se substrátem</w:t>
      </w:r>
    </w:p>
    <w:p w:rsidR="001E2BB3" w:rsidRDefault="00347D3A">
      <w:pPr>
        <w:widowControl w:val="0"/>
        <w:autoSpaceDE w:val="0"/>
        <w:autoSpaceDN w:val="0"/>
        <w:adjustRightInd w:val="0"/>
        <w:spacing w:after="0" w:line="241"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3175</wp:posOffset>
            </wp:positionH>
            <wp:positionV relativeFrom="paragraph">
              <wp:posOffset>95250</wp:posOffset>
            </wp:positionV>
            <wp:extent cx="6630035" cy="635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p w:rsidR="001E2BB3" w:rsidRDefault="001E2BB3">
      <w:pPr>
        <w:widowControl w:val="0"/>
        <w:autoSpaceDE w:val="0"/>
        <w:autoSpaceDN w:val="0"/>
        <w:adjustRightInd w:val="0"/>
        <w:spacing w:after="0"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1180"/>
        <w:gridCol w:w="1140"/>
      </w:tblGrid>
      <w:tr w:rsidR="001E2BB3">
        <w:trPr>
          <w:trHeight w:val="28"/>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TH02030766-2019V001</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2019</w:t>
            </w:r>
          </w:p>
        </w:tc>
        <w:tc>
          <w:tcPr>
            <w:tcW w:w="11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710"/>
              <w:jc w:val="right"/>
              <w:rPr>
                <w:rFonts w:ascii="Times New Roman" w:hAnsi="Times New Roman" w:cs="Times New Roman"/>
                <w:sz w:val="24"/>
                <w:szCs w:val="24"/>
              </w:rPr>
            </w:pPr>
            <w:r>
              <w:rPr>
                <w:rFonts w:ascii="Cambria" w:hAnsi="Cambria" w:cs="Cambria"/>
                <w:sz w:val="16"/>
                <w:szCs w:val="16"/>
              </w:rPr>
              <w:t>2019</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286"/>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4"/>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TH02030766-2019V002</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Anaerobně sorpční biofiltr</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8140" w:type="dxa"/>
            <w:gridSpan w:val="3"/>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Technologie anaerobně sorpčního biofiltru bude ověřena na drenážní vodě s obsahem organochlorovanch pesticidů.</w:t>
            </w: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Ztech - ověřená technologie</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2019</w:t>
            </w:r>
          </w:p>
        </w:tc>
        <w:tc>
          <w:tcPr>
            <w:tcW w:w="11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710"/>
              <w:jc w:val="right"/>
              <w:rPr>
                <w:rFonts w:ascii="Times New Roman" w:hAnsi="Times New Roman" w:cs="Times New Roman"/>
                <w:sz w:val="24"/>
                <w:szCs w:val="24"/>
              </w:rPr>
            </w:pPr>
            <w:r>
              <w:rPr>
                <w:rFonts w:ascii="Cambria" w:hAnsi="Cambria" w:cs="Cambria"/>
                <w:sz w:val="16"/>
                <w:szCs w:val="16"/>
              </w:rPr>
              <w:t>2020</w:t>
            </w:r>
          </w:p>
        </w:tc>
        <w:tc>
          <w:tcPr>
            <w:tcW w:w="114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333"/>
        </w:trPr>
        <w:tc>
          <w:tcPr>
            <w:tcW w:w="19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w w:val="98"/>
                <w:sz w:val="20"/>
                <w:szCs w:val="20"/>
              </w:rPr>
              <w:t>Název období a rok</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5"/>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Název období</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Sumarizace poznatků a jejich komercializace</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Cambria" w:hAnsi="Cambria" w:cs="Cambria"/>
                <w:sz w:val="16"/>
                <w:szCs w:val="16"/>
              </w:rPr>
              <w:t>2020</w:t>
            </w:r>
          </w:p>
        </w:tc>
      </w:tr>
    </w:tbl>
    <w:p w:rsidR="001E2BB3" w:rsidRDefault="001E2BB3">
      <w:pPr>
        <w:widowControl w:val="0"/>
        <w:autoSpaceDE w:val="0"/>
        <w:autoSpaceDN w:val="0"/>
        <w:adjustRightInd w:val="0"/>
        <w:spacing w:after="0" w:line="7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Činnosti a výstupy/výsledky daného období</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Dílčí činnosti daného období</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Plný provoz na obou lokalitách</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Průběžný monitoring transformace cílových polutantů a složení mikrobiálních metabolitů</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Průběžný monitoring mikrobiálních populací, diverzity a četnosti funkčních genů</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Optimalizace sorpční a čistící funkce anaerobních biofiltrů pomocí manipulací se substrátem</w:t>
      </w:r>
    </w:p>
    <w:p w:rsidR="001E2BB3" w:rsidRDefault="001E2BB3">
      <w:pPr>
        <w:widowControl w:val="0"/>
        <w:autoSpaceDE w:val="0"/>
        <w:autoSpaceDN w:val="0"/>
        <w:adjustRightInd w:val="0"/>
        <w:spacing w:after="0" w:line="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Optimalizace funkce biofiltrů v kontextu celého konstruovaného mokřadu</w:t>
      </w:r>
    </w:p>
    <w:p w:rsidR="001E2BB3" w:rsidRDefault="00347D3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3175</wp:posOffset>
            </wp:positionH>
            <wp:positionV relativeFrom="paragraph">
              <wp:posOffset>95250</wp:posOffset>
            </wp:positionV>
            <wp:extent cx="6630035" cy="635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95"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2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3" w:name="page13"/>
      <w:bookmarkEnd w:id="3"/>
      <w:r>
        <w:rPr>
          <w:noProof/>
        </w:rPr>
        <w:lastRenderedPageBreak/>
        <w:drawing>
          <wp:anchor distT="0" distB="0" distL="114300" distR="114300" simplePos="0" relativeHeight="25168076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53"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p w:rsidR="001E2BB3" w:rsidRDefault="001E2BB3">
      <w:pPr>
        <w:widowControl w:val="0"/>
        <w:autoSpaceDE w:val="0"/>
        <w:autoSpaceDN w:val="0"/>
        <w:adjustRightInd w:val="0"/>
        <w:spacing w:after="0"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20"/>
      </w:tblGrid>
      <w:tr w:rsidR="001E2BB3">
        <w:trPr>
          <w:trHeight w:val="28"/>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90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90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TH02030766-2020V001</w:t>
            </w:r>
          </w:p>
        </w:tc>
        <w:tc>
          <w:tcPr>
            <w:tcW w:w="38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90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57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5700" w:type="dxa"/>
            <w:gridSpan w:val="2"/>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1E2BB3">
        <w:trPr>
          <w:trHeight w:val="336"/>
        </w:trPr>
        <w:tc>
          <w:tcPr>
            <w:tcW w:w="5700" w:type="dxa"/>
            <w:gridSpan w:val="2"/>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2020</w:t>
            </w:r>
          </w:p>
        </w:tc>
        <w:tc>
          <w:tcPr>
            <w:tcW w:w="232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850"/>
              <w:jc w:val="right"/>
              <w:rPr>
                <w:rFonts w:ascii="Times New Roman" w:hAnsi="Times New Roman" w:cs="Times New Roman"/>
                <w:sz w:val="24"/>
                <w:szCs w:val="24"/>
              </w:rPr>
            </w:pPr>
            <w:r>
              <w:rPr>
                <w:rFonts w:ascii="Cambria" w:hAnsi="Cambria" w:cs="Cambria"/>
                <w:sz w:val="16"/>
                <w:szCs w:val="16"/>
              </w:rPr>
              <w:t>2020</w:t>
            </w:r>
          </w:p>
        </w:tc>
      </w:tr>
      <w:tr w:rsidR="001E2BB3">
        <w:trPr>
          <w:trHeight w:val="286"/>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4"/>
        </w:trPr>
        <w:tc>
          <w:tcPr>
            <w:tcW w:w="1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3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9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09"/>
        </w:trPr>
        <w:tc>
          <w:tcPr>
            <w:tcW w:w="19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TH02030766-2020V002</w:t>
            </w:r>
          </w:p>
        </w:tc>
        <w:tc>
          <w:tcPr>
            <w:tcW w:w="38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Anaerobně sorpční biofiltr</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bl>
    <w:p w:rsidR="001E2BB3" w:rsidRDefault="00347D3A">
      <w:pPr>
        <w:widowControl w:val="0"/>
        <w:autoSpaceDE w:val="0"/>
        <w:autoSpaceDN w:val="0"/>
        <w:adjustRightInd w:val="0"/>
        <w:spacing w:after="0" w:line="240" w:lineRule="auto"/>
        <w:ind w:left="40"/>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1191260</wp:posOffset>
            </wp:positionH>
            <wp:positionV relativeFrom="paragraph">
              <wp:posOffset>-288290</wp:posOffset>
            </wp:positionV>
            <wp:extent cx="3175" cy="112395"/>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12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column">
              <wp:posOffset>3175</wp:posOffset>
            </wp:positionH>
            <wp:positionV relativeFrom="paragraph">
              <wp:posOffset>-291465</wp:posOffset>
            </wp:positionV>
            <wp:extent cx="6350" cy="11557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column">
              <wp:posOffset>6627495</wp:posOffset>
            </wp:positionH>
            <wp:positionV relativeFrom="paragraph">
              <wp:posOffset>-291465</wp:posOffset>
            </wp:positionV>
            <wp:extent cx="6350" cy="115570"/>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sz w:val="12"/>
          <w:szCs w:val="12"/>
        </w:rPr>
        <w:t>Popis výstupu/výsledku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3175</wp:posOffset>
            </wp:positionH>
            <wp:positionV relativeFrom="paragraph">
              <wp:posOffset>-70485</wp:posOffset>
            </wp:positionV>
            <wp:extent cx="1191260" cy="635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1260"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overflowPunct w:val="0"/>
        <w:autoSpaceDE w:val="0"/>
        <w:autoSpaceDN w:val="0"/>
        <w:adjustRightInd w:val="0"/>
        <w:spacing w:after="0" w:line="320" w:lineRule="auto"/>
        <w:ind w:left="100" w:right="60" w:hanging="35"/>
        <w:jc w:val="both"/>
        <w:rPr>
          <w:rFonts w:ascii="Times New Roman" w:hAnsi="Times New Roman" w:cs="Times New Roman"/>
          <w:sz w:val="24"/>
          <w:szCs w:val="24"/>
        </w:rPr>
      </w:pPr>
      <w:r>
        <w:rPr>
          <w:rFonts w:ascii="Cambria" w:hAnsi="Cambria" w:cs="Cambria"/>
          <w:sz w:val="16"/>
          <w:szCs w:val="16"/>
        </w:rPr>
        <w:t>Ověřený anaerobně sorpční biofiltr bude předmětem ochrany duševního vlastnictví. Chráněno bude materiálové složení biofiltru a uspořádání materiálů v tělese biofiltru. Patentová rešerše (viz příloha) dokládá, že dané téma je chránitelné užitným vzorem.</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20"/>
        <w:gridCol w:w="4080"/>
        <w:gridCol w:w="2440"/>
        <w:gridCol w:w="2300"/>
      </w:tblGrid>
      <w:tr w:rsidR="001E2BB3">
        <w:trPr>
          <w:trHeight w:val="28"/>
        </w:trPr>
        <w:tc>
          <w:tcPr>
            <w:tcW w:w="5700" w:type="dxa"/>
            <w:gridSpan w:val="2"/>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570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1E2BB3">
        <w:trPr>
          <w:trHeight w:val="336"/>
        </w:trPr>
        <w:tc>
          <w:tcPr>
            <w:tcW w:w="162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Fuzit - užitný vzor</w:t>
            </w:r>
          </w:p>
        </w:tc>
        <w:tc>
          <w:tcPr>
            <w:tcW w:w="40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2020</w:t>
            </w:r>
          </w:p>
        </w:tc>
        <w:tc>
          <w:tcPr>
            <w:tcW w:w="23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1830"/>
              <w:jc w:val="right"/>
              <w:rPr>
                <w:rFonts w:ascii="Times New Roman" w:hAnsi="Times New Roman" w:cs="Times New Roman"/>
                <w:sz w:val="24"/>
                <w:szCs w:val="24"/>
              </w:rPr>
            </w:pPr>
            <w:r>
              <w:rPr>
                <w:rFonts w:ascii="Cambria" w:hAnsi="Cambria" w:cs="Cambria"/>
                <w:sz w:val="16"/>
                <w:szCs w:val="16"/>
              </w:rPr>
              <w:t>2021</w:t>
            </w:r>
          </w:p>
        </w:tc>
      </w:tr>
      <w:tr w:rsidR="001E2BB3">
        <w:trPr>
          <w:trHeight w:val="286"/>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14"/>
        </w:trPr>
        <w:tc>
          <w:tcPr>
            <w:tcW w:w="16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40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r>
      <w:tr w:rsidR="001E2BB3">
        <w:trPr>
          <w:trHeight w:val="130"/>
        </w:trPr>
        <w:tc>
          <w:tcPr>
            <w:tcW w:w="162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408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30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09"/>
        </w:trPr>
        <w:tc>
          <w:tcPr>
            <w:tcW w:w="57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TH02030766-2020V003   Anaerobně sorpční biofiltr pro zemědělské pesticidy</w:t>
            </w:r>
          </w:p>
        </w:tc>
        <w:tc>
          <w:tcPr>
            <w:tcW w:w="24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bl>
    <w:p w:rsidR="001E2BB3" w:rsidRDefault="00347D3A">
      <w:pPr>
        <w:widowControl w:val="0"/>
        <w:autoSpaceDE w:val="0"/>
        <w:autoSpaceDN w:val="0"/>
        <w:adjustRightInd w:val="0"/>
        <w:spacing w:after="0" w:line="240" w:lineRule="auto"/>
        <w:ind w:left="40"/>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1191260</wp:posOffset>
            </wp:positionH>
            <wp:positionV relativeFrom="paragraph">
              <wp:posOffset>-287655</wp:posOffset>
            </wp:positionV>
            <wp:extent cx="3175" cy="112395"/>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12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column">
              <wp:posOffset>3175</wp:posOffset>
            </wp:positionH>
            <wp:positionV relativeFrom="paragraph">
              <wp:posOffset>-290830</wp:posOffset>
            </wp:positionV>
            <wp:extent cx="6350" cy="11557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column">
              <wp:posOffset>6627495</wp:posOffset>
            </wp:positionH>
            <wp:positionV relativeFrom="paragraph">
              <wp:posOffset>-290830</wp:posOffset>
            </wp:positionV>
            <wp:extent cx="6350" cy="11557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sz w:val="12"/>
          <w:szCs w:val="12"/>
        </w:rPr>
        <w:t>Popis výstupu/výsledku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3175</wp:posOffset>
            </wp:positionH>
            <wp:positionV relativeFrom="paragraph">
              <wp:posOffset>-70485</wp:posOffset>
            </wp:positionV>
            <wp:extent cx="1191260" cy="6350"/>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1260"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Technologie anaerobně sorpčního biofiltru bude ověřena na zdrojích vod s obsahem aktuálně používaných pesticidů.</w:t>
      </w:r>
    </w:p>
    <w:p w:rsidR="001E2BB3" w:rsidRDefault="001E2BB3">
      <w:pPr>
        <w:widowControl w:val="0"/>
        <w:autoSpaceDE w:val="0"/>
        <w:autoSpaceDN w:val="0"/>
        <w:adjustRightInd w:val="0"/>
        <w:spacing w:after="0" w:line="1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700"/>
        <w:gridCol w:w="2440"/>
        <w:gridCol w:w="2300"/>
      </w:tblGrid>
      <w:tr w:rsidR="001E2BB3">
        <w:trPr>
          <w:trHeight w:val="28"/>
        </w:trPr>
        <w:tc>
          <w:tcPr>
            <w:tcW w:w="57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570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1E2BB3">
        <w:trPr>
          <w:trHeight w:val="336"/>
        </w:trPr>
        <w:tc>
          <w:tcPr>
            <w:tcW w:w="57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Ztech - ověřená technologie</w:t>
            </w:r>
          </w:p>
        </w:tc>
        <w:tc>
          <w:tcPr>
            <w:tcW w:w="24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970"/>
              <w:jc w:val="right"/>
              <w:rPr>
                <w:rFonts w:ascii="Times New Roman" w:hAnsi="Times New Roman" w:cs="Times New Roman"/>
                <w:sz w:val="24"/>
                <w:szCs w:val="24"/>
              </w:rPr>
            </w:pPr>
            <w:r>
              <w:rPr>
                <w:rFonts w:ascii="Cambria" w:hAnsi="Cambria" w:cs="Cambria"/>
                <w:sz w:val="16"/>
                <w:szCs w:val="16"/>
              </w:rPr>
              <w:t>2020</w:t>
            </w:r>
          </w:p>
        </w:tc>
        <w:tc>
          <w:tcPr>
            <w:tcW w:w="230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1830"/>
              <w:jc w:val="right"/>
              <w:rPr>
                <w:rFonts w:ascii="Times New Roman" w:hAnsi="Times New Roman" w:cs="Times New Roman"/>
                <w:sz w:val="24"/>
                <w:szCs w:val="24"/>
              </w:rPr>
            </w:pPr>
            <w:r>
              <w:rPr>
                <w:rFonts w:ascii="Cambria" w:hAnsi="Cambria" w:cs="Cambria"/>
                <w:sz w:val="16"/>
                <w:szCs w:val="16"/>
              </w:rPr>
              <w:t>2021</w:t>
            </w:r>
          </w:p>
        </w:tc>
      </w:tr>
    </w:tbl>
    <w:p w:rsidR="001E2BB3" w:rsidRDefault="001E2BB3">
      <w:pPr>
        <w:widowControl w:val="0"/>
        <w:autoSpaceDE w:val="0"/>
        <w:autoSpaceDN w:val="0"/>
        <w:adjustRightInd w:val="0"/>
        <w:spacing w:after="0" w:line="7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7) Rozdělení práv k výsledkům projektu</w:t>
      </w:r>
    </w:p>
    <w:p w:rsidR="001E2BB3" w:rsidRDefault="001E2BB3">
      <w:pPr>
        <w:widowControl w:val="0"/>
        <w:autoSpaceDE w:val="0"/>
        <w:autoSpaceDN w:val="0"/>
        <w:adjustRightInd w:val="0"/>
        <w:spacing w:after="0" w:line="11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Rozdělení práv k výsledkům projektu</w:t>
      </w:r>
    </w:p>
    <w:p w:rsidR="001E2BB3" w:rsidRDefault="00347D3A">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3175</wp:posOffset>
            </wp:positionH>
            <wp:positionV relativeFrom="paragraph">
              <wp:posOffset>-70485</wp:posOffset>
            </wp:positionV>
            <wp:extent cx="6630035" cy="115570"/>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overflowPunct w:val="0"/>
        <w:autoSpaceDE w:val="0"/>
        <w:autoSpaceDN w:val="0"/>
        <w:adjustRightInd w:val="0"/>
        <w:spacing w:after="0" w:line="368" w:lineRule="auto"/>
        <w:ind w:left="100" w:right="60" w:hanging="35"/>
        <w:jc w:val="both"/>
        <w:rPr>
          <w:rFonts w:ascii="Times New Roman" w:hAnsi="Times New Roman" w:cs="Times New Roman"/>
          <w:sz w:val="24"/>
          <w:szCs w:val="24"/>
        </w:rPr>
      </w:pPr>
      <w:r>
        <w:rPr>
          <w:rFonts w:ascii="Cambria" w:hAnsi="Cambria" w:cs="Cambria"/>
          <w:sz w:val="16"/>
          <w:szCs w:val="16"/>
        </w:rPr>
        <w:t>Výsledky projektu budou postaveny jako společné dílo všech řešitelských pracovišť. Rozdělení úkolů na projektu předpokládá velmi úzkou spolupráci se zpětnou vazbou.</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27" w:lineRule="auto"/>
        <w:ind w:left="100" w:right="40" w:hanging="35"/>
        <w:jc w:val="both"/>
        <w:rPr>
          <w:rFonts w:ascii="Times New Roman" w:hAnsi="Times New Roman" w:cs="Times New Roman"/>
          <w:sz w:val="24"/>
          <w:szCs w:val="24"/>
        </w:rPr>
      </w:pPr>
      <w:r>
        <w:rPr>
          <w:rFonts w:ascii="Cambria" w:hAnsi="Cambria" w:cs="Cambria"/>
          <w:sz w:val="16"/>
          <w:szCs w:val="16"/>
        </w:rPr>
        <w:t>Rozdělení práv k duševnímu vlastnictví bude provedeno následujícím způsobem: u výsledků vzniklých na základě spolupráce řešitelského týmu budou práva rozdělena podle odpovídajícího podílu na zpracování výsledku z hlediska financí i invence jednotlivých účastníků projektu. U výsledků, které vzejdou z řešitelského týmu jednoho účastníka, budou práva rozdělena podle podílu na tvorbě výsledku v rámci tohoto týmu.</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245" w:lineRule="auto"/>
        <w:ind w:left="100" w:right="60" w:hanging="35"/>
        <w:jc w:val="both"/>
        <w:rPr>
          <w:rFonts w:ascii="Times New Roman" w:hAnsi="Times New Roman" w:cs="Times New Roman"/>
          <w:sz w:val="24"/>
          <w:szCs w:val="24"/>
        </w:rPr>
      </w:pPr>
      <w:r>
        <w:rPr>
          <w:rFonts w:ascii="Cambria" w:hAnsi="Cambria" w:cs="Cambria"/>
          <w:sz w:val="16"/>
          <w:szCs w:val="16"/>
        </w:rPr>
        <w:t>Jednotlivé výsledky budou společně sdíleny a diskutovány všemi pracovišti řešitelů. Je možné se opřít o vzájemnou důvěru řešitelů vybudovanou dlouhodobou kooperací na jiných projektech VaV. Případná právní ochrana produktu pak bude provedena po vzájemné domluvě zúčastněných,</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stejně tak jako komercionalizace produktu a s ním spojených služeb.</w:t>
      </w:r>
    </w:p>
    <w:p w:rsidR="001E2BB3" w:rsidRDefault="001E2BB3">
      <w:pPr>
        <w:widowControl w:val="0"/>
        <w:autoSpaceDE w:val="0"/>
        <w:autoSpaceDN w:val="0"/>
        <w:adjustRightInd w:val="0"/>
        <w:spacing w:after="0" w:line="196"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92" w:lineRule="auto"/>
        <w:ind w:left="100" w:right="60" w:hanging="35"/>
        <w:jc w:val="both"/>
        <w:rPr>
          <w:rFonts w:ascii="Times New Roman" w:hAnsi="Times New Roman" w:cs="Times New Roman"/>
          <w:sz w:val="24"/>
          <w:szCs w:val="24"/>
        </w:rPr>
      </w:pPr>
      <w:r>
        <w:rPr>
          <w:rFonts w:ascii="Cambria" w:hAnsi="Cambria" w:cs="Cambria"/>
          <w:sz w:val="16"/>
          <w:szCs w:val="16"/>
        </w:rPr>
        <w:t>Při vlastní komercionalizaci počítáme se společnou nabídkou služeb potencionálním odběratelům. Výstup pro veřejnost bude realizován prezentací výsledků na konferencích, v odborném tisku a nabídkou služeb zájemcům.</w:t>
      </w:r>
    </w:p>
    <w:p w:rsidR="001E2BB3" w:rsidRDefault="00347D3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3175</wp:posOffset>
            </wp:positionH>
            <wp:positionV relativeFrom="paragraph">
              <wp:posOffset>-52070</wp:posOffset>
            </wp:positionV>
            <wp:extent cx="6630035" cy="6350"/>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8) Identifikační údaje uchazeče</w:t>
      </w:r>
    </w:p>
    <w:p w:rsidR="001E2BB3" w:rsidRDefault="001E2BB3">
      <w:pPr>
        <w:widowControl w:val="0"/>
        <w:autoSpaceDE w:val="0"/>
        <w:autoSpaceDN w:val="0"/>
        <w:adjustRightInd w:val="0"/>
        <w:spacing w:after="0" w:line="232"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Hlavní příjemce - [P] Technická univerzita v Liberci - Ústav pro nanomateriály, pokročilé technologie a inovace</w:t>
      </w:r>
    </w:p>
    <w:p w:rsidR="001E2BB3" w:rsidRDefault="001E2BB3">
      <w:pPr>
        <w:widowControl w:val="0"/>
        <w:autoSpaceDE w:val="0"/>
        <w:autoSpaceDN w:val="0"/>
        <w:adjustRightInd w:val="0"/>
        <w:spacing w:after="0"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420"/>
        <w:gridCol w:w="4020"/>
        <w:gridCol w:w="1300"/>
        <w:gridCol w:w="120"/>
        <w:gridCol w:w="2160"/>
      </w:tblGrid>
      <w:tr w:rsidR="001E2BB3">
        <w:trPr>
          <w:trHeight w:val="28"/>
        </w:trPr>
        <w:tc>
          <w:tcPr>
            <w:tcW w:w="1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44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IČ</w:t>
            </w:r>
          </w:p>
        </w:tc>
        <w:tc>
          <w:tcPr>
            <w:tcW w:w="142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DIČ</w:t>
            </w:r>
          </w:p>
        </w:tc>
        <w:tc>
          <w:tcPr>
            <w:tcW w:w="402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Obchodní jméno</w:t>
            </w:r>
          </w:p>
        </w:tc>
        <w:tc>
          <w:tcPr>
            <w:tcW w:w="1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4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46747885</w:t>
            </w:r>
          </w:p>
        </w:tc>
        <w:tc>
          <w:tcPr>
            <w:tcW w:w="142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CZ46747885</w:t>
            </w:r>
          </w:p>
        </w:tc>
        <w:tc>
          <w:tcPr>
            <w:tcW w:w="402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Technická univerzita v Liberci</w:t>
            </w: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131"/>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Organizační jednotka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40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8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right="867"/>
              <w:jc w:val="right"/>
              <w:rPr>
                <w:rFonts w:ascii="Times New Roman" w:hAnsi="Times New Roman" w:cs="Times New Roman"/>
                <w:sz w:val="24"/>
                <w:szCs w:val="24"/>
              </w:rPr>
            </w:pPr>
            <w:r>
              <w:rPr>
                <w:rFonts w:ascii="Cambria" w:hAnsi="Cambria" w:cs="Cambria"/>
                <w:sz w:val="12"/>
                <w:szCs w:val="12"/>
              </w:rPr>
              <w:t>Kód organizační jednotky</w:t>
            </w:r>
          </w:p>
        </w:tc>
      </w:tr>
      <w:tr w:rsidR="001E2BB3">
        <w:trPr>
          <w:trHeight w:val="336"/>
        </w:trPr>
        <w:tc>
          <w:tcPr>
            <w:tcW w:w="6880" w:type="dxa"/>
            <w:gridSpan w:val="3"/>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Ústav pro nanomateriály, pokročilé technologie a inovace</w:t>
            </w:r>
          </w:p>
        </w:tc>
        <w:tc>
          <w:tcPr>
            <w:tcW w:w="130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right="1707"/>
              <w:jc w:val="right"/>
              <w:rPr>
                <w:rFonts w:ascii="Times New Roman" w:hAnsi="Times New Roman" w:cs="Times New Roman"/>
                <w:sz w:val="24"/>
                <w:szCs w:val="24"/>
              </w:rPr>
            </w:pPr>
            <w:r>
              <w:rPr>
                <w:rFonts w:ascii="Cambria" w:hAnsi="Cambria" w:cs="Cambria"/>
                <w:sz w:val="16"/>
                <w:szCs w:val="16"/>
              </w:rPr>
              <w:t>24620</w:t>
            </w:r>
          </w:p>
        </w:tc>
      </w:tr>
      <w:tr w:rsidR="001E2BB3">
        <w:trPr>
          <w:trHeight w:val="131"/>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1" w:lineRule="exact"/>
              <w:ind w:left="40"/>
              <w:rPr>
                <w:rFonts w:ascii="Times New Roman" w:hAnsi="Times New Roman" w:cs="Times New Roman"/>
                <w:sz w:val="24"/>
                <w:szCs w:val="24"/>
              </w:rPr>
            </w:pPr>
            <w:r>
              <w:rPr>
                <w:rFonts w:ascii="Cambria" w:hAnsi="Cambria" w:cs="Cambria"/>
                <w:sz w:val="12"/>
                <w:szCs w:val="12"/>
              </w:rPr>
              <w:t>Právní forma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40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Rodné číslo</w:t>
            </w: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1" w:lineRule="exact"/>
              <w:ind w:left="20"/>
              <w:rPr>
                <w:rFonts w:ascii="Times New Roman" w:hAnsi="Times New Roman" w:cs="Times New Roman"/>
                <w:sz w:val="24"/>
                <w:szCs w:val="24"/>
              </w:rPr>
            </w:pPr>
            <w:r>
              <w:rPr>
                <w:rFonts w:ascii="Cambria" w:hAnsi="Cambria" w:cs="Cambria"/>
                <w:sz w:val="12"/>
                <w:szCs w:val="12"/>
              </w:rPr>
              <w:t>Typ organizace</w:t>
            </w:r>
          </w:p>
        </w:tc>
      </w:tr>
      <w:tr w:rsidR="001E2BB3">
        <w:trPr>
          <w:trHeight w:val="229"/>
        </w:trPr>
        <w:tc>
          <w:tcPr>
            <w:tcW w:w="6880" w:type="dxa"/>
            <w:gridSpan w:val="3"/>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VVS - Veřejná nebo státní vysoká škola (zákon č. 111/1998 Sb., o vysokých školách a o změně a</w:t>
            </w:r>
          </w:p>
        </w:tc>
        <w:tc>
          <w:tcPr>
            <w:tcW w:w="1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VO - Výzkumná organizace-</w:t>
            </w:r>
          </w:p>
        </w:tc>
      </w:tr>
      <w:tr w:rsidR="001E2BB3">
        <w:trPr>
          <w:trHeight w:val="300"/>
        </w:trPr>
        <w:tc>
          <w:tcPr>
            <w:tcW w:w="286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sz w:val="16"/>
                <w:szCs w:val="16"/>
              </w:rPr>
              <w:t>doplnění dalších zákonů</w:t>
            </w:r>
          </w:p>
        </w:tc>
        <w:tc>
          <w:tcPr>
            <w:tcW w:w="4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VVS - veřejná vysoká škola</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6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3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4" w:name="page15"/>
      <w:bookmarkEnd w:id="4"/>
      <w:r>
        <w:rPr>
          <w:noProof/>
        </w:rPr>
        <w:lastRenderedPageBreak/>
        <w:drawing>
          <wp:anchor distT="0" distB="0" distL="114300" distR="114300" simplePos="0" relativeHeight="25169203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Další účastník projektu - [D] AQUATEST a.s.</w:t>
      </w:r>
    </w:p>
    <w:p w:rsidR="001E2BB3" w:rsidRDefault="001E2BB3">
      <w:pPr>
        <w:widowControl w:val="0"/>
        <w:autoSpaceDE w:val="0"/>
        <w:autoSpaceDN w:val="0"/>
        <w:adjustRightInd w:val="0"/>
        <w:spacing w:after="0"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420"/>
        <w:gridCol w:w="4020"/>
        <w:gridCol w:w="1300"/>
        <w:gridCol w:w="120"/>
        <w:gridCol w:w="2160"/>
      </w:tblGrid>
      <w:tr w:rsidR="001E2BB3">
        <w:trPr>
          <w:trHeight w:val="28"/>
        </w:trPr>
        <w:tc>
          <w:tcPr>
            <w:tcW w:w="1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44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IČ</w:t>
            </w:r>
          </w:p>
        </w:tc>
        <w:tc>
          <w:tcPr>
            <w:tcW w:w="142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DIČ</w:t>
            </w:r>
          </w:p>
        </w:tc>
        <w:tc>
          <w:tcPr>
            <w:tcW w:w="5320" w:type="dxa"/>
            <w:gridSpan w:val="2"/>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Obchodní jméno</w:t>
            </w:r>
          </w:p>
        </w:tc>
        <w:tc>
          <w:tcPr>
            <w:tcW w:w="1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4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44794843</w:t>
            </w:r>
          </w:p>
        </w:tc>
        <w:tc>
          <w:tcPr>
            <w:tcW w:w="142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CZ44794843</w:t>
            </w:r>
          </w:p>
        </w:tc>
        <w:tc>
          <w:tcPr>
            <w:tcW w:w="532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AQUATEST a.s.</w:t>
            </w: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243"/>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Organizační jednotka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40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228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2"/>
                <w:szCs w:val="12"/>
              </w:rPr>
              <w:t>Kód organizační jednotky</w:t>
            </w:r>
          </w:p>
        </w:tc>
      </w:tr>
      <w:tr w:rsidR="001E2BB3">
        <w:trPr>
          <w:trHeight w:val="34"/>
        </w:trPr>
        <w:tc>
          <w:tcPr>
            <w:tcW w:w="1440" w:type="dxa"/>
            <w:tcBorders>
              <w:top w:val="nil"/>
              <w:left w:val="single" w:sz="8" w:space="0" w:color="auto"/>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Právní forma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40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Rodné číslo</w:t>
            </w: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Typ organizace</w:t>
            </w:r>
          </w:p>
        </w:tc>
      </w:tr>
      <w:tr w:rsidR="001E2BB3">
        <w:trPr>
          <w:trHeight w:val="229"/>
        </w:trPr>
        <w:tc>
          <w:tcPr>
            <w:tcW w:w="6880" w:type="dxa"/>
            <w:gridSpan w:val="3"/>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w w:val="98"/>
                <w:sz w:val="16"/>
                <w:szCs w:val="16"/>
              </w:rPr>
              <w:t>POO - Právnická osoba zapsaná v obchodním rejstříku (zákon č. 304/2013 Sb., o veřejných rejstřících</w:t>
            </w:r>
          </w:p>
        </w:tc>
        <w:tc>
          <w:tcPr>
            <w:tcW w:w="1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VP - Velký podnik</w:t>
            </w:r>
          </w:p>
        </w:tc>
      </w:tr>
      <w:tr w:rsidR="001E2BB3">
        <w:trPr>
          <w:trHeight w:val="300"/>
        </w:trPr>
        <w:tc>
          <w:tcPr>
            <w:tcW w:w="286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sz w:val="16"/>
                <w:szCs w:val="16"/>
              </w:rPr>
              <w:t>právnických a fyzických osob</w:t>
            </w:r>
          </w:p>
        </w:tc>
        <w:tc>
          <w:tcPr>
            <w:tcW w:w="4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bl>
    <w:p w:rsidR="001E2BB3" w:rsidRDefault="001E2BB3">
      <w:pPr>
        <w:widowControl w:val="0"/>
        <w:autoSpaceDE w:val="0"/>
        <w:autoSpaceDN w:val="0"/>
        <w:adjustRightInd w:val="0"/>
        <w:spacing w:after="0" w:line="7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Další účastník projektu - [D] Výzkumný ústav meliorací a ochrany půdy, v.v.i.</w:t>
      </w:r>
    </w:p>
    <w:p w:rsidR="001E2BB3" w:rsidRDefault="001E2BB3">
      <w:pPr>
        <w:widowControl w:val="0"/>
        <w:autoSpaceDE w:val="0"/>
        <w:autoSpaceDN w:val="0"/>
        <w:adjustRightInd w:val="0"/>
        <w:spacing w:after="0"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420"/>
        <w:gridCol w:w="4020"/>
        <w:gridCol w:w="1300"/>
        <w:gridCol w:w="120"/>
        <w:gridCol w:w="2160"/>
      </w:tblGrid>
      <w:tr w:rsidR="001E2BB3">
        <w:trPr>
          <w:trHeight w:val="28"/>
        </w:trPr>
        <w:tc>
          <w:tcPr>
            <w:tcW w:w="14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440" w:type="dxa"/>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IČ</w:t>
            </w:r>
          </w:p>
        </w:tc>
        <w:tc>
          <w:tcPr>
            <w:tcW w:w="142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DIČ</w:t>
            </w:r>
          </w:p>
        </w:tc>
        <w:tc>
          <w:tcPr>
            <w:tcW w:w="5320" w:type="dxa"/>
            <w:gridSpan w:val="2"/>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Obchodní jméno</w:t>
            </w:r>
          </w:p>
        </w:tc>
        <w:tc>
          <w:tcPr>
            <w:tcW w:w="1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r>
      <w:tr w:rsidR="001E2BB3">
        <w:trPr>
          <w:trHeight w:val="336"/>
        </w:trPr>
        <w:tc>
          <w:tcPr>
            <w:tcW w:w="14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00027049</w:t>
            </w:r>
          </w:p>
        </w:tc>
        <w:tc>
          <w:tcPr>
            <w:tcW w:w="142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CZ00027049</w:t>
            </w:r>
          </w:p>
        </w:tc>
        <w:tc>
          <w:tcPr>
            <w:tcW w:w="532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Výzkumný ústav meliorací a ochrany půdy, v.v.i.</w:t>
            </w: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r>
      <w:tr w:rsidR="001E2BB3">
        <w:trPr>
          <w:trHeight w:val="243"/>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2"/>
                <w:szCs w:val="12"/>
              </w:rPr>
              <w:t>Organizační jednotka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40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1"/>
                <w:szCs w:val="21"/>
              </w:rPr>
            </w:pPr>
          </w:p>
        </w:tc>
        <w:tc>
          <w:tcPr>
            <w:tcW w:w="2280" w:type="dxa"/>
            <w:gridSpan w:val="2"/>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2"/>
                <w:szCs w:val="12"/>
              </w:rPr>
              <w:t>Kód organizační jednotky</w:t>
            </w:r>
          </w:p>
        </w:tc>
      </w:tr>
      <w:tr w:rsidR="001E2BB3">
        <w:trPr>
          <w:trHeight w:val="34"/>
        </w:trPr>
        <w:tc>
          <w:tcPr>
            <w:tcW w:w="1440" w:type="dxa"/>
            <w:tcBorders>
              <w:top w:val="nil"/>
              <w:left w:val="single" w:sz="8" w:space="0" w:color="auto"/>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0"/>
        </w:trPr>
        <w:tc>
          <w:tcPr>
            <w:tcW w:w="1440" w:type="dxa"/>
            <w:tcBorders>
              <w:top w:val="nil"/>
              <w:left w:val="single" w:sz="8" w:space="0" w:color="auto"/>
              <w:bottom w:val="nil"/>
              <w:right w:val="nil"/>
            </w:tcBorders>
            <w:vAlign w:val="bottom"/>
          </w:tcPr>
          <w:p w:rsidR="001E2BB3" w:rsidRDefault="00E83CAF">
            <w:pPr>
              <w:widowControl w:val="0"/>
              <w:autoSpaceDE w:val="0"/>
              <w:autoSpaceDN w:val="0"/>
              <w:adjustRightInd w:val="0"/>
              <w:spacing w:after="0" w:line="130" w:lineRule="exact"/>
              <w:ind w:left="40"/>
              <w:rPr>
                <w:rFonts w:ascii="Times New Roman" w:hAnsi="Times New Roman" w:cs="Times New Roman"/>
                <w:sz w:val="24"/>
                <w:szCs w:val="24"/>
              </w:rPr>
            </w:pPr>
            <w:r>
              <w:rPr>
                <w:rFonts w:ascii="Cambria" w:hAnsi="Cambria" w:cs="Cambria"/>
                <w:sz w:val="12"/>
                <w:szCs w:val="12"/>
              </w:rPr>
              <w:t>Právní forma</w:t>
            </w: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40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Rodné číslo</w:t>
            </w: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130" w:lineRule="exact"/>
              <w:ind w:left="20"/>
              <w:rPr>
                <w:rFonts w:ascii="Times New Roman" w:hAnsi="Times New Roman" w:cs="Times New Roman"/>
                <w:sz w:val="24"/>
                <w:szCs w:val="24"/>
              </w:rPr>
            </w:pPr>
            <w:r>
              <w:rPr>
                <w:rFonts w:ascii="Cambria" w:hAnsi="Cambria" w:cs="Cambria"/>
                <w:sz w:val="12"/>
                <w:szCs w:val="12"/>
              </w:rPr>
              <w:t>Typ organizace</w:t>
            </w:r>
          </w:p>
        </w:tc>
      </w:tr>
      <w:tr w:rsidR="001E2BB3">
        <w:trPr>
          <w:trHeight w:val="229"/>
        </w:trPr>
        <w:tc>
          <w:tcPr>
            <w:tcW w:w="6880" w:type="dxa"/>
            <w:gridSpan w:val="3"/>
            <w:tcBorders>
              <w:top w:val="nil"/>
              <w:left w:val="single" w:sz="8" w:space="0" w:color="auto"/>
              <w:bottom w:val="nil"/>
              <w:right w:val="single" w:sz="8" w:space="0" w:color="auto"/>
            </w:tcBorders>
            <w:vAlign w:val="bottom"/>
          </w:tcPr>
          <w:p w:rsidR="001E2BB3" w:rsidRDefault="00E83CAF">
            <w:pPr>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sz w:val="16"/>
                <w:szCs w:val="16"/>
              </w:rPr>
              <w:t>VVI - Veřejná výzkumná instituce (zákon č. 341/2005 Sb., o veřejných výzkumných institucích)</w:t>
            </w:r>
          </w:p>
        </w:tc>
        <w:tc>
          <w:tcPr>
            <w:tcW w:w="1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VO - Výzkumná organizace-</w:t>
            </w:r>
          </w:p>
        </w:tc>
      </w:tr>
      <w:tr w:rsidR="001E2BB3">
        <w:trPr>
          <w:trHeight w:val="192"/>
        </w:trPr>
        <w:tc>
          <w:tcPr>
            <w:tcW w:w="1440" w:type="dxa"/>
            <w:tcBorders>
              <w:top w:val="nil"/>
              <w:left w:val="single" w:sz="8" w:space="0" w:color="auto"/>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40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VVI - veřejná výzkum-</w:t>
            </w:r>
          </w:p>
        </w:tc>
      </w:tr>
      <w:tr w:rsidR="001E2BB3">
        <w:trPr>
          <w:trHeight w:val="300"/>
        </w:trPr>
        <w:tc>
          <w:tcPr>
            <w:tcW w:w="1440" w:type="dxa"/>
            <w:tcBorders>
              <w:top w:val="nil"/>
              <w:left w:val="single" w:sz="8" w:space="0" w:color="auto"/>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4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ná instituce mimo AV ČR</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8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4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5" w:name="page17"/>
      <w:bookmarkEnd w:id="5"/>
      <w:r>
        <w:rPr>
          <w:noProof/>
        </w:rPr>
        <w:lastRenderedPageBreak/>
        <w:drawing>
          <wp:anchor distT="0" distB="0" distL="114300" distR="114300" simplePos="0" relativeHeight="25169305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Hlavní příjemce - [P] Technická univerzita v Liberci - Ústav pro nanomateriály, pokročilé technologie a inovace</w:t>
      </w:r>
    </w:p>
    <w:p w:rsidR="001E2BB3" w:rsidRDefault="001E2BB3">
      <w:pPr>
        <w:widowControl w:val="0"/>
        <w:autoSpaceDE w:val="0"/>
        <w:autoSpaceDN w:val="0"/>
        <w:adjustRightInd w:val="0"/>
        <w:spacing w:after="0" w:line="126"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9) Náklady</w:t>
      </w:r>
    </w:p>
    <w:p w:rsidR="001E2BB3" w:rsidRDefault="001E2BB3">
      <w:pPr>
        <w:widowControl w:val="0"/>
        <w:autoSpaceDE w:val="0"/>
        <w:autoSpaceDN w:val="0"/>
        <w:adjustRightInd w:val="0"/>
        <w:spacing w:after="0" w:line="8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2260"/>
        <w:gridCol w:w="680"/>
        <w:gridCol w:w="180"/>
        <w:gridCol w:w="100"/>
        <w:gridCol w:w="740"/>
        <w:gridCol w:w="280"/>
        <w:gridCol w:w="1140"/>
        <w:gridCol w:w="240"/>
        <w:gridCol w:w="900"/>
        <w:gridCol w:w="240"/>
        <w:gridCol w:w="880"/>
        <w:gridCol w:w="1140"/>
        <w:gridCol w:w="1140"/>
        <w:gridCol w:w="30"/>
      </w:tblGrid>
      <w:tr w:rsidR="001E2BB3">
        <w:trPr>
          <w:trHeight w:val="50"/>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Osobní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265 000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658 000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747 000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658 000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2 328 000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Náklady na subdodávky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42 693</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726 616</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791 462</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649 693</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2 210 464</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92 307</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415 384</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461 538</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392 307</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1 361 536</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NÁKLADY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1 800 000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2 000 000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1 700 000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5 900 000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Podíl nákladů na nepřímé náklady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85"/>
        </w:trPr>
        <w:tc>
          <w:tcPr>
            <w:tcW w:w="28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10) Zdroje</w:t>
            </w:r>
          </w:p>
        </w:tc>
        <w:tc>
          <w:tcPr>
            <w:tcW w:w="6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14"/>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Podpora</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330 000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1 620 000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1 810 000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1 460 000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5 220 000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Neveřejné zdroje</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180 000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190 000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240 000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680 000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ZDROJE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1 800 000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2 000 000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1 700 000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5 900 000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Míra podpory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82.50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90.50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85.88</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88.47</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93"/>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PODÍLY KATEGORIÍ VÝZKUMU</w:t>
            </w:r>
          </w:p>
        </w:tc>
        <w:tc>
          <w:tcPr>
            <w:tcW w:w="860" w:type="dxa"/>
            <w:gridSpan w:val="2"/>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sz w:val="16"/>
                <w:szCs w:val="16"/>
              </w:rPr>
              <w:t>Jednotka</w:t>
            </w: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100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val="restart"/>
            <w:tcBorders>
              <w:top w:val="nil"/>
              <w:left w:val="nil"/>
              <w:bottom w:val="nil"/>
              <w:right w:val="nil"/>
            </w:tcBorders>
            <w:shd w:val="clear" w:color="auto" w:fill="F5F5F5"/>
            <w:vAlign w:val="bottom"/>
          </w:tcPr>
          <w:p w:rsidR="001E2BB3" w:rsidRDefault="00E83CAF">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mbria" w:hAnsi="Cambria" w:cs="Cambria"/>
                <w:sz w:val="16"/>
                <w:szCs w:val="16"/>
              </w:rPr>
              <w:t>2017</w:t>
            </w: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Aplikovaný výzkum</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EV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Experimentální vývoj</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5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6" w:name="page19"/>
      <w:bookmarkEnd w:id="6"/>
      <w:r>
        <w:rPr>
          <w:noProof/>
        </w:rPr>
        <w:lastRenderedPageBreak/>
        <w:drawing>
          <wp:anchor distT="0" distB="0" distL="114300" distR="114300" simplePos="0" relativeHeight="25169408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Další účastník projektu - [D] AQUATEST a.s.</w:t>
      </w:r>
    </w:p>
    <w:p w:rsidR="001E2BB3" w:rsidRDefault="001E2BB3">
      <w:pPr>
        <w:widowControl w:val="0"/>
        <w:autoSpaceDE w:val="0"/>
        <w:autoSpaceDN w:val="0"/>
        <w:adjustRightInd w:val="0"/>
        <w:spacing w:after="0" w:line="126"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9) Náklady</w:t>
      </w:r>
    </w:p>
    <w:p w:rsidR="001E2BB3" w:rsidRDefault="001E2BB3">
      <w:pPr>
        <w:widowControl w:val="0"/>
        <w:autoSpaceDE w:val="0"/>
        <w:autoSpaceDN w:val="0"/>
        <w:adjustRightInd w:val="0"/>
        <w:spacing w:after="0" w:line="8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2260"/>
        <w:gridCol w:w="680"/>
        <w:gridCol w:w="180"/>
        <w:gridCol w:w="100"/>
        <w:gridCol w:w="740"/>
        <w:gridCol w:w="280"/>
        <w:gridCol w:w="1140"/>
        <w:gridCol w:w="240"/>
        <w:gridCol w:w="900"/>
        <w:gridCol w:w="240"/>
        <w:gridCol w:w="880"/>
        <w:gridCol w:w="1140"/>
        <w:gridCol w:w="1140"/>
        <w:gridCol w:w="30"/>
      </w:tblGrid>
      <w:tr w:rsidR="001E2BB3">
        <w:trPr>
          <w:trHeight w:val="50"/>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Osobní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75 737</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571 885</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819 839</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807 296</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2 274 757</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Náklady na subdodávky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28 000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48 000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960 000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760 000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150 000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1 890 000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4 263</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40 115</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50 161</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42 704</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137 243</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NÁKLADY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1 600 000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1 650 000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4 350 000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Podíl nákladů na nepřímé náklady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4.45</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2.62</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3.18</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4.46</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3.3</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85"/>
        </w:trPr>
        <w:tc>
          <w:tcPr>
            <w:tcW w:w="28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10) Zdroje</w:t>
            </w:r>
          </w:p>
        </w:tc>
        <w:tc>
          <w:tcPr>
            <w:tcW w:w="6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14"/>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Podpora</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720 000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742 500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1 957 500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Neveřejné zdroje</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55 000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880 000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907 500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550 000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2 392 500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ZDROJE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1 600 000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1 650 000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4 350 000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Míra podpory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93"/>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PODÍLY KATEGORIÍ VÝZKUMU</w:t>
            </w:r>
          </w:p>
        </w:tc>
        <w:tc>
          <w:tcPr>
            <w:tcW w:w="860" w:type="dxa"/>
            <w:gridSpan w:val="2"/>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sz w:val="16"/>
                <w:szCs w:val="16"/>
              </w:rPr>
              <w:t>Jednotka</w:t>
            </w: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100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val="restart"/>
            <w:tcBorders>
              <w:top w:val="nil"/>
              <w:left w:val="nil"/>
              <w:bottom w:val="nil"/>
              <w:right w:val="nil"/>
            </w:tcBorders>
            <w:shd w:val="clear" w:color="auto" w:fill="F5F5F5"/>
            <w:vAlign w:val="bottom"/>
          </w:tcPr>
          <w:p w:rsidR="001E2BB3" w:rsidRDefault="00E83CAF">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mbria" w:hAnsi="Cambria" w:cs="Cambria"/>
                <w:sz w:val="16"/>
                <w:szCs w:val="16"/>
              </w:rPr>
              <w:t>2017</w:t>
            </w: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Aplikovaný výzkum</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EV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Experimentální vývoj</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6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7" w:name="page21"/>
      <w:bookmarkEnd w:id="7"/>
      <w:r>
        <w:rPr>
          <w:noProof/>
        </w:rPr>
        <w:lastRenderedPageBreak/>
        <w:drawing>
          <wp:anchor distT="0" distB="0" distL="114300" distR="114300" simplePos="0" relativeHeight="25169510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Další účastník projektu - [D] Výzkumný ústav meliorací a ochrany půdy, v.v.i.</w:t>
      </w:r>
    </w:p>
    <w:p w:rsidR="001E2BB3" w:rsidRDefault="001E2BB3">
      <w:pPr>
        <w:widowControl w:val="0"/>
        <w:autoSpaceDE w:val="0"/>
        <w:autoSpaceDN w:val="0"/>
        <w:adjustRightInd w:val="0"/>
        <w:spacing w:after="0" w:line="126"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9) Náklady</w:t>
      </w:r>
    </w:p>
    <w:p w:rsidR="001E2BB3" w:rsidRDefault="001E2BB3">
      <w:pPr>
        <w:widowControl w:val="0"/>
        <w:autoSpaceDE w:val="0"/>
        <w:autoSpaceDN w:val="0"/>
        <w:adjustRightInd w:val="0"/>
        <w:spacing w:after="0" w:line="8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2260"/>
        <w:gridCol w:w="680"/>
        <w:gridCol w:w="180"/>
        <w:gridCol w:w="100"/>
        <w:gridCol w:w="740"/>
        <w:gridCol w:w="280"/>
        <w:gridCol w:w="1140"/>
        <w:gridCol w:w="240"/>
        <w:gridCol w:w="900"/>
        <w:gridCol w:w="240"/>
        <w:gridCol w:w="880"/>
        <w:gridCol w:w="1140"/>
        <w:gridCol w:w="1140"/>
        <w:gridCol w:w="30"/>
      </w:tblGrid>
      <w:tr w:rsidR="001E2BB3">
        <w:trPr>
          <w:trHeight w:val="50"/>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Osobní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113 000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865 800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795 600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671 000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2 445 400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Náklady na subdodávky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140 000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210 000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33 000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54 000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51 200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37 100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175 300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Nepřímé náklady</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54 000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340 200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313 200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261 900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969 300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NÁKLADY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200 000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1 400 000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1 200 000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3 800 000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Podíl nákladů na nepřímé náklady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36.99</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36.99</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36.99</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36.99</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36.99</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85"/>
        </w:trPr>
        <w:tc>
          <w:tcPr>
            <w:tcW w:w="2800" w:type="dxa"/>
            <w:gridSpan w:val="2"/>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10) Zdroje</w:t>
            </w:r>
          </w:p>
        </w:tc>
        <w:tc>
          <w:tcPr>
            <w:tcW w:w="6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14"/>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sz w:val="16"/>
                <w:szCs w:val="16"/>
              </w:rPr>
              <w:t>Ukazatel</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single" w:sz="8" w:space="0" w:color="F5F5F5"/>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vMerge w:val="restart"/>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Podpora</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170 000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1 260 000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1 080 000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3 410 000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nil"/>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Neveřejné zdroje</w:t>
            </w:r>
          </w:p>
        </w:tc>
        <w:tc>
          <w:tcPr>
            <w:tcW w:w="6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140 000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120 000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390 000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2800" w:type="dxa"/>
            <w:gridSpan w:val="2"/>
            <w:tcBorders>
              <w:top w:val="nil"/>
              <w:left w:val="single" w:sz="8" w:space="0" w:color="auto"/>
              <w:bottom w:val="single" w:sz="8" w:space="0" w:color="F5F5F5"/>
              <w:right w:val="single" w:sz="8" w:space="0" w:color="F5F5F5"/>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ZDROJE CELKEM</w:t>
            </w:r>
          </w:p>
        </w:tc>
        <w:tc>
          <w:tcPr>
            <w:tcW w:w="6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7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200 000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1 400 000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1 200 000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1 000 000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3 800 000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2800" w:type="dxa"/>
            <w:gridSpan w:val="2"/>
            <w:tcBorders>
              <w:top w:val="single" w:sz="8" w:space="0" w:color="auto"/>
              <w:left w:val="single" w:sz="8" w:space="0" w:color="auto"/>
              <w:bottom w:val="single" w:sz="8" w:space="0" w:color="auto"/>
              <w:right w:val="nil"/>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Míra podpory</w:t>
            </w:r>
          </w:p>
        </w:tc>
        <w:tc>
          <w:tcPr>
            <w:tcW w:w="6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2"/>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7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85.00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90.00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90.00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89.74</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93"/>
        </w:trPr>
        <w:tc>
          <w:tcPr>
            <w:tcW w:w="5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26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PODÍLY KATEGORIÍ VÝZKUMU</w:t>
            </w:r>
          </w:p>
        </w:tc>
        <w:tc>
          <w:tcPr>
            <w:tcW w:w="860" w:type="dxa"/>
            <w:gridSpan w:val="2"/>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sz w:val="16"/>
                <w:szCs w:val="16"/>
              </w:rPr>
              <w:t>Jednotka</w:t>
            </w: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100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540" w:type="dxa"/>
            <w:tcBorders>
              <w:top w:val="nil"/>
              <w:left w:val="single" w:sz="8" w:space="0" w:color="auto"/>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val="restart"/>
            <w:tcBorders>
              <w:top w:val="nil"/>
              <w:left w:val="nil"/>
              <w:bottom w:val="nil"/>
              <w:right w:val="nil"/>
            </w:tcBorders>
            <w:shd w:val="clear" w:color="auto" w:fill="F5F5F5"/>
            <w:vAlign w:val="bottom"/>
          </w:tcPr>
          <w:p w:rsidR="001E2BB3" w:rsidRDefault="00E83CAF">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mbria" w:hAnsi="Cambria" w:cs="Cambria"/>
                <w:sz w:val="16"/>
                <w:szCs w:val="16"/>
              </w:rPr>
              <w:t>2017</w:t>
            </w:r>
          </w:p>
        </w:tc>
        <w:tc>
          <w:tcPr>
            <w:tcW w:w="280" w:type="dxa"/>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540" w:type="dxa"/>
            <w:tcBorders>
              <w:top w:val="nil"/>
              <w:left w:val="single" w:sz="8" w:space="0" w:color="auto"/>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26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740" w:type="dxa"/>
            <w:vMerge/>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AV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Aplikovaný výzkum</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54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EV</w:t>
            </w:r>
          </w:p>
        </w:tc>
        <w:tc>
          <w:tcPr>
            <w:tcW w:w="226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Experimentální vývoj</w:t>
            </w:r>
          </w:p>
        </w:tc>
        <w:tc>
          <w:tcPr>
            <w:tcW w:w="6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Cambria" w:hAnsi="Cambria" w:cs="Cambria"/>
                <w:w w:val="98"/>
                <w:sz w:val="16"/>
                <w:szCs w:val="16"/>
              </w:rPr>
              <w:t>%</w:t>
            </w:r>
          </w:p>
        </w:tc>
        <w:tc>
          <w:tcPr>
            <w:tcW w:w="18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w:t>
            </w: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7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bookmarkStart w:id="8" w:name="page23"/>
      <w:bookmarkEnd w:id="8"/>
      <w:r>
        <w:rPr>
          <w:noProof/>
        </w:rPr>
        <w:drawing>
          <wp:anchor distT="0" distB="0" distL="114300" distR="114300" simplePos="0" relativeHeight="251696128" behindDoc="1" locked="0" layoutInCell="0" allowOverlap="1" wp14:anchorId="1D4A3880" wp14:editId="43663555">
            <wp:simplePos x="0" y="0"/>
            <wp:positionH relativeFrom="page">
              <wp:posOffset>539750</wp:posOffset>
            </wp:positionH>
            <wp:positionV relativeFrom="page">
              <wp:posOffset>370205</wp:posOffset>
            </wp:positionV>
            <wp:extent cx="2005330" cy="548640"/>
            <wp:effectExtent l="0" t="0" r="0" b="381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ZÁVAZNÉ PARAMETRY ŘEŠENÍ PROJEKTU</w:t>
      </w:r>
    </w:p>
    <w:p w:rsidR="001E2BB3" w:rsidRDefault="00E83CAF">
      <w:pPr>
        <w:widowControl w:val="0"/>
        <w:overflowPunct w:val="0"/>
        <w:autoSpaceDE w:val="0"/>
        <w:autoSpaceDN w:val="0"/>
        <w:adjustRightInd w:val="0"/>
        <w:spacing w:after="0" w:line="240" w:lineRule="auto"/>
        <w:ind w:right="34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4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11) Finance za projekt</w:t>
      </w:r>
    </w:p>
    <w:p w:rsidR="001E2BB3" w:rsidRDefault="001E2BB3">
      <w:pPr>
        <w:widowControl w:val="0"/>
        <w:autoSpaceDE w:val="0"/>
        <w:autoSpaceDN w:val="0"/>
        <w:adjustRightInd w:val="0"/>
        <w:spacing w:after="0" w:line="126"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Náklady za projekt</w:t>
      </w:r>
    </w:p>
    <w:p w:rsidR="001E2BB3" w:rsidRDefault="001E2BB3">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80"/>
        <w:gridCol w:w="280"/>
        <w:gridCol w:w="1020"/>
        <w:gridCol w:w="1140"/>
        <w:gridCol w:w="1140"/>
        <w:gridCol w:w="240"/>
        <w:gridCol w:w="880"/>
        <w:gridCol w:w="1140"/>
        <w:gridCol w:w="1140"/>
        <w:gridCol w:w="30"/>
      </w:tblGrid>
      <w:tr w:rsidR="001E2BB3">
        <w:trPr>
          <w:trHeight w:val="50"/>
        </w:trPr>
        <w:tc>
          <w:tcPr>
            <w:tcW w:w="34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vMerge w:val="restart"/>
            <w:tcBorders>
              <w:top w:val="nil"/>
              <w:left w:val="single" w:sz="8" w:space="0" w:color="auto"/>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1440"/>
              <w:rPr>
                <w:rFonts w:ascii="Times New Roman" w:hAnsi="Times New Roman" w:cs="Times New Roman"/>
                <w:sz w:val="24"/>
                <w:szCs w:val="24"/>
              </w:rPr>
            </w:pPr>
            <w:r>
              <w:rPr>
                <w:rFonts w:ascii="Cambria" w:hAnsi="Cambria" w:cs="Cambria"/>
                <w:sz w:val="16"/>
                <w:szCs w:val="16"/>
              </w:rPr>
              <w:t>Ukazatel</w:t>
            </w:r>
          </w:p>
        </w:tc>
        <w:tc>
          <w:tcPr>
            <w:tcW w:w="28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2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98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3480" w:type="dxa"/>
            <w:vMerge/>
            <w:tcBorders>
              <w:top w:val="nil"/>
              <w:left w:val="single" w:sz="8" w:space="0" w:color="auto"/>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2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3480" w:type="dxa"/>
            <w:tcBorders>
              <w:top w:val="nil"/>
              <w:left w:val="single" w:sz="8" w:space="0" w:color="auto"/>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Osobní náklady</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453 737</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2 095 685</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2 362 439</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2 136 296</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7 048 157</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Náklady na subdodávky</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168 000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258 000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přímé náklady</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95 693</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1 740 616</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1 602 662</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836 793</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4 275 764</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64"/>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Nepřímé náklady</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150 570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795 699</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824 899</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696 911</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2 468 079</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24"/>
        </w:trPr>
        <w:tc>
          <w:tcPr>
            <w:tcW w:w="3480" w:type="dxa"/>
            <w:tcBorders>
              <w:top w:val="single" w:sz="8" w:space="0" w:color="F5F5F5"/>
              <w:left w:val="single" w:sz="8" w:space="0" w:color="auto"/>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ind w:left="40"/>
              <w:rPr>
                <w:rFonts w:ascii="Times New Roman" w:hAnsi="Times New Roman" w:cs="Times New Roman"/>
                <w:sz w:val="24"/>
                <w:szCs w:val="24"/>
              </w:rPr>
            </w:pPr>
            <w:r>
              <w:rPr>
                <w:rFonts w:ascii="Cambria" w:hAnsi="Cambria" w:cs="Cambria"/>
                <w:b/>
                <w:bCs/>
                <w:sz w:val="16"/>
                <w:szCs w:val="16"/>
              </w:rPr>
              <w:t>NÁKLADY CELKEM</w:t>
            </w:r>
          </w:p>
        </w:tc>
        <w:tc>
          <w:tcPr>
            <w:tcW w:w="280" w:type="dxa"/>
            <w:tcBorders>
              <w:top w:val="single" w:sz="8" w:space="0" w:color="F5F5F5"/>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184" w:lineRule="exact"/>
              <w:ind w:left="20"/>
              <w:rPr>
                <w:rFonts w:ascii="Times New Roman" w:hAnsi="Times New Roman" w:cs="Times New Roman"/>
                <w:sz w:val="24"/>
                <w:szCs w:val="24"/>
              </w:rPr>
            </w:pPr>
            <w:r>
              <w:rPr>
                <w:rFonts w:ascii="Cambria" w:hAnsi="Cambria" w:cs="Cambria"/>
                <w:b/>
                <w:bCs/>
                <w:sz w:val="16"/>
                <w:szCs w:val="16"/>
              </w:rPr>
              <w:t>Kč</w:t>
            </w:r>
          </w:p>
        </w:tc>
        <w:tc>
          <w:tcPr>
            <w:tcW w:w="1020" w:type="dxa"/>
            <w:tcBorders>
              <w:top w:val="single" w:sz="8" w:space="0" w:color="F5F5F5"/>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single" w:sz="8" w:space="0" w:color="F5F5F5"/>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jc w:val="right"/>
              <w:rPr>
                <w:rFonts w:ascii="Times New Roman" w:hAnsi="Times New Roman" w:cs="Times New Roman"/>
                <w:sz w:val="24"/>
                <w:szCs w:val="24"/>
              </w:rPr>
            </w:pPr>
            <w:r>
              <w:rPr>
                <w:rFonts w:ascii="Cambria" w:hAnsi="Cambria" w:cs="Cambria"/>
                <w:b/>
                <w:bCs/>
                <w:sz w:val="16"/>
                <w:szCs w:val="16"/>
              </w:rPr>
              <w:t>700 000</w:t>
            </w:r>
          </w:p>
        </w:tc>
        <w:tc>
          <w:tcPr>
            <w:tcW w:w="1140" w:type="dxa"/>
            <w:tcBorders>
              <w:top w:val="single" w:sz="8" w:space="0" w:color="F5F5F5"/>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jc w:val="right"/>
              <w:rPr>
                <w:rFonts w:ascii="Times New Roman" w:hAnsi="Times New Roman" w:cs="Times New Roman"/>
                <w:sz w:val="24"/>
                <w:szCs w:val="24"/>
              </w:rPr>
            </w:pPr>
            <w:r>
              <w:rPr>
                <w:rFonts w:ascii="Cambria" w:hAnsi="Cambria" w:cs="Cambria"/>
                <w:b/>
                <w:bCs/>
                <w:sz w:val="16"/>
                <w:szCs w:val="16"/>
              </w:rPr>
              <w:t>4 800 000</w:t>
            </w:r>
          </w:p>
        </w:tc>
        <w:tc>
          <w:tcPr>
            <w:tcW w:w="240" w:type="dxa"/>
            <w:tcBorders>
              <w:top w:val="single" w:sz="8" w:space="0" w:color="F5F5F5"/>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single" w:sz="8" w:space="0" w:color="F5F5F5"/>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jc w:val="right"/>
              <w:rPr>
                <w:rFonts w:ascii="Times New Roman" w:hAnsi="Times New Roman" w:cs="Times New Roman"/>
                <w:sz w:val="24"/>
                <w:szCs w:val="24"/>
              </w:rPr>
            </w:pPr>
            <w:r>
              <w:rPr>
                <w:rFonts w:ascii="Cambria" w:hAnsi="Cambria" w:cs="Cambria"/>
                <w:b/>
                <w:bCs/>
                <w:sz w:val="16"/>
                <w:szCs w:val="16"/>
              </w:rPr>
              <w:t>4 850 000</w:t>
            </w:r>
          </w:p>
        </w:tc>
        <w:tc>
          <w:tcPr>
            <w:tcW w:w="1140" w:type="dxa"/>
            <w:tcBorders>
              <w:top w:val="single" w:sz="8" w:space="0" w:color="F5F5F5"/>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jc w:val="right"/>
              <w:rPr>
                <w:rFonts w:ascii="Times New Roman" w:hAnsi="Times New Roman" w:cs="Times New Roman"/>
                <w:sz w:val="24"/>
                <w:szCs w:val="24"/>
              </w:rPr>
            </w:pPr>
            <w:r>
              <w:rPr>
                <w:rFonts w:ascii="Cambria" w:hAnsi="Cambria" w:cs="Cambria"/>
                <w:b/>
                <w:bCs/>
                <w:sz w:val="16"/>
                <w:szCs w:val="16"/>
              </w:rPr>
              <w:t>3 700 000</w:t>
            </w:r>
          </w:p>
        </w:tc>
        <w:tc>
          <w:tcPr>
            <w:tcW w:w="1140" w:type="dxa"/>
            <w:tcBorders>
              <w:top w:val="single" w:sz="8" w:space="0" w:color="F5F5F5"/>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184" w:lineRule="exact"/>
              <w:jc w:val="right"/>
              <w:rPr>
                <w:rFonts w:ascii="Times New Roman" w:hAnsi="Times New Roman" w:cs="Times New Roman"/>
                <w:sz w:val="24"/>
                <w:szCs w:val="24"/>
              </w:rPr>
            </w:pPr>
            <w:r>
              <w:rPr>
                <w:rFonts w:ascii="Cambria" w:hAnsi="Cambria" w:cs="Cambria"/>
                <w:b/>
                <w:bCs/>
                <w:sz w:val="16"/>
                <w:szCs w:val="16"/>
              </w:rPr>
              <w:t>14 050 000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single" w:sz="8" w:space="0" w:color="auto"/>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Podíl nákladů na subdodávky</w:t>
            </w:r>
          </w:p>
        </w:tc>
        <w:tc>
          <w:tcPr>
            <w:tcW w:w="280" w:type="dxa"/>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102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3.5</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1.24</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0.81</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1.84</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85"/>
        </w:trPr>
        <w:tc>
          <w:tcPr>
            <w:tcW w:w="348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b/>
                <w:bCs/>
                <w:sz w:val="16"/>
                <w:szCs w:val="16"/>
              </w:rPr>
              <w:t>Zdroje za projekt</w:t>
            </w:r>
          </w:p>
        </w:tc>
        <w:tc>
          <w:tcPr>
            <w:tcW w:w="2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27"/>
        </w:trPr>
        <w:tc>
          <w:tcPr>
            <w:tcW w:w="34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380" w:type="dxa"/>
            <w:gridSpan w:val="2"/>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vMerge w:val="restart"/>
            <w:tcBorders>
              <w:top w:val="nil"/>
              <w:left w:val="single" w:sz="8" w:space="0" w:color="auto"/>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1440"/>
              <w:rPr>
                <w:rFonts w:ascii="Times New Roman" w:hAnsi="Times New Roman" w:cs="Times New Roman"/>
                <w:sz w:val="24"/>
                <w:szCs w:val="24"/>
              </w:rPr>
            </w:pPr>
            <w:r>
              <w:rPr>
                <w:rFonts w:ascii="Cambria" w:hAnsi="Cambria" w:cs="Cambria"/>
                <w:sz w:val="16"/>
                <w:szCs w:val="16"/>
              </w:rPr>
              <w:t>Ukazatel</w:t>
            </w:r>
          </w:p>
        </w:tc>
        <w:tc>
          <w:tcPr>
            <w:tcW w:w="28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02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sz w:val="16"/>
                <w:szCs w:val="16"/>
              </w:rPr>
              <w:t>Jednotka</w:t>
            </w:r>
          </w:p>
        </w:tc>
        <w:tc>
          <w:tcPr>
            <w:tcW w:w="114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nil"/>
              <w:left w:val="nil"/>
              <w:bottom w:val="single" w:sz="8" w:space="0" w:color="auto"/>
              <w:right w:val="nil"/>
            </w:tcBorders>
            <w:shd w:val="clear" w:color="auto" w:fill="F5F5F5"/>
            <w:vAlign w:val="bottom"/>
          </w:tcPr>
          <w:p w:rsidR="001E2BB3" w:rsidRDefault="00E83CAF">
            <w:pPr>
              <w:widowControl w:val="0"/>
              <w:autoSpaceDE w:val="0"/>
              <w:autoSpaceDN w:val="0"/>
              <w:adjustRightInd w:val="0"/>
              <w:spacing w:after="0" w:line="240" w:lineRule="auto"/>
              <w:ind w:left="980"/>
              <w:rPr>
                <w:rFonts w:ascii="Times New Roman" w:hAnsi="Times New Roman" w:cs="Times New Roman"/>
                <w:sz w:val="24"/>
                <w:szCs w:val="24"/>
              </w:rPr>
            </w:pPr>
            <w:r>
              <w:rPr>
                <w:rFonts w:ascii="Cambria" w:hAnsi="Cambria" w:cs="Cambria"/>
                <w:sz w:val="16"/>
                <w:szCs w:val="16"/>
              </w:rPr>
              <w:t>Rok</w:t>
            </w:r>
          </w:p>
        </w:tc>
        <w:tc>
          <w:tcPr>
            <w:tcW w:w="880" w:type="dxa"/>
            <w:tcBorders>
              <w:top w:val="nil"/>
              <w:left w:val="nil"/>
              <w:bottom w:val="single" w:sz="8" w:space="0" w:color="auto"/>
              <w:right w:val="single" w:sz="8" w:space="0" w:color="F5F5F5"/>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vMerge w:val="restart"/>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35"/>
        </w:trPr>
        <w:tc>
          <w:tcPr>
            <w:tcW w:w="3480" w:type="dxa"/>
            <w:vMerge/>
            <w:tcBorders>
              <w:top w:val="nil"/>
              <w:left w:val="single" w:sz="8" w:space="0" w:color="auto"/>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02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2017</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tcBorders>
              <w:top w:val="nil"/>
              <w:left w:val="nil"/>
              <w:bottom w:val="nil"/>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03"/>
        </w:trPr>
        <w:tc>
          <w:tcPr>
            <w:tcW w:w="3480" w:type="dxa"/>
            <w:tcBorders>
              <w:top w:val="nil"/>
              <w:left w:val="single" w:sz="8" w:space="0" w:color="auto"/>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Podpora</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545 000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3 600 000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3 632 500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2 810 000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10 587 500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Ostatní veřejné zdroje</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nil"/>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Neveřejné zdroje</w:t>
            </w:r>
          </w:p>
        </w:tc>
        <w:tc>
          <w:tcPr>
            <w:tcW w:w="280" w:type="dxa"/>
            <w:tcBorders>
              <w:top w:val="nil"/>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Kč</w:t>
            </w:r>
          </w:p>
        </w:tc>
        <w:tc>
          <w:tcPr>
            <w:tcW w:w="1020" w:type="dxa"/>
            <w:tcBorders>
              <w:top w:val="nil"/>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155 000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1 200 000</w:t>
            </w:r>
          </w:p>
        </w:tc>
        <w:tc>
          <w:tcPr>
            <w:tcW w:w="240" w:type="dxa"/>
            <w:tcBorders>
              <w:top w:val="nil"/>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1 217 500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890 000</w:t>
            </w:r>
          </w:p>
        </w:tc>
        <w:tc>
          <w:tcPr>
            <w:tcW w:w="1140" w:type="dxa"/>
            <w:tcBorders>
              <w:top w:val="nil"/>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3 462 500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44"/>
        </w:trPr>
        <w:tc>
          <w:tcPr>
            <w:tcW w:w="3480" w:type="dxa"/>
            <w:tcBorders>
              <w:top w:val="nil"/>
              <w:left w:val="single" w:sz="8" w:space="0" w:color="auto"/>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b/>
                <w:bCs/>
                <w:sz w:val="16"/>
                <w:szCs w:val="16"/>
              </w:rPr>
              <w:t>ZDROJE CELKEM</w:t>
            </w:r>
          </w:p>
        </w:tc>
        <w:tc>
          <w:tcPr>
            <w:tcW w:w="280" w:type="dxa"/>
            <w:tcBorders>
              <w:top w:val="nil"/>
              <w:left w:val="nil"/>
              <w:bottom w:val="single" w:sz="8" w:space="0" w:color="F5F5F5"/>
              <w:right w:val="nil"/>
            </w:tcBorders>
            <w:shd w:val="clear" w:color="auto" w:fill="F5F5F5"/>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16"/>
                <w:szCs w:val="16"/>
              </w:rPr>
              <w:t>Kč</w:t>
            </w:r>
          </w:p>
        </w:tc>
        <w:tc>
          <w:tcPr>
            <w:tcW w:w="1020" w:type="dxa"/>
            <w:tcBorders>
              <w:top w:val="nil"/>
              <w:left w:val="nil"/>
              <w:bottom w:val="single" w:sz="8" w:space="0" w:color="F5F5F5"/>
              <w:right w:val="single" w:sz="8" w:space="0" w:color="auto"/>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700 000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4 800 000</w:t>
            </w:r>
          </w:p>
        </w:tc>
        <w:tc>
          <w:tcPr>
            <w:tcW w:w="240" w:type="dxa"/>
            <w:tcBorders>
              <w:top w:val="nil"/>
              <w:left w:val="nil"/>
              <w:bottom w:val="single" w:sz="8" w:space="0" w:color="F5F5F5"/>
              <w:right w:val="nil"/>
            </w:tcBorders>
            <w:shd w:val="clear" w:color="auto" w:fill="F5F5F5"/>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4 850 000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3 700 000</w:t>
            </w:r>
          </w:p>
        </w:tc>
        <w:tc>
          <w:tcPr>
            <w:tcW w:w="1140" w:type="dxa"/>
            <w:tcBorders>
              <w:top w:val="nil"/>
              <w:left w:val="nil"/>
              <w:bottom w:val="single" w:sz="8" w:space="0" w:color="F5F5F5"/>
              <w:right w:val="single" w:sz="8" w:space="0" w:color="auto"/>
            </w:tcBorders>
            <w:shd w:val="clear" w:color="auto" w:fill="F5F5F5"/>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14 050 000</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239"/>
        </w:trPr>
        <w:tc>
          <w:tcPr>
            <w:tcW w:w="3480" w:type="dxa"/>
            <w:tcBorders>
              <w:top w:val="single" w:sz="8" w:space="0" w:color="auto"/>
              <w:left w:val="single" w:sz="8" w:space="0" w:color="auto"/>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ind w:left="40"/>
              <w:rPr>
                <w:rFonts w:ascii="Times New Roman" w:hAnsi="Times New Roman" w:cs="Times New Roman"/>
                <w:sz w:val="24"/>
                <w:szCs w:val="24"/>
              </w:rPr>
            </w:pPr>
            <w:r>
              <w:rPr>
                <w:rFonts w:ascii="Cambria" w:hAnsi="Cambria" w:cs="Cambria"/>
                <w:sz w:val="16"/>
                <w:szCs w:val="16"/>
              </w:rPr>
              <w:t>Míra podpory</w:t>
            </w:r>
          </w:p>
        </w:tc>
        <w:tc>
          <w:tcPr>
            <w:tcW w:w="280" w:type="dxa"/>
            <w:tcBorders>
              <w:top w:val="single" w:sz="8" w:space="0" w:color="auto"/>
              <w:left w:val="nil"/>
              <w:bottom w:val="single" w:sz="8" w:space="0" w:color="auto"/>
              <w:right w:val="nil"/>
            </w:tcBorders>
            <w:vAlign w:val="bottom"/>
          </w:tcPr>
          <w:p w:rsidR="001E2BB3" w:rsidRDefault="00E83CAF">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6"/>
                <w:szCs w:val="16"/>
              </w:rPr>
              <w:t>%</w:t>
            </w:r>
          </w:p>
        </w:tc>
        <w:tc>
          <w:tcPr>
            <w:tcW w:w="1020" w:type="dxa"/>
            <w:tcBorders>
              <w:top w:val="single" w:sz="8" w:space="0" w:color="auto"/>
              <w:left w:val="nil"/>
              <w:bottom w:val="single" w:sz="8" w:space="0" w:color="auto"/>
              <w:right w:val="single" w:sz="8" w:space="0" w:color="auto"/>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77.86</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75.00</w:t>
            </w:r>
          </w:p>
        </w:tc>
        <w:tc>
          <w:tcPr>
            <w:tcW w:w="240" w:type="dxa"/>
            <w:tcBorders>
              <w:top w:val="single" w:sz="8" w:space="0" w:color="auto"/>
              <w:left w:val="nil"/>
              <w:bottom w:val="single" w:sz="8" w:space="0" w:color="auto"/>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74.90</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75.95</w:t>
            </w:r>
          </w:p>
        </w:tc>
        <w:tc>
          <w:tcPr>
            <w:tcW w:w="1140" w:type="dxa"/>
            <w:tcBorders>
              <w:top w:val="single" w:sz="8" w:space="0" w:color="auto"/>
              <w:left w:val="nil"/>
              <w:bottom w:val="single" w:sz="8" w:space="0" w:color="auto"/>
              <w:right w:val="single" w:sz="8" w:space="0" w:color="auto"/>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75.36</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620" w:bottom="0" w:left="840" w:header="720" w:footer="720" w:gutter="0"/>
          <w:cols w:space="720" w:equalWidth="0">
            <w:col w:w="1044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6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40"/>
        <w:gridCol w:w="3500"/>
        <w:gridCol w:w="20"/>
      </w:tblGrid>
      <w:tr w:rsidR="001E2BB3">
        <w:trPr>
          <w:trHeight w:val="251"/>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00" w:type="dxa"/>
            <w:vMerge w:val="restart"/>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500"/>
              <w:rPr>
                <w:rFonts w:ascii="Times New Roman" w:hAnsi="Times New Roman" w:cs="Times New Roman"/>
                <w:sz w:val="24"/>
                <w:szCs w:val="24"/>
              </w:rPr>
            </w:pPr>
            <w:r>
              <w:rPr>
                <w:rFonts w:ascii="Cambria" w:hAnsi="Cambria" w:cs="Cambria"/>
                <w:w w:val="98"/>
                <w:sz w:val="20"/>
                <w:szCs w:val="20"/>
              </w:rPr>
              <w:t>strana 8 / 8</w:t>
            </w: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00" w:type="dxa"/>
            <w:vMerge/>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r w:rsidR="001E2BB3">
        <w:trPr>
          <w:trHeight w:val="335"/>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0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2BB3" w:rsidRDefault="001E2BB3">
            <w:pPr>
              <w:widowControl w:val="0"/>
              <w:autoSpaceDE w:val="0"/>
              <w:autoSpaceDN w:val="0"/>
              <w:adjustRightInd w:val="0"/>
              <w:spacing w:after="0" w:line="240" w:lineRule="auto"/>
              <w:rPr>
                <w:rFonts w:ascii="Times New Roman" w:hAnsi="Times New Roman" w:cs="Times New Roman"/>
                <w:sz w:val="2"/>
                <w:szCs w:val="2"/>
              </w:rPr>
            </w:pP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9" w:name="page25"/>
      <w:bookmarkEnd w:id="9"/>
      <w:r>
        <w:rPr>
          <w:noProof/>
        </w:rPr>
        <w:drawing>
          <wp:anchor distT="0" distB="0" distL="114300" distR="114300" simplePos="0" relativeHeight="25169715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6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250"/>
        <w:rPr>
          <w:rFonts w:ascii="Times New Roman" w:hAnsi="Times New Roman" w:cs="Times New Roman"/>
          <w:sz w:val="24"/>
          <w:szCs w:val="24"/>
        </w:rPr>
      </w:pPr>
      <w:r>
        <w:rPr>
          <w:rFonts w:ascii="Cambria" w:hAnsi="Cambria" w:cs="Cambria"/>
          <w:b/>
          <w:bCs/>
          <w:sz w:val="36"/>
          <w:szCs w:val="36"/>
        </w:rPr>
        <w:t>Příloha č. 2 – Všeobecné podmínky</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38"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270"/>
        <w:rPr>
          <w:rFonts w:ascii="Times New Roman" w:hAnsi="Times New Roman" w:cs="Times New Roman"/>
          <w:sz w:val="24"/>
          <w:szCs w:val="24"/>
        </w:rPr>
      </w:pPr>
      <w:r>
        <w:rPr>
          <w:rFonts w:ascii="Cambria" w:hAnsi="Cambria" w:cs="Cambria"/>
          <w:b/>
          <w:bCs/>
          <w:sz w:val="28"/>
          <w:szCs w:val="28"/>
        </w:rPr>
        <w:t>Část A – Základní ustanovení</w:t>
      </w:r>
    </w:p>
    <w:p w:rsidR="001E2BB3" w:rsidRDefault="001E2BB3">
      <w:pPr>
        <w:widowControl w:val="0"/>
        <w:autoSpaceDE w:val="0"/>
        <w:autoSpaceDN w:val="0"/>
        <w:adjustRightInd w:val="0"/>
        <w:spacing w:after="0" w:line="31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90"/>
        <w:rPr>
          <w:rFonts w:ascii="Times New Roman" w:hAnsi="Times New Roman" w:cs="Times New Roman"/>
          <w:sz w:val="24"/>
          <w:szCs w:val="24"/>
        </w:rPr>
      </w:pPr>
      <w:r>
        <w:rPr>
          <w:rFonts w:ascii="Cambria" w:hAnsi="Cambria" w:cs="Cambria"/>
          <w:b/>
          <w:bCs/>
          <w:i/>
          <w:iCs/>
        </w:rPr>
        <w:t>Článek 1</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170"/>
        <w:rPr>
          <w:rFonts w:ascii="Times New Roman" w:hAnsi="Times New Roman" w:cs="Times New Roman"/>
          <w:sz w:val="24"/>
          <w:szCs w:val="24"/>
        </w:rPr>
      </w:pPr>
      <w:r>
        <w:rPr>
          <w:rFonts w:ascii="Cambria" w:hAnsi="Cambria" w:cs="Cambria"/>
          <w:b/>
          <w:bCs/>
          <w:i/>
          <w:iCs/>
        </w:rPr>
        <w:t>Obecná ustanovení</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10"/>
        </w:numPr>
        <w:tabs>
          <w:tab w:val="clear" w:pos="720"/>
          <w:tab w:val="num" w:pos="430"/>
        </w:tabs>
        <w:overflowPunct w:val="0"/>
        <w:autoSpaceDE w:val="0"/>
        <w:autoSpaceDN w:val="0"/>
        <w:adjustRightInd w:val="0"/>
        <w:spacing w:after="0" w:line="323" w:lineRule="auto"/>
        <w:ind w:left="430" w:hanging="430"/>
        <w:jc w:val="both"/>
        <w:rPr>
          <w:rFonts w:ascii="Cambria" w:hAnsi="Cambria" w:cs="Cambria"/>
          <w:b/>
          <w:bCs/>
        </w:rPr>
      </w:pPr>
      <w:r>
        <w:rPr>
          <w:rFonts w:ascii="Cambria" w:hAnsi="Cambria" w:cs="Cambria"/>
        </w:rPr>
        <w:t xml:space="preserve">Všeobecné podmínky jsou závazné a vymahatelné vůči smluvním stranám Smlouvy o poskytnutí podpory na řešení programového projektu (dále jen „Smlouva“).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0"/>
        </w:numPr>
        <w:tabs>
          <w:tab w:val="clear" w:pos="720"/>
          <w:tab w:val="num" w:pos="430"/>
        </w:tabs>
        <w:overflowPunct w:val="0"/>
        <w:autoSpaceDE w:val="0"/>
        <w:autoSpaceDN w:val="0"/>
        <w:adjustRightInd w:val="0"/>
        <w:spacing w:after="0" w:line="323" w:lineRule="auto"/>
        <w:ind w:left="430" w:hanging="430"/>
        <w:jc w:val="both"/>
        <w:rPr>
          <w:rFonts w:ascii="Cambria" w:hAnsi="Cambria" w:cs="Cambria"/>
          <w:b/>
          <w:bCs/>
        </w:rPr>
      </w:pPr>
      <w:r>
        <w:rPr>
          <w:rFonts w:ascii="Cambria" w:hAnsi="Cambria" w:cs="Cambria"/>
        </w:rPr>
        <w:t xml:space="preserve">Všeobecné podmínky jsou rovněž závazné a vymahatelné v případě Rozhodnutí o poskytnutí podpory, pokud ve prospěch příjemce bylo vydáno, přičemž v tomto případě se použijí přiměřeně.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0"/>
        </w:numPr>
        <w:tabs>
          <w:tab w:val="clear" w:pos="720"/>
          <w:tab w:val="num" w:pos="430"/>
        </w:tabs>
        <w:overflowPunct w:val="0"/>
        <w:autoSpaceDE w:val="0"/>
        <w:autoSpaceDN w:val="0"/>
        <w:adjustRightInd w:val="0"/>
        <w:spacing w:after="0" w:line="295" w:lineRule="auto"/>
        <w:ind w:left="430" w:hanging="430"/>
        <w:jc w:val="both"/>
        <w:rPr>
          <w:rFonts w:ascii="Cambria" w:hAnsi="Cambria" w:cs="Cambria"/>
          <w:b/>
          <w:bCs/>
        </w:rPr>
      </w:pPr>
      <w:r>
        <w:rPr>
          <w:rFonts w:ascii="Cambria" w:hAnsi="Cambria" w:cs="Cambria"/>
        </w:rPr>
        <w:t xml:space="preserve">Pokud Všeobecné podmínky odkazují na procesy (zejména změnová řízení nebo hodnotící a kontrolní procesy), které jsou upraveny vnitřními předpisy poskytovatele, jsou tyto vnitřní předpisy pro smluvní strany závazné. Vnitřní předpisy jsou dostupné na internetové adrese http://www.tacr.cz v sekci „vnitřní předpisy“.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10"/>
        </w:numPr>
        <w:tabs>
          <w:tab w:val="clear" w:pos="720"/>
          <w:tab w:val="num" w:pos="430"/>
        </w:tabs>
        <w:overflowPunct w:val="0"/>
        <w:autoSpaceDE w:val="0"/>
        <w:autoSpaceDN w:val="0"/>
        <w:adjustRightInd w:val="0"/>
        <w:spacing w:after="0" w:line="305" w:lineRule="auto"/>
        <w:ind w:left="430" w:hanging="430"/>
        <w:jc w:val="both"/>
        <w:rPr>
          <w:rFonts w:ascii="Cambria" w:hAnsi="Cambria" w:cs="Cambria"/>
          <w:b/>
          <w:bCs/>
        </w:rPr>
      </w:pPr>
      <w:r>
        <w:rPr>
          <w:rFonts w:ascii="Cambria" w:hAnsi="Cambria" w:cs="Cambria"/>
        </w:rPr>
        <w:t xml:space="preserve">Poskytovatel si vyhrazuje právo provádět změny vnitřních předpisů a smluvní strany postupují dle verze platné a účinné v době učinění příslušného úkonu. O každé změně takového předpisu poskytovatel informuje na svých webových stránkách neprodleně po nabytí její účinnosti. </w:t>
      </w:r>
    </w:p>
    <w:p w:rsidR="001E2BB3" w:rsidRDefault="00E83CAF">
      <w:pPr>
        <w:widowControl w:val="0"/>
        <w:numPr>
          <w:ilvl w:val="0"/>
          <w:numId w:val="10"/>
        </w:numPr>
        <w:tabs>
          <w:tab w:val="clear" w:pos="720"/>
          <w:tab w:val="num" w:pos="430"/>
        </w:tabs>
        <w:overflowPunct w:val="0"/>
        <w:autoSpaceDE w:val="0"/>
        <w:autoSpaceDN w:val="0"/>
        <w:adjustRightInd w:val="0"/>
        <w:spacing w:after="0" w:line="362" w:lineRule="auto"/>
        <w:ind w:left="430" w:hanging="430"/>
        <w:jc w:val="both"/>
        <w:rPr>
          <w:rFonts w:ascii="Cambria" w:hAnsi="Cambria" w:cs="Cambria"/>
          <w:b/>
          <w:bCs/>
        </w:rPr>
      </w:pPr>
      <w:r>
        <w:rPr>
          <w:rFonts w:ascii="Cambria" w:hAnsi="Cambria" w:cs="Cambria"/>
        </w:rPr>
        <w:t xml:space="preserve">Těmito vnitřními předpisy jsou zejména SME-03 Směrnice stanovující pravidla pro oponentní řízení, SME-07 Směrnice pro změnová řízení projektů, SME-12 Směrnice pro předkládání a zpracování zpráv, a SME-22 Směrnice o finanční veřejnosprávní kontrole. </w:t>
      </w:r>
    </w:p>
    <w:p w:rsidR="001E2BB3" w:rsidRDefault="001E2BB3">
      <w:pPr>
        <w:widowControl w:val="0"/>
        <w:autoSpaceDE w:val="0"/>
        <w:autoSpaceDN w:val="0"/>
        <w:adjustRightInd w:val="0"/>
        <w:spacing w:after="0" w:line="22"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90"/>
        <w:rPr>
          <w:rFonts w:ascii="Times New Roman" w:hAnsi="Times New Roman" w:cs="Times New Roman"/>
          <w:sz w:val="24"/>
          <w:szCs w:val="24"/>
        </w:rPr>
      </w:pPr>
      <w:r>
        <w:rPr>
          <w:rFonts w:ascii="Cambria" w:hAnsi="Cambria" w:cs="Cambria"/>
          <w:b/>
          <w:bCs/>
          <w:i/>
          <w:iCs/>
        </w:rPr>
        <w:t>Článek 2</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290"/>
        <w:rPr>
          <w:rFonts w:ascii="Times New Roman" w:hAnsi="Times New Roman" w:cs="Times New Roman"/>
          <w:sz w:val="24"/>
          <w:szCs w:val="24"/>
        </w:rPr>
      </w:pPr>
      <w:r>
        <w:rPr>
          <w:rFonts w:ascii="Cambria" w:hAnsi="Cambria" w:cs="Cambria"/>
          <w:b/>
          <w:bCs/>
          <w:i/>
          <w:iCs/>
        </w:rPr>
        <w:t>Vymezení pojmů</w:t>
      </w:r>
    </w:p>
    <w:p w:rsidR="001E2BB3" w:rsidRDefault="001E2BB3">
      <w:pPr>
        <w:widowControl w:val="0"/>
        <w:autoSpaceDE w:val="0"/>
        <w:autoSpaceDN w:val="0"/>
        <w:adjustRightInd w:val="0"/>
        <w:spacing w:after="0" w:line="150" w:lineRule="exact"/>
        <w:rPr>
          <w:rFonts w:ascii="Times New Roman" w:hAnsi="Times New Roman" w:cs="Times New Roman"/>
          <w:sz w:val="24"/>
          <w:szCs w:val="24"/>
        </w:rPr>
      </w:pPr>
    </w:p>
    <w:p w:rsidR="001E2BB3" w:rsidRDefault="00E83CAF">
      <w:pPr>
        <w:widowControl w:val="0"/>
        <w:numPr>
          <w:ilvl w:val="0"/>
          <w:numId w:val="11"/>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rPr>
      </w:pPr>
      <w:r>
        <w:rPr>
          <w:rFonts w:ascii="Cambria" w:hAnsi="Cambria" w:cs="Cambria"/>
          <w:b/>
          <w:bCs/>
        </w:rPr>
        <w:t xml:space="preserve">Pro účely Smlouvy se rozumí: </w:t>
      </w:r>
    </w:p>
    <w:p w:rsidR="001E2BB3" w:rsidRDefault="001E2BB3">
      <w:pPr>
        <w:widowControl w:val="0"/>
        <w:autoSpaceDE w:val="0"/>
        <w:autoSpaceDN w:val="0"/>
        <w:adjustRightInd w:val="0"/>
        <w:spacing w:after="0" w:line="78" w:lineRule="exact"/>
        <w:rPr>
          <w:rFonts w:ascii="Cambria" w:hAnsi="Cambria" w:cs="Cambria"/>
          <w:b/>
          <w:bCs/>
        </w:rPr>
      </w:pPr>
    </w:p>
    <w:p w:rsidR="001E2BB3" w:rsidRDefault="00E83CAF">
      <w:pPr>
        <w:widowControl w:val="0"/>
        <w:numPr>
          <w:ilvl w:val="1"/>
          <w:numId w:val="11"/>
        </w:numPr>
        <w:tabs>
          <w:tab w:val="clear" w:pos="1440"/>
          <w:tab w:val="num" w:pos="710"/>
        </w:tabs>
        <w:overflowPunct w:val="0"/>
        <w:autoSpaceDE w:val="0"/>
        <w:autoSpaceDN w:val="0"/>
        <w:adjustRightInd w:val="0"/>
        <w:spacing w:after="0" w:line="321" w:lineRule="auto"/>
        <w:ind w:left="710" w:hanging="353"/>
        <w:jc w:val="both"/>
        <w:rPr>
          <w:rFonts w:ascii="Cambria" w:hAnsi="Cambria" w:cs="Cambria"/>
          <w:b/>
          <w:bCs/>
        </w:rPr>
      </w:pPr>
      <w:r>
        <w:rPr>
          <w:rFonts w:ascii="Cambria" w:hAnsi="Cambria" w:cs="Cambria"/>
          <w:b/>
          <w:bCs/>
        </w:rPr>
        <w:t xml:space="preserve">„Dalším účastníkem” </w:t>
      </w:r>
      <w:r>
        <w:rPr>
          <w:rFonts w:ascii="Cambria" w:hAnsi="Cambria" w:cs="Cambria"/>
        </w:rPr>
        <w:t>právnická osoba nebo fyzická osoba, organizační složka státu nebo organizační</w:t>
      </w:r>
      <w:r>
        <w:rPr>
          <w:rFonts w:ascii="Cambria" w:hAnsi="Cambria" w:cs="Cambria"/>
          <w:b/>
          <w:bCs/>
        </w:rPr>
        <w:t xml:space="preserve"> </w:t>
      </w:r>
      <w:r>
        <w:rPr>
          <w:rFonts w:ascii="Cambria" w:hAnsi="Cambria" w:cs="Cambria"/>
        </w:rPr>
        <w:t xml:space="preserve">jednotka ministerstva, zabývající se výzkumem a vývojem, jejíž účast na projektu je vymezena v návrhu projektu a s níž hlavní příjemce uzavřel smlouvu o účasti na řešení projektu, přičemž se jedná o toho uchazeče či příjemce, který obvykle není ve vztahu k poskytovateli, </w:t>
      </w:r>
    </w:p>
    <w:p w:rsidR="001E2BB3" w:rsidRDefault="00E83CAF">
      <w:pPr>
        <w:widowControl w:val="0"/>
        <w:numPr>
          <w:ilvl w:val="1"/>
          <w:numId w:val="11"/>
        </w:numPr>
        <w:tabs>
          <w:tab w:val="clear" w:pos="1440"/>
          <w:tab w:val="num" w:pos="710"/>
        </w:tabs>
        <w:overflowPunct w:val="0"/>
        <w:autoSpaceDE w:val="0"/>
        <w:autoSpaceDN w:val="0"/>
        <w:adjustRightInd w:val="0"/>
        <w:spacing w:after="0" w:line="321" w:lineRule="auto"/>
        <w:ind w:left="710" w:hanging="353"/>
        <w:jc w:val="both"/>
        <w:rPr>
          <w:rFonts w:ascii="Cambria" w:hAnsi="Cambria" w:cs="Cambria"/>
          <w:b/>
          <w:bCs/>
        </w:rPr>
      </w:pPr>
      <w:r>
        <w:rPr>
          <w:rFonts w:ascii="Cambria" w:hAnsi="Cambria" w:cs="Cambria"/>
          <w:b/>
          <w:bCs/>
        </w:rPr>
        <w:t xml:space="preserve">„Dobou řešení” </w:t>
      </w:r>
      <w:r>
        <w:rPr>
          <w:rFonts w:ascii="Cambria" w:hAnsi="Cambria" w:cs="Cambria"/>
        </w:rPr>
        <w:t>doba ode dne zahájení řešení projektu příjemcem do dne ukončení řešení projektu</w:t>
      </w:r>
      <w:r>
        <w:rPr>
          <w:rFonts w:ascii="Cambria" w:hAnsi="Cambria" w:cs="Cambria"/>
          <w:b/>
          <w:bCs/>
        </w:rPr>
        <w:t xml:space="preserve"> </w:t>
      </w:r>
      <w:r>
        <w:rPr>
          <w:rFonts w:ascii="Cambria" w:hAnsi="Cambria" w:cs="Cambria"/>
        </w:rPr>
        <w:t xml:space="preserve">příjemcem, přičemž řešení projektu se považuje za ukončené rovněž v případě předčasného zastavení řešení projektu v souvislosti s ukončením platnosti smlouvy o poskytnutí podpory či rozhodnutí o poskytnutí podpory, </w:t>
      </w:r>
    </w:p>
    <w:p w:rsidR="001E2BB3" w:rsidRDefault="00E83CAF">
      <w:pPr>
        <w:widowControl w:val="0"/>
        <w:numPr>
          <w:ilvl w:val="1"/>
          <w:numId w:val="11"/>
        </w:numPr>
        <w:tabs>
          <w:tab w:val="clear" w:pos="1440"/>
          <w:tab w:val="num" w:pos="710"/>
        </w:tabs>
        <w:overflowPunct w:val="0"/>
        <w:autoSpaceDE w:val="0"/>
        <w:autoSpaceDN w:val="0"/>
        <w:adjustRightInd w:val="0"/>
        <w:spacing w:after="0" w:line="340" w:lineRule="auto"/>
        <w:ind w:left="710" w:hanging="353"/>
        <w:jc w:val="both"/>
        <w:rPr>
          <w:rFonts w:ascii="Cambria" w:hAnsi="Cambria" w:cs="Cambria"/>
          <w:b/>
          <w:bCs/>
        </w:rPr>
      </w:pPr>
      <w:r>
        <w:rPr>
          <w:rFonts w:ascii="Cambria" w:hAnsi="Cambria" w:cs="Cambria"/>
          <w:b/>
          <w:bCs/>
        </w:rPr>
        <w:t xml:space="preserve">„Důvěrnou informací” </w:t>
      </w:r>
      <w:r>
        <w:rPr>
          <w:rFonts w:ascii="Cambria" w:hAnsi="Cambria" w:cs="Cambria"/>
        </w:rPr>
        <w:t>informace, kterou lze považovat ve smyslu příslušných ustanovení zákona č.</w:t>
      </w:r>
      <w:r>
        <w:rPr>
          <w:rFonts w:ascii="Cambria" w:hAnsi="Cambria" w:cs="Cambria"/>
          <w:b/>
          <w:bCs/>
        </w:rPr>
        <w:t xml:space="preserve"> </w:t>
      </w:r>
      <w:r>
        <w:rPr>
          <w:rFonts w:ascii="Cambria" w:hAnsi="Cambria" w:cs="Cambria"/>
        </w:rPr>
        <w:t xml:space="preserve">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850" w:header="720" w:footer="720" w:gutter="0"/>
          <w:cols w:space="720" w:equalWidth="0">
            <w:col w:w="1021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0" w:name="page27"/>
      <w:bookmarkEnd w:id="10"/>
      <w:r>
        <w:rPr>
          <w:noProof/>
        </w:rPr>
        <w:drawing>
          <wp:anchor distT="0" distB="0" distL="114300" distR="114300" simplePos="0" relativeHeight="25169817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„Hlavním příjemcem” </w:t>
      </w:r>
      <w:r>
        <w:rPr>
          <w:rFonts w:ascii="Cambria" w:hAnsi="Cambria" w:cs="Cambria"/>
        </w:rPr>
        <w:t>ten příjemce, který vstupuje s poskytovatelem do smluvního vztahu a odpovídá</w:t>
      </w:r>
      <w:r>
        <w:rPr>
          <w:rFonts w:ascii="Cambria" w:hAnsi="Cambria" w:cs="Cambria"/>
          <w:b/>
          <w:bCs/>
        </w:rPr>
        <w:t xml:space="preserve"> </w:t>
      </w:r>
      <w:r>
        <w:rPr>
          <w:rFonts w:ascii="Cambria" w:hAnsi="Cambria" w:cs="Cambria"/>
        </w:rPr>
        <w:t xml:space="preserve">za plnění veškerých povinností během řešení projektu vůči poskytovateli na základě smlouvy o poskytnutí podpory nebo rozhodnutí o poskytnutí podpory,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48" w:lineRule="auto"/>
        <w:ind w:left="700" w:hanging="353"/>
        <w:jc w:val="both"/>
        <w:rPr>
          <w:rFonts w:ascii="Cambria" w:hAnsi="Cambria" w:cs="Cambria"/>
          <w:b/>
          <w:bCs/>
        </w:rPr>
      </w:pPr>
      <w:r>
        <w:rPr>
          <w:rFonts w:ascii="Cambria" w:hAnsi="Cambria" w:cs="Cambria"/>
          <w:b/>
          <w:bCs/>
        </w:rPr>
        <w:t xml:space="preserve">„Implementačním plánem” </w:t>
      </w:r>
      <w:r>
        <w:rPr>
          <w:rFonts w:ascii="Cambria" w:hAnsi="Cambria" w:cs="Cambria"/>
        </w:rPr>
        <w:t>hlavním příjemcem předkládaný plán na využití výsledků projektu, jejich</w:t>
      </w:r>
      <w:r>
        <w:rPr>
          <w:rFonts w:ascii="Cambria" w:hAnsi="Cambria" w:cs="Cambria"/>
          <w:b/>
          <w:bCs/>
        </w:rPr>
        <w:t xml:space="preserve"> </w:t>
      </w:r>
      <w:r>
        <w:rPr>
          <w:rFonts w:ascii="Cambria" w:hAnsi="Cambria" w:cs="Cambria"/>
        </w:rPr>
        <w:t xml:space="preserve">stručný popis, vymezení, stupeň důvěrnosti, uvedení nákladů apod.,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11" w:lineRule="auto"/>
        <w:ind w:left="700" w:hanging="353"/>
        <w:jc w:val="both"/>
        <w:rPr>
          <w:rFonts w:ascii="Cambria" w:hAnsi="Cambria" w:cs="Cambria"/>
          <w:b/>
          <w:bCs/>
        </w:rPr>
      </w:pPr>
      <w:r>
        <w:rPr>
          <w:rFonts w:ascii="Cambria" w:hAnsi="Cambria" w:cs="Cambria"/>
          <w:b/>
          <w:bCs/>
        </w:rPr>
        <w:t xml:space="preserve">„IS VaVaI„ </w:t>
      </w:r>
      <w:r>
        <w:rPr>
          <w:rFonts w:ascii="Cambria" w:hAnsi="Cambria" w:cs="Cambria"/>
        </w:rPr>
        <w:t>Informační systém výzkumu, experimentálního vývoje a inovací neboli informační systém</w:t>
      </w:r>
      <w:r>
        <w:rPr>
          <w:rFonts w:ascii="Cambria" w:hAnsi="Cambria" w:cs="Cambria"/>
          <w:b/>
          <w:bCs/>
        </w:rPr>
        <w:t xml:space="preserve"> </w:t>
      </w:r>
      <w:r>
        <w:rPr>
          <w:rFonts w:ascii="Cambria" w:hAnsi="Cambria" w:cs="Cambria"/>
        </w:rPr>
        <w:t>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 VaVaI</w:t>
      </w:r>
      <w:r>
        <w:rPr>
          <w:rFonts w:ascii="Times" w:hAnsi="Times" w:cs="Times"/>
        </w:rPr>
        <w:t>,</w:t>
      </w:r>
      <w:r>
        <w:rPr>
          <w:rFonts w:ascii="Cambria" w:hAnsi="Cambria" w:cs="Cambria"/>
        </w:rPr>
        <w:t xml:space="preserve"> </w:t>
      </w:r>
    </w:p>
    <w:p w:rsidR="001E2BB3" w:rsidRDefault="001E2BB3">
      <w:pPr>
        <w:widowControl w:val="0"/>
        <w:autoSpaceDE w:val="0"/>
        <w:autoSpaceDN w:val="0"/>
        <w:adjustRightInd w:val="0"/>
        <w:spacing w:after="0" w:line="4"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„Hodnotícím procesem” </w:t>
      </w:r>
      <w:r>
        <w:rPr>
          <w:rFonts w:ascii="Cambria" w:hAnsi="Cambria" w:cs="Cambria"/>
        </w:rPr>
        <w:t>poskytovatelem stanovený proces, zpravidla vnitřním předpisem, za účelem</w:t>
      </w:r>
      <w:r>
        <w:rPr>
          <w:rFonts w:ascii="Cambria" w:hAnsi="Cambria" w:cs="Cambria"/>
          <w:b/>
          <w:bCs/>
        </w:rPr>
        <w:t xml:space="preserve"> </w:t>
      </w:r>
      <w:r>
        <w:rPr>
          <w:rFonts w:ascii="Cambria" w:hAnsi="Cambria" w:cs="Cambria"/>
        </w:rPr>
        <w:t xml:space="preserve">hodnocení plnění cílů projektu, zhodnocení dosažených výsledků a jejich právní ochrany, zejména oponentní řízení, předkládání zpráv, závěrečné hodnocení a monitoring udržitelnosti,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17" w:lineRule="auto"/>
        <w:ind w:left="700" w:hanging="353"/>
        <w:jc w:val="both"/>
        <w:rPr>
          <w:rFonts w:ascii="Cambria" w:hAnsi="Cambria" w:cs="Cambria"/>
          <w:b/>
          <w:bCs/>
        </w:rPr>
      </w:pPr>
      <w:r>
        <w:rPr>
          <w:rFonts w:ascii="Cambria" w:hAnsi="Cambria" w:cs="Cambria"/>
          <w:b/>
          <w:bCs/>
        </w:rPr>
        <w:t xml:space="preserve">„Nařízením” </w:t>
      </w:r>
      <w:r>
        <w:rPr>
          <w:rFonts w:ascii="Cambria" w:hAnsi="Cambria" w:cs="Cambria"/>
        </w:rPr>
        <w:t>Nařízení Komise (ES) č. 651/2014 ze dne 17. června 2014, kterým se v souladu s články</w:t>
      </w:r>
      <w:r>
        <w:rPr>
          <w:rFonts w:ascii="Cambria" w:hAnsi="Cambria" w:cs="Cambria"/>
          <w:b/>
          <w:bCs/>
        </w:rPr>
        <w:t xml:space="preserve"> </w:t>
      </w:r>
      <w:r>
        <w:rPr>
          <w:rFonts w:ascii="Cambria" w:hAnsi="Cambria" w:cs="Cambria"/>
        </w:rPr>
        <w:t>107 a 108 Smlouvy</w:t>
      </w:r>
      <w:r>
        <w:rPr>
          <w:rFonts w:ascii="Times" w:hAnsi="Times" w:cs="Times"/>
          <w:sz w:val="28"/>
          <w:szCs w:val="28"/>
          <w:vertAlign w:val="superscript"/>
        </w:rPr>
        <w:t>1</w:t>
      </w:r>
      <w:r>
        <w:rPr>
          <w:rFonts w:ascii="Cambria" w:hAnsi="Cambria" w:cs="Cambria"/>
        </w:rPr>
        <w:t xml:space="preserve"> prohlašují určité kategorie za slučitelné s vnitřním trhem,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„Odborným garantem“ </w:t>
      </w:r>
      <w:r>
        <w:rPr>
          <w:rFonts w:ascii="Cambria" w:hAnsi="Cambria" w:cs="Cambria"/>
        </w:rPr>
        <w:t>orgán státní správy, který je uživatelem výsledků veřejné zakázky ve výzkumu,</w:t>
      </w:r>
      <w:r>
        <w:rPr>
          <w:rFonts w:ascii="Cambria" w:hAnsi="Cambria" w:cs="Cambria"/>
          <w:b/>
          <w:bCs/>
        </w:rPr>
        <w:t xml:space="preserve"> </w:t>
      </w:r>
      <w:r>
        <w:rPr>
          <w:rFonts w:ascii="Cambria" w:hAnsi="Cambria" w:cs="Cambria"/>
        </w:rPr>
        <w:t xml:space="preserve">vývoji a inovacích a který s poskytovatelem uzavřel dohodu o spolupráci v souvislosti s jejím provedením,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„Podnikem” </w:t>
      </w:r>
      <w:r>
        <w:rPr>
          <w:rFonts w:ascii="Cambria" w:hAnsi="Cambria" w:cs="Cambria"/>
        </w:rPr>
        <w:t>každý subjekt vykonávající hospodářskou činnost, bez ohledu na jeho právní formu ve</w:t>
      </w:r>
      <w:r>
        <w:rPr>
          <w:rFonts w:ascii="Cambria" w:hAnsi="Cambria" w:cs="Cambria"/>
          <w:b/>
          <w:bCs/>
        </w:rPr>
        <w:t xml:space="preserve"> </w:t>
      </w:r>
      <w:r>
        <w:rPr>
          <w:rFonts w:ascii="Cambria" w:hAnsi="Cambria" w:cs="Cambria"/>
        </w:rPr>
        <w:t xml:space="preserve">smyslu přílohy č. 1 Nařízení, přičemž tato příloha a článek II odst. 2 a 24 Nařízení vymezují jednotlivé velikosti podniku na velký, střední, malý podnik a mikropodnik,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„Podporou” </w:t>
      </w:r>
      <w:r>
        <w:rPr>
          <w:rFonts w:ascii="Cambria" w:hAnsi="Cambria" w:cs="Cambria"/>
        </w:rPr>
        <w:t>účelové finanční prostředky na řešení projektu poskytnuté poskytovatelem formou</w:t>
      </w:r>
      <w:r>
        <w:rPr>
          <w:rFonts w:ascii="Cambria" w:hAnsi="Cambria" w:cs="Cambria"/>
          <w:b/>
          <w:bCs/>
        </w:rPr>
        <w:t xml:space="preserve"> </w:t>
      </w:r>
      <w:r>
        <w:rPr>
          <w:rFonts w:ascii="Cambria" w:hAnsi="Cambria" w:cs="Cambria"/>
        </w:rPr>
        <w:t xml:space="preserve">dotace v návaznosti na výsledky veřejné soutěže nebo veřejné zakázky ve výzkumu, vývoji a inovacích a na základě smlouvy o poskytnutí podpory či rozhodnutí o poskytnutí podpory,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240" w:lineRule="auto"/>
        <w:ind w:left="700" w:hanging="353"/>
        <w:jc w:val="both"/>
        <w:rPr>
          <w:rFonts w:ascii="Cambria" w:hAnsi="Cambria" w:cs="Cambria"/>
          <w:b/>
          <w:bCs/>
        </w:rPr>
      </w:pPr>
      <w:r>
        <w:rPr>
          <w:rFonts w:ascii="Cambria" w:hAnsi="Cambria" w:cs="Cambria"/>
          <w:b/>
          <w:bCs/>
        </w:rPr>
        <w:t xml:space="preserve">„Poskytovatelem” </w:t>
      </w:r>
      <w:r>
        <w:rPr>
          <w:rFonts w:ascii="Cambria" w:hAnsi="Cambria" w:cs="Cambria"/>
        </w:rPr>
        <w:t>Technologická agentura České republiky (TA ČR),</w:t>
      </w:r>
      <w:r>
        <w:rPr>
          <w:rFonts w:ascii="Cambria" w:hAnsi="Cambria" w:cs="Cambria"/>
          <w:b/>
          <w:bCs/>
        </w:rPr>
        <w:t xml:space="preserve">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6" w:lineRule="auto"/>
        <w:ind w:left="700" w:hanging="353"/>
        <w:jc w:val="both"/>
        <w:rPr>
          <w:rFonts w:ascii="Cambria" w:hAnsi="Cambria" w:cs="Cambria"/>
          <w:b/>
          <w:bCs/>
          <w:sz w:val="21"/>
          <w:szCs w:val="21"/>
        </w:rPr>
      </w:pPr>
      <w:r>
        <w:rPr>
          <w:rFonts w:ascii="Cambria" w:hAnsi="Cambria" w:cs="Cambria"/>
          <w:b/>
          <w:bCs/>
          <w:sz w:val="21"/>
          <w:szCs w:val="21"/>
        </w:rPr>
        <w:t xml:space="preserve">„Pravidly poskytnutí podpory” </w:t>
      </w:r>
      <w:r>
        <w:rPr>
          <w:rFonts w:ascii="Cambria" w:hAnsi="Cambria" w:cs="Cambria"/>
          <w:sz w:val="21"/>
          <w:szCs w:val="21"/>
        </w:rPr>
        <w:t>souhrn práv a povinností stanovených smlouvou o poskytnutí</w:t>
      </w:r>
      <w:r>
        <w:rPr>
          <w:rFonts w:ascii="Cambria" w:hAnsi="Cambria" w:cs="Cambria"/>
          <w:b/>
          <w:bCs/>
          <w:sz w:val="21"/>
          <w:szCs w:val="21"/>
        </w:rPr>
        <w:t xml:space="preserve"> </w:t>
      </w:r>
      <w:r>
        <w:rPr>
          <w:rFonts w:ascii="Cambria" w:hAnsi="Cambria" w:cs="Cambria"/>
          <w:sz w:val="21"/>
          <w:szCs w:val="21"/>
        </w:rPr>
        <w:t xml:space="preserve">podpory či rozhodnutím o poskytnutí podpory, vnitřními předpisy poskytovatele a dalšími dokumenty, na které se odkazuje, příslušným programem a zadávací dokumentací a obecně závaznými právními předpisy (národními i evropskými), zejména ZPVV, rozpočtovými pravidly a pravidly veřejné podpory, </w:t>
      </w:r>
    </w:p>
    <w:p w:rsidR="001E2BB3" w:rsidRDefault="001E2BB3">
      <w:pPr>
        <w:widowControl w:val="0"/>
        <w:autoSpaceDE w:val="0"/>
        <w:autoSpaceDN w:val="0"/>
        <w:adjustRightInd w:val="0"/>
        <w:spacing w:after="0" w:line="1" w:lineRule="exact"/>
        <w:rPr>
          <w:rFonts w:ascii="Cambria" w:hAnsi="Cambria" w:cs="Cambria"/>
          <w:b/>
          <w:bCs/>
          <w:sz w:val="21"/>
          <w:szCs w:val="21"/>
        </w:rPr>
      </w:pPr>
    </w:p>
    <w:p w:rsidR="001E2BB3" w:rsidRDefault="00E83CAF">
      <w:pPr>
        <w:widowControl w:val="0"/>
        <w:numPr>
          <w:ilvl w:val="0"/>
          <w:numId w:val="12"/>
        </w:numPr>
        <w:tabs>
          <w:tab w:val="clear" w:pos="720"/>
          <w:tab w:val="num" w:pos="700"/>
        </w:tabs>
        <w:overflowPunct w:val="0"/>
        <w:autoSpaceDE w:val="0"/>
        <w:autoSpaceDN w:val="0"/>
        <w:adjustRightInd w:val="0"/>
        <w:spacing w:after="0" w:line="348" w:lineRule="auto"/>
        <w:ind w:left="700" w:hanging="353"/>
        <w:jc w:val="both"/>
        <w:rPr>
          <w:rFonts w:ascii="Cambria" w:hAnsi="Cambria" w:cs="Cambria"/>
          <w:b/>
          <w:bCs/>
        </w:rPr>
      </w:pPr>
      <w:r>
        <w:rPr>
          <w:rFonts w:ascii="Cambria" w:hAnsi="Cambria" w:cs="Cambria"/>
          <w:b/>
          <w:bCs/>
        </w:rPr>
        <w:t xml:space="preserve">„Pravidly veřejné podpory” </w:t>
      </w:r>
      <w:r>
        <w:rPr>
          <w:rFonts w:ascii="Cambria" w:hAnsi="Cambria" w:cs="Cambria"/>
        </w:rPr>
        <w:t>souhrn práv a povinností stanovených článkem 107 až 109 Smlouvy o</w:t>
      </w:r>
      <w:r>
        <w:rPr>
          <w:rFonts w:ascii="Cambria" w:hAnsi="Cambria" w:cs="Cambria"/>
          <w:b/>
          <w:bCs/>
        </w:rPr>
        <w:t xml:space="preserve"> </w:t>
      </w:r>
      <w:r>
        <w:rPr>
          <w:rFonts w:ascii="Cambria" w:hAnsi="Cambria" w:cs="Cambria"/>
        </w:rPr>
        <w:t xml:space="preserve">fungování Evropské unie, a pro účely výzkumu, vývoje a inovací zejména Rámcem a Nařízením,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0" w:lineRule="auto"/>
        <w:ind w:left="700" w:hanging="353"/>
        <w:jc w:val="both"/>
        <w:rPr>
          <w:rFonts w:ascii="Cambria" w:hAnsi="Cambria" w:cs="Cambria"/>
          <w:b/>
          <w:bCs/>
        </w:rPr>
      </w:pPr>
      <w:r>
        <w:rPr>
          <w:rFonts w:ascii="Cambria" w:hAnsi="Cambria" w:cs="Cambria"/>
          <w:b/>
          <w:bCs/>
        </w:rPr>
        <w:t xml:space="preserve">„Programem” </w:t>
      </w:r>
      <w:r>
        <w:rPr>
          <w:rFonts w:ascii="Cambria" w:hAnsi="Cambria" w:cs="Cambria"/>
        </w:rPr>
        <w:t>soubor věcných, časových a finančních podmínek pro aktivity potřebné k dosažení</w:t>
      </w:r>
      <w:r>
        <w:rPr>
          <w:rFonts w:ascii="Cambria" w:hAnsi="Cambria" w:cs="Cambria"/>
          <w:b/>
          <w:bCs/>
        </w:rPr>
        <w:t xml:space="preserve"> </w:t>
      </w:r>
      <w:r>
        <w:rPr>
          <w:rFonts w:ascii="Cambria" w:hAnsi="Cambria" w:cs="Cambria"/>
        </w:rPr>
        <w:t xml:space="preserve">cílů ve výzkumu, vývoji a inovacích formulovaných poskytovatelem, které poskytovatel vyhlašuje ve veřejné soutěži nebo ve veřejné zakázce ve výzkumu, vývoji a inovacích,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2"/>
        </w:numPr>
        <w:tabs>
          <w:tab w:val="clear" w:pos="720"/>
          <w:tab w:val="num" w:pos="700"/>
        </w:tabs>
        <w:overflowPunct w:val="0"/>
        <w:autoSpaceDE w:val="0"/>
        <w:autoSpaceDN w:val="0"/>
        <w:adjustRightInd w:val="0"/>
        <w:spacing w:after="0" w:line="331" w:lineRule="auto"/>
        <w:ind w:left="700" w:hanging="353"/>
        <w:jc w:val="both"/>
        <w:rPr>
          <w:rFonts w:ascii="Cambria" w:hAnsi="Cambria" w:cs="Cambria"/>
          <w:b/>
          <w:bCs/>
        </w:rPr>
      </w:pPr>
      <w:r>
        <w:rPr>
          <w:rFonts w:ascii="Cambria" w:hAnsi="Cambria" w:cs="Cambria"/>
          <w:b/>
          <w:bCs/>
        </w:rPr>
        <w:t xml:space="preserve">„Projektem” </w:t>
      </w:r>
      <w:r>
        <w:rPr>
          <w:rFonts w:ascii="Cambria" w:hAnsi="Cambria" w:cs="Cambria"/>
        </w:rPr>
        <w:t>soubor věcných, časových a finančních podmínek pro činnosti potřebné k dosažení cílů</w:t>
      </w:r>
      <w:r>
        <w:rPr>
          <w:rFonts w:ascii="Cambria" w:hAnsi="Cambria" w:cs="Cambria"/>
          <w:b/>
          <w:bCs/>
        </w:rPr>
        <w:t xml:space="preserve"> </w:t>
      </w:r>
      <w:r>
        <w:rPr>
          <w:rFonts w:ascii="Cambria" w:hAnsi="Cambria" w:cs="Cambria"/>
        </w:rPr>
        <w:t xml:space="preserve">ve výzkumu, vývoji a inovacích formulovaný uchazečem ve veřejné soutěži, nebo poskytovatelem v rámci zadání veřejné zakázky ve výzkumu, vývoji a inovacích, </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vertAlign w:val="superscript"/>
        </w:rPr>
        <w:t>1</w:t>
      </w:r>
      <w:r>
        <w:rPr>
          <w:rFonts w:ascii="Cambria" w:hAnsi="Cambria" w:cs="Cambria"/>
          <w:sz w:val="20"/>
          <w:szCs w:val="20"/>
        </w:rPr>
        <w:t>Smlouva o fungování Evropské unie</w:t>
      </w:r>
    </w:p>
    <w:p w:rsidR="001E2BB3" w:rsidRDefault="001E2BB3">
      <w:pPr>
        <w:widowControl w:val="0"/>
        <w:autoSpaceDE w:val="0"/>
        <w:autoSpaceDN w:val="0"/>
        <w:adjustRightInd w:val="0"/>
        <w:spacing w:after="0" w:line="28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2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860" w:header="720" w:footer="720" w:gutter="0"/>
          <w:cols w:space="720" w:equalWidth="0">
            <w:col w:w="1020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1" w:name="page29"/>
      <w:bookmarkEnd w:id="11"/>
      <w:r>
        <w:rPr>
          <w:noProof/>
        </w:rPr>
        <w:drawing>
          <wp:anchor distT="0" distB="0" distL="114300" distR="114300" simplePos="0" relativeHeight="25169920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13"/>
        </w:numPr>
        <w:tabs>
          <w:tab w:val="clear" w:pos="720"/>
          <w:tab w:val="num" w:pos="360"/>
        </w:tabs>
        <w:overflowPunct w:val="0"/>
        <w:autoSpaceDE w:val="0"/>
        <w:autoSpaceDN w:val="0"/>
        <w:adjustRightInd w:val="0"/>
        <w:spacing w:after="0" w:line="311" w:lineRule="auto"/>
        <w:ind w:left="360" w:hanging="353"/>
        <w:jc w:val="both"/>
        <w:rPr>
          <w:rFonts w:ascii="Cambria" w:hAnsi="Cambria" w:cs="Cambria"/>
          <w:b/>
          <w:bCs/>
        </w:rPr>
      </w:pPr>
      <w:r>
        <w:rPr>
          <w:rFonts w:ascii="Cambria" w:hAnsi="Cambria" w:cs="Cambria"/>
          <w:b/>
          <w:bCs/>
        </w:rPr>
        <w:t xml:space="preserve">„Předmětem duševního vlastnictví” </w:t>
      </w:r>
      <w:r>
        <w:rPr>
          <w:rFonts w:ascii="Cambria" w:hAnsi="Cambria" w:cs="Cambria"/>
        </w:rPr>
        <w:t>majetek nehmotné povahy, kterým jsou díla chráněná podle</w:t>
      </w:r>
      <w:r>
        <w:rPr>
          <w:rFonts w:ascii="Cambria" w:hAnsi="Cambria" w:cs="Cambria"/>
          <w:b/>
          <w:bCs/>
        </w:rPr>
        <w:t xml:space="preserve"> </w:t>
      </w:r>
      <w:r>
        <w:rPr>
          <w:rFonts w:ascii="Cambria" w:hAnsi="Cambria" w:cs="Cambria"/>
        </w:rPr>
        <w:t xml:space="preserve">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 </w:t>
      </w:r>
    </w:p>
    <w:p w:rsidR="001E2BB3" w:rsidRDefault="001E2BB3">
      <w:pPr>
        <w:widowControl w:val="0"/>
        <w:autoSpaceDE w:val="0"/>
        <w:autoSpaceDN w:val="0"/>
        <w:adjustRightInd w:val="0"/>
        <w:spacing w:after="0" w:line="4"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330" w:lineRule="auto"/>
        <w:ind w:left="360" w:hanging="353"/>
        <w:jc w:val="both"/>
        <w:rPr>
          <w:rFonts w:ascii="Cambria" w:hAnsi="Cambria" w:cs="Cambria"/>
          <w:b/>
          <w:bCs/>
        </w:rPr>
      </w:pPr>
      <w:r>
        <w:rPr>
          <w:rFonts w:ascii="Cambria" w:hAnsi="Cambria" w:cs="Cambria"/>
          <w:b/>
          <w:bCs/>
        </w:rPr>
        <w:t xml:space="preserve">„Příjemcem” </w:t>
      </w:r>
      <w:r>
        <w:rPr>
          <w:rFonts w:ascii="Cambria" w:hAnsi="Cambria" w:cs="Cambria"/>
        </w:rPr>
        <w:t>uchazeč, v jehož prospěch bylo o poskytnutí podpory poskytovatelem rozhodnuto,</w:t>
      </w:r>
      <w:r>
        <w:rPr>
          <w:rFonts w:ascii="Cambria" w:hAnsi="Cambria" w:cs="Cambria"/>
          <w:b/>
          <w:bCs/>
        </w:rPr>
        <w:t xml:space="preserve"> </w:t>
      </w:r>
      <w:r>
        <w:rPr>
          <w:rFonts w:ascii="Cambria" w:hAnsi="Cambria" w:cs="Cambria"/>
        </w:rPr>
        <w:t xml:space="preserve">přičemž rozhodným dnem je den doručení tohoto rozhodnutí, a kterému pokud se stanoví práva a povinnosti, stanoví se tak společně hlavnímu příjemci a dalším účastníkům,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240" w:lineRule="auto"/>
        <w:ind w:left="360" w:hanging="353"/>
        <w:jc w:val="both"/>
        <w:rPr>
          <w:rFonts w:ascii="Cambria" w:hAnsi="Cambria" w:cs="Cambria"/>
          <w:b/>
          <w:bCs/>
        </w:rPr>
      </w:pPr>
      <w:r>
        <w:rPr>
          <w:rFonts w:ascii="Cambria" w:hAnsi="Cambria" w:cs="Cambria"/>
          <w:b/>
          <w:bCs/>
        </w:rPr>
        <w:t xml:space="preserve">„Rámcem” </w:t>
      </w:r>
      <w:r>
        <w:rPr>
          <w:rFonts w:ascii="Cambria" w:hAnsi="Cambria" w:cs="Cambria"/>
        </w:rPr>
        <w:t>Sdělení Komise - Rámec pro státní podporu výzkumu, vývoje a inovací (2014/C 198/01),</w:t>
      </w:r>
      <w:r>
        <w:rPr>
          <w:rFonts w:ascii="Cambria" w:hAnsi="Cambria" w:cs="Cambria"/>
          <w:b/>
          <w:bCs/>
        </w:rPr>
        <w:t xml:space="preserve">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348" w:lineRule="auto"/>
        <w:ind w:left="360" w:hanging="353"/>
        <w:jc w:val="both"/>
        <w:rPr>
          <w:rFonts w:ascii="Cambria" w:hAnsi="Cambria" w:cs="Cambria"/>
          <w:b/>
          <w:bCs/>
        </w:rPr>
      </w:pPr>
      <w:r>
        <w:rPr>
          <w:rFonts w:ascii="Cambria" w:hAnsi="Cambria" w:cs="Cambria"/>
          <w:b/>
          <w:bCs/>
        </w:rPr>
        <w:t xml:space="preserve">„Rozpočtovými pravidly” </w:t>
      </w:r>
      <w:r>
        <w:rPr>
          <w:rFonts w:ascii="Cambria" w:hAnsi="Cambria" w:cs="Cambria"/>
        </w:rPr>
        <w:t>zákon č. 218/2000 Sb., o rozpočtových pravidlech a o změně některých</w:t>
      </w:r>
      <w:r>
        <w:rPr>
          <w:rFonts w:ascii="Cambria" w:hAnsi="Cambria" w:cs="Cambria"/>
          <w:b/>
          <w:bCs/>
        </w:rPr>
        <w:t xml:space="preserve"> </w:t>
      </w:r>
      <w:r>
        <w:rPr>
          <w:rFonts w:ascii="Cambria" w:hAnsi="Cambria" w:cs="Cambria"/>
        </w:rPr>
        <w:t xml:space="preserve">souvisejících zákonů (rozpočtová pravidla), ve znění pozdějších předpisů,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240" w:lineRule="auto"/>
        <w:ind w:left="360" w:hanging="353"/>
        <w:jc w:val="both"/>
        <w:rPr>
          <w:rFonts w:ascii="Cambria" w:hAnsi="Cambria" w:cs="Cambria"/>
          <w:b/>
          <w:bCs/>
        </w:rPr>
      </w:pPr>
      <w:r>
        <w:rPr>
          <w:rFonts w:ascii="Cambria" w:hAnsi="Cambria" w:cs="Cambria"/>
          <w:b/>
          <w:bCs/>
        </w:rPr>
        <w:t xml:space="preserve">„Řešitelem” </w:t>
      </w:r>
      <w:r>
        <w:rPr>
          <w:rFonts w:ascii="Cambria" w:hAnsi="Cambria" w:cs="Cambria"/>
        </w:rPr>
        <w:t>fyzická osoba odpovědná příjemci za odbornou úroveň projektu,</w:t>
      </w:r>
      <w:r>
        <w:rPr>
          <w:rFonts w:ascii="Cambria" w:hAnsi="Cambria" w:cs="Cambria"/>
          <w:b/>
          <w:bCs/>
        </w:rPr>
        <w:t xml:space="preserve">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348" w:lineRule="auto"/>
        <w:ind w:left="360" w:hanging="353"/>
        <w:jc w:val="both"/>
        <w:rPr>
          <w:rFonts w:ascii="Cambria" w:hAnsi="Cambria" w:cs="Cambria"/>
          <w:b/>
          <w:bCs/>
        </w:rPr>
      </w:pPr>
      <w:r>
        <w:rPr>
          <w:rFonts w:ascii="Cambria" w:hAnsi="Cambria" w:cs="Cambria"/>
          <w:b/>
          <w:bCs/>
        </w:rPr>
        <w:t xml:space="preserve">„Smlouvou o účasti na řešení projektu” </w:t>
      </w:r>
      <w:r>
        <w:rPr>
          <w:rFonts w:ascii="Cambria" w:hAnsi="Cambria" w:cs="Cambria"/>
        </w:rPr>
        <w:t>smlouva uzavřená mezi hlavním příjemcem a dalšími</w:t>
      </w:r>
      <w:r>
        <w:rPr>
          <w:rFonts w:ascii="Cambria" w:hAnsi="Cambria" w:cs="Cambria"/>
          <w:b/>
          <w:bCs/>
        </w:rPr>
        <w:t xml:space="preserve"> </w:t>
      </w:r>
      <w:r>
        <w:rPr>
          <w:rFonts w:ascii="Cambria" w:hAnsi="Cambria" w:cs="Cambria"/>
        </w:rPr>
        <w:t xml:space="preserve">účastníky v souladu s § 2 odst. 2 písm. j) ZPVV,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348" w:lineRule="auto"/>
        <w:ind w:left="360" w:hanging="353"/>
        <w:jc w:val="both"/>
        <w:rPr>
          <w:rFonts w:ascii="Cambria" w:hAnsi="Cambria" w:cs="Cambria"/>
          <w:b/>
          <w:bCs/>
        </w:rPr>
      </w:pPr>
      <w:r>
        <w:rPr>
          <w:rFonts w:ascii="Cambria" w:hAnsi="Cambria" w:cs="Cambria"/>
          <w:b/>
          <w:bCs/>
        </w:rPr>
        <w:t xml:space="preserve">„Smlouvou o využití výsledků” </w:t>
      </w:r>
      <w:r>
        <w:rPr>
          <w:rFonts w:ascii="Cambria" w:hAnsi="Cambria" w:cs="Cambria"/>
        </w:rPr>
        <w:t>smlouva uzavřená mezi příjemcem a uživatelem v souladu s § 11</w:t>
      </w:r>
      <w:r>
        <w:rPr>
          <w:rFonts w:ascii="Cambria" w:hAnsi="Cambria" w:cs="Cambria"/>
          <w:b/>
          <w:bCs/>
        </w:rPr>
        <w:t xml:space="preserve"> </w:t>
      </w:r>
      <w:r>
        <w:rPr>
          <w:rFonts w:ascii="Cambria" w:hAnsi="Cambria" w:cs="Cambria"/>
        </w:rPr>
        <w:t xml:space="preserve">ZPVV,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3"/>
        </w:numPr>
        <w:tabs>
          <w:tab w:val="clear" w:pos="720"/>
          <w:tab w:val="num" w:pos="360"/>
        </w:tabs>
        <w:overflowPunct w:val="0"/>
        <w:autoSpaceDE w:val="0"/>
        <w:autoSpaceDN w:val="0"/>
        <w:adjustRightInd w:val="0"/>
        <w:spacing w:after="0" w:line="330" w:lineRule="auto"/>
        <w:ind w:left="360" w:hanging="353"/>
        <w:jc w:val="both"/>
        <w:rPr>
          <w:rFonts w:ascii="Cambria" w:hAnsi="Cambria" w:cs="Cambria"/>
          <w:b/>
          <w:bCs/>
        </w:rPr>
      </w:pPr>
      <w:r>
        <w:rPr>
          <w:rFonts w:ascii="Cambria" w:hAnsi="Cambria" w:cs="Cambria"/>
          <w:b/>
          <w:bCs/>
        </w:rPr>
        <w:t xml:space="preserve">„Uznanými náklady” </w:t>
      </w:r>
      <w:r>
        <w:rPr>
          <w:rFonts w:ascii="Cambria" w:hAnsi="Cambria" w:cs="Cambria"/>
        </w:rPr>
        <w:t>takové způsobilé náklady na projekt ve výzkumu, vývoji a inovacích ve smyslu</w:t>
      </w:r>
      <w:r>
        <w:rPr>
          <w:rFonts w:ascii="Cambria" w:hAnsi="Cambria" w:cs="Cambria"/>
          <w:b/>
          <w:bCs/>
        </w:rPr>
        <w:t xml:space="preserve"> </w:t>
      </w:r>
      <w:r>
        <w:rPr>
          <w:rFonts w:ascii="Cambria" w:hAnsi="Cambria" w:cs="Cambria"/>
        </w:rPr>
        <w:t xml:space="preserve">ustanovení § 2 odst. 2 l) ZPVV, které poskytovatel schválí pro řešení projektu a které budou vynaloženy během jeho řešení, jsou zdůvodněné, prokazatelné a přiřazené ke schváleným aktivitám, </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tabs>
          <w:tab w:val="left" w:pos="340"/>
        </w:tabs>
        <w:overflowPunct w:val="0"/>
        <w:autoSpaceDE w:val="0"/>
        <w:autoSpaceDN w:val="0"/>
        <w:adjustRightInd w:val="0"/>
        <w:spacing w:after="0" w:line="330" w:lineRule="auto"/>
        <w:ind w:left="360" w:hanging="360"/>
        <w:jc w:val="both"/>
        <w:rPr>
          <w:rFonts w:ascii="Times New Roman" w:hAnsi="Times New Roman" w:cs="Times New Roman"/>
          <w:sz w:val="24"/>
          <w:szCs w:val="24"/>
        </w:rPr>
      </w:pPr>
      <w:r>
        <w:rPr>
          <w:rFonts w:ascii="Cambria" w:hAnsi="Cambria" w:cs="Cambria"/>
          <w:b/>
          <w:bCs/>
        </w:rPr>
        <w:t>y)</w:t>
      </w:r>
      <w:r>
        <w:rPr>
          <w:rFonts w:ascii="Times New Roman" w:hAnsi="Times New Roman" w:cs="Times New Roman"/>
          <w:sz w:val="24"/>
          <w:szCs w:val="24"/>
        </w:rPr>
        <w:tab/>
      </w:r>
      <w:r>
        <w:rPr>
          <w:rFonts w:ascii="Cambria" w:hAnsi="Cambria" w:cs="Cambria"/>
          <w:b/>
          <w:bCs/>
        </w:rPr>
        <w:t xml:space="preserve">„Veřejnosprávní kontrolou“ </w:t>
      </w:r>
      <w:r>
        <w:rPr>
          <w:rFonts w:ascii="Cambria" w:hAnsi="Cambria" w:cs="Cambria"/>
        </w:rPr>
        <w:t>kontrola prováděná u příjemců veřejné finanční podpory nebo</w:t>
      </w:r>
      <w:r>
        <w:rPr>
          <w:rFonts w:ascii="Cambria" w:hAnsi="Cambria" w:cs="Cambria"/>
          <w:b/>
          <w:bCs/>
        </w:rPr>
        <w:t xml:space="preserve"> </w:t>
      </w:r>
      <w:r>
        <w:rPr>
          <w:rFonts w:ascii="Cambria" w:hAnsi="Cambria" w:cs="Cambria"/>
        </w:rPr>
        <w:t>u uchazečů o veřejnou finanční podporu poskytovatelem jako kontrolním orgánem ve smyslu § 3 odst. 1 písm. a) zákona č. 320/2001 Sb., o finanční kontrole,</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404" w:lineRule="auto"/>
        <w:ind w:right="340"/>
        <w:rPr>
          <w:rFonts w:ascii="Times New Roman" w:hAnsi="Times New Roman" w:cs="Times New Roman"/>
          <w:sz w:val="24"/>
          <w:szCs w:val="24"/>
        </w:rPr>
      </w:pPr>
      <w:r>
        <w:rPr>
          <w:rFonts w:ascii="Cambria" w:hAnsi="Cambria" w:cs="Cambria"/>
          <w:b/>
          <w:bCs/>
        </w:rPr>
        <w:t xml:space="preserve">z) „Veřejnou podporou” </w:t>
      </w:r>
      <w:r>
        <w:rPr>
          <w:rFonts w:ascii="Cambria" w:hAnsi="Cambria" w:cs="Cambria"/>
        </w:rPr>
        <w:t>podpora ve smyslu článku 107 odst. 1 Smlouvy o fungování Evropské unie,</w:t>
      </w:r>
      <w:r>
        <w:rPr>
          <w:rFonts w:ascii="Cambria" w:hAnsi="Cambria" w:cs="Cambria"/>
          <w:b/>
          <w:bCs/>
        </w:rPr>
        <w:t xml:space="preserve"> aa) „Veřejnou soutěží” </w:t>
      </w:r>
      <w:r>
        <w:rPr>
          <w:rFonts w:ascii="Cambria" w:hAnsi="Cambria" w:cs="Cambria"/>
        </w:rPr>
        <w:t>veřejná soutěž ve výzkumu, vývoji a inovacích podle Hlavy V ZPVV,</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48" w:lineRule="auto"/>
        <w:ind w:left="360" w:hanging="357"/>
        <w:rPr>
          <w:rFonts w:ascii="Times New Roman" w:hAnsi="Times New Roman" w:cs="Times New Roman"/>
          <w:sz w:val="24"/>
          <w:szCs w:val="24"/>
        </w:rPr>
      </w:pPr>
      <w:r>
        <w:rPr>
          <w:rFonts w:ascii="Cambria" w:hAnsi="Cambria" w:cs="Cambria"/>
          <w:b/>
          <w:bCs/>
        </w:rPr>
        <w:t>bb)„Veřejnou zakázkouve výzkumu, vývoji a inovacích</w:t>
      </w:r>
      <w:r>
        <w:rPr>
          <w:rFonts w:ascii="Cambria" w:hAnsi="Cambria" w:cs="Cambria"/>
        </w:rPr>
        <w:t>“ zakázka na služby v aplikovaném výzkumu,</w:t>
      </w:r>
      <w:r>
        <w:rPr>
          <w:rFonts w:ascii="Cambria" w:hAnsi="Cambria" w:cs="Cambria"/>
          <w:b/>
          <w:bCs/>
        </w:rPr>
        <w:t xml:space="preserve"> </w:t>
      </w:r>
      <w:r>
        <w:rPr>
          <w:rFonts w:ascii="Cambria" w:hAnsi="Cambria" w:cs="Cambria"/>
        </w:rPr>
        <w:t>vývoji nebo inovacích podle § 2 odst. 2, písm. g) ZPVV,</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 xml:space="preserve">cc) „Výsledek projektu” </w:t>
      </w:r>
      <w:r>
        <w:rPr>
          <w:rFonts w:ascii="Cambria" w:hAnsi="Cambria" w:cs="Cambria"/>
        </w:rPr>
        <w:t>výsledek ve smyslu § 2 odst. 2 písm. k) ZPVV,</w:t>
      </w:r>
    </w:p>
    <w:p w:rsidR="001E2BB3" w:rsidRDefault="001E2BB3">
      <w:pPr>
        <w:widowControl w:val="0"/>
        <w:autoSpaceDE w:val="0"/>
        <w:autoSpaceDN w:val="0"/>
        <w:adjustRightInd w:val="0"/>
        <w:spacing w:after="0" w:line="177"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48" w:lineRule="auto"/>
        <w:ind w:left="360" w:hanging="357"/>
        <w:rPr>
          <w:rFonts w:ascii="Times New Roman" w:hAnsi="Times New Roman" w:cs="Times New Roman"/>
          <w:sz w:val="24"/>
          <w:szCs w:val="24"/>
        </w:rPr>
      </w:pPr>
      <w:r>
        <w:rPr>
          <w:rFonts w:ascii="Cambria" w:hAnsi="Cambria" w:cs="Cambria"/>
          <w:b/>
          <w:bCs/>
        </w:rPr>
        <w:t xml:space="preserve">dd)„Využitím výsledků” </w:t>
      </w:r>
      <w:r>
        <w:rPr>
          <w:rFonts w:ascii="Cambria" w:hAnsi="Cambria" w:cs="Cambria"/>
        </w:rPr>
        <w:t>přímé nebo nepřímé použití vnesených práv nebo výsledků projektu</w:t>
      </w:r>
      <w:r>
        <w:rPr>
          <w:rFonts w:ascii="Cambria" w:hAnsi="Cambria" w:cs="Cambria"/>
          <w:b/>
          <w:bCs/>
        </w:rPr>
        <w:t xml:space="preserve"> </w:t>
      </w:r>
      <w:r>
        <w:rPr>
          <w:rFonts w:ascii="Cambria" w:hAnsi="Cambria" w:cs="Cambria"/>
        </w:rPr>
        <w:t>k výzkumným nebo komerčním účelům,</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numPr>
          <w:ilvl w:val="0"/>
          <w:numId w:val="14"/>
        </w:numPr>
        <w:tabs>
          <w:tab w:val="clear" w:pos="720"/>
          <w:tab w:val="num" w:pos="360"/>
        </w:tabs>
        <w:overflowPunct w:val="0"/>
        <w:autoSpaceDE w:val="0"/>
        <w:autoSpaceDN w:val="0"/>
        <w:adjustRightInd w:val="0"/>
        <w:spacing w:after="0" w:line="348" w:lineRule="auto"/>
        <w:ind w:left="360" w:hanging="353"/>
        <w:jc w:val="both"/>
        <w:rPr>
          <w:rFonts w:ascii="Cambria" w:hAnsi="Cambria" w:cs="Cambria"/>
          <w:b/>
          <w:bCs/>
        </w:rPr>
      </w:pPr>
      <w:r>
        <w:rPr>
          <w:rFonts w:ascii="Cambria" w:hAnsi="Cambria" w:cs="Cambria"/>
          <w:b/>
          <w:bCs/>
        </w:rPr>
        <w:t xml:space="preserve">„Výzkumnou organizací” </w:t>
      </w:r>
      <w:r>
        <w:rPr>
          <w:rFonts w:ascii="Cambria" w:hAnsi="Cambria" w:cs="Cambria"/>
        </w:rPr>
        <w:t>organizace pro výzkum a šíření znalostí ve smyslu článku. II odst. 83</w:t>
      </w:r>
      <w:r>
        <w:rPr>
          <w:rFonts w:ascii="Cambria" w:hAnsi="Cambria" w:cs="Cambria"/>
          <w:b/>
          <w:bCs/>
        </w:rPr>
        <w:t xml:space="preserve"> </w:t>
      </w:r>
      <w:r>
        <w:rPr>
          <w:rFonts w:ascii="Cambria" w:hAnsi="Cambria" w:cs="Cambria"/>
        </w:rPr>
        <w:t xml:space="preserve">Nařízení a § 2 odst. 2 písm. d) ZPVV,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14"/>
        </w:numPr>
        <w:tabs>
          <w:tab w:val="clear" w:pos="720"/>
          <w:tab w:val="num" w:pos="360"/>
        </w:tabs>
        <w:overflowPunct w:val="0"/>
        <w:autoSpaceDE w:val="0"/>
        <w:autoSpaceDN w:val="0"/>
        <w:adjustRightInd w:val="0"/>
        <w:spacing w:after="0" w:line="330" w:lineRule="auto"/>
        <w:ind w:left="360" w:hanging="353"/>
        <w:jc w:val="both"/>
        <w:rPr>
          <w:rFonts w:ascii="Cambria" w:hAnsi="Cambria" w:cs="Cambria"/>
          <w:b/>
          <w:bCs/>
        </w:rPr>
      </w:pPr>
      <w:r>
        <w:rPr>
          <w:rFonts w:ascii="Cambria" w:hAnsi="Cambria" w:cs="Cambria"/>
          <w:b/>
          <w:bCs/>
        </w:rPr>
        <w:t xml:space="preserve">„ZPVV” </w:t>
      </w:r>
      <w:r>
        <w:rPr>
          <w:rFonts w:ascii="Cambria" w:hAnsi="Cambria" w:cs="Cambria"/>
        </w:rPr>
        <w:t>zákon č. 130/2002 Sb., o podpoře výzkumu, experimentálního vývoje a inovací z veřejných</w:t>
      </w:r>
      <w:r>
        <w:rPr>
          <w:rFonts w:ascii="Cambria" w:hAnsi="Cambria" w:cs="Cambria"/>
          <w:b/>
          <w:bCs/>
        </w:rPr>
        <w:t xml:space="preserve"> </w:t>
      </w:r>
      <w:r>
        <w:rPr>
          <w:rFonts w:ascii="Cambria" w:hAnsi="Cambria" w:cs="Cambria"/>
        </w:rPr>
        <w:t xml:space="preserve">prostředků a o změně některých souvisejících zákonů (zákon o podpoře výzkumu, experimentálního vývoje a inovací),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4"/>
        </w:numPr>
        <w:tabs>
          <w:tab w:val="clear" w:pos="720"/>
          <w:tab w:val="num" w:pos="360"/>
        </w:tabs>
        <w:overflowPunct w:val="0"/>
        <w:autoSpaceDE w:val="0"/>
        <w:autoSpaceDN w:val="0"/>
        <w:adjustRightInd w:val="0"/>
        <w:spacing w:after="0" w:line="240" w:lineRule="auto"/>
        <w:ind w:left="360" w:hanging="353"/>
        <w:jc w:val="both"/>
        <w:rPr>
          <w:rFonts w:ascii="Cambria" w:hAnsi="Cambria" w:cs="Cambria"/>
          <w:b/>
          <w:bCs/>
        </w:rPr>
      </w:pPr>
      <w:r>
        <w:rPr>
          <w:rFonts w:ascii="Cambria" w:hAnsi="Cambria" w:cs="Cambria"/>
          <w:b/>
          <w:bCs/>
        </w:rPr>
        <w:t xml:space="preserve">“ZVZ” </w:t>
      </w:r>
      <w:r>
        <w:rPr>
          <w:rFonts w:ascii="Cambria" w:hAnsi="Cambria" w:cs="Cambria"/>
        </w:rPr>
        <w:t>zákon č. 137/2006 Sb., o veřejných zakázkách,</w:t>
      </w:r>
      <w:r>
        <w:rPr>
          <w:rFonts w:ascii="Cambria" w:hAnsi="Cambria" w:cs="Cambria"/>
          <w:b/>
          <w:bCs/>
        </w:rPr>
        <w:t xml:space="preserve">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1200" w:header="720" w:footer="720" w:gutter="0"/>
          <w:cols w:space="720" w:equalWidth="0">
            <w:col w:w="986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3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2" w:name="page31"/>
      <w:bookmarkEnd w:id="12"/>
      <w:r>
        <w:rPr>
          <w:noProof/>
        </w:rPr>
        <w:drawing>
          <wp:anchor distT="0" distB="0" distL="114300" distR="114300" simplePos="0" relativeHeight="25170022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87" w:lineRule="auto"/>
        <w:ind w:left="710" w:hanging="357"/>
        <w:jc w:val="both"/>
        <w:rPr>
          <w:rFonts w:ascii="Times New Roman" w:hAnsi="Times New Roman" w:cs="Times New Roman"/>
          <w:sz w:val="24"/>
          <w:szCs w:val="24"/>
        </w:rPr>
      </w:pPr>
      <w:r>
        <w:rPr>
          <w:rFonts w:ascii="Cambria" w:hAnsi="Cambria" w:cs="Cambria"/>
          <w:b/>
          <w:bCs/>
        </w:rPr>
        <w:t xml:space="preserve">hh)„Způsobilými náklady” </w:t>
      </w:r>
      <w:r>
        <w:rPr>
          <w:rFonts w:ascii="Cambria" w:hAnsi="Cambria" w:cs="Cambria"/>
        </w:rPr>
        <w:t>takové náklady nebo výdaje ve výzkumu, vývoji a inovacích, které mohou být</w:t>
      </w:r>
      <w:r>
        <w:rPr>
          <w:rFonts w:ascii="Cambria" w:hAnsi="Cambria" w:cs="Cambria"/>
          <w:b/>
          <w:bCs/>
        </w:rPr>
        <w:t xml:space="preserve"> </w:t>
      </w:r>
      <w:r>
        <w:rPr>
          <w:rFonts w:ascii="Cambria" w:hAnsi="Cambria" w:cs="Cambria"/>
        </w:rPr>
        <w:t>příjemcem vynaloženy na činnosti ve výzkumu, vývoji a inovacích, nebo v souvislosti s nimi ve smyslu § 2 odst. 2 písm. l) ZPVV.</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1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66" w:lineRule="auto"/>
        <w:ind w:left="2230" w:right="1680" w:hanging="547"/>
        <w:rPr>
          <w:rFonts w:ascii="Times New Roman" w:hAnsi="Times New Roman" w:cs="Times New Roman"/>
          <w:sz w:val="24"/>
          <w:szCs w:val="24"/>
        </w:rPr>
      </w:pPr>
      <w:r>
        <w:rPr>
          <w:rFonts w:ascii="Cambria" w:hAnsi="Cambria" w:cs="Cambria"/>
          <w:b/>
          <w:bCs/>
          <w:sz w:val="27"/>
          <w:szCs w:val="27"/>
        </w:rPr>
        <w:t>Část B – Práva a povinnosti smluvních stran, důsledky jejich porušení a ukončení platnosti Smlouvy</w:t>
      </w:r>
    </w:p>
    <w:p w:rsidR="001E2BB3" w:rsidRDefault="001E2BB3">
      <w:pPr>
        <w:widowControl w:val="0"/>
        <w:autoSpaceDE w:val="0"/>
        <w:autoSpaceDN w:val="0"/>
        <w:adjustRightInd w:val="0"/>
        <w:spacing w:after="0" w:line="102"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90"/>
        <w:rPr>
          <w:rFonts w:ascii="Times New Roman" w:hAnsi="Times New Roman" w:cs="Times New Roman"/>
          <w:sz w:val="24"/>
          <w:szCs w:val="24"/>
        </w:rPr>
      </w:pPr>
      <w:r>
        <w:rPr>
          <w:rFonts w:ascii="Cambria" w:hAnsi="Cambria" w:cs="Cambria"/>
          <w:b/>
          <w:bCs/>
          <w:i/>
          <w:iCs/>
        </w:rPr>
        <w:t>Článek 3</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130"/>
        <w:rPr>
          <w:rFonts w:ascii="Times New Roman" w:hAnsi="Times New Roman" w:cs="Times New Roman"/>
          <w:sz w:val="24"/>
          <w:szCs w:val="24"/>
        </w:rPr>
      </w:pPr>
      <w:r>
        <w:rPr>
          <w:rFonts w:ascii="Cambria" w:hAnsi="Cambria" w:cs="Cambria"/>
          <w:b/>
          <w:bCs/>
          <w:i/>
          <w:iCs/>
        </w:rPr>
        <w:t>Poskytnutí podpory</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15"/>
        </w:numPr>
        <w:tabs>
          <w:tab w:val="clear" w:pos="720"/>
          <w:tab w:val="num" w:pos="430"/>
        </w:tabs>
        <w:overflowPunct w:val="0"/>
        <w:autoSpaceDE w:val="0"/>
        <w:autoSpaceDN w:val="0"/>
        <w:adjustRightInd w:val="0"/>
        <w:spacing w:after="0" w:line="323" w:lineRule="auto"/>
        <w:ind w:left="430" w:hanging="430"/>
        <w:jc w:val="both"/>
        <w:rPr>
          <w:rFonts w:ascii="Cambria" w:hAnsi="Cambria" w:cs="Cambria"/>
          <w:b/>
          <w:bCs/>
        </w:rPr>
      </w:pPr>
      <w:r>
        <w:rPr>
          <w:rFonts w:ascii="Cambria" w:hAnsi="Cambria" w:cs="Cambria"/>
        </w:rPr>
        <w:t xml:space="preserve">Poskytovatel poskytuje hlavnímu příjemci podporu na základě Smlouvy a za podmínek v ní uvedených včetně podpory určené dalším účastníkům.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5"/>
        </w:numPr>
        <w:tabs>
          <w:tab w:val="clear" w:pos="720"/>
          <w:tab w:val="num" w:pos="430"/>
        </w:tabs>
        <w:overflowPunct w:val="0"/>
        <w:autoSpaceDE w:val="0"/>
        <w:autoSpaceDN w:val="0"/>
        <w:adjustRightInd w:val="0"/>
        <w:spacing w:after="0" w:line="330" w:lineRule="auto"/>
        <w:ind w:left="430" w:hanging="430"/>
        <w:jc w:val="both"/>
        <w:rPr>
          <w:rFonts w:ascii="Cambria" w:hAnsi="Cambria" w:cs="Cambria"/>
          <w:b/>
          <w:bCs/>
        </w:rPr>
      </w:pPr>
      <w:r>
        <w:rPr>
          <w:rFonts w:ascii="Cambria" w:hAnsi="Cambria" w:cs="Cambria"/>
        </w:rPr>
        <w:t xml:space="preserve">Poskytovatel se zavazuje po provedení veřejné soutěže poskytnout podporu jednorázově na příslušný rok řešení ve výši uvedené v Závazných parametrech řešení projektu </w:t>
      </w:r>
    </w:p>
    <w:p w:rsidR="001E2BB3" w:rsidRDefault="00E83CAF">
      <w:pPr>
        <w:widowControl w:val="0"/>
        <w:numPr>
          <w:ilvl w:val="1"/>
          <w:numId w:val="15"/>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pro první rok řešení do 60 kalendářních dnů ode dne nabytí účinnosti Smlouvy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15"/>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u víceletých projektů pro druhý a každý následující rok řešení do 60 kalendářních dnů od začátku příslušného kalendářního roku.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15"/>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rPr>
      </w:pPr>
      <w:r>
        <w:rPr>
          <w:rFonts w:ascii="Cambria" w:hAnsi="Cambria" w:cs="Cambria"/>
        </w:rPr>
        <w:t xml:space="preserve">Poskytovatel se zavazuje ve veřejné zakázce ve výzkumu, vývoji a inovacích začít poskytovat podporu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1"/>
          <w:numId w:val="15"/>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v prvním roce řešení do 60 kalendářních dnů ode dne nabytí účinnosti Smlouvy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15"/>
        </w:numPr>
        <w:tabs>
          <w:tab w:val="clear" w:pos="1440"/>
          <w:tab w:val="num" w:pos="730"/>
        </w:tabs>
        <w:overflowPunct w:val="0"/>
        <w:autoSpaceDE w:val="0"/>
        <w:autoSpaceDN w:val="0"/>
        <w:adjustRightInd w:val="0"/>
        <w:spacing w:after="0" w:line="330" w:lineRule="auto"/>
        <w:ind w:left="730" w:hanging="370"/>
        <w:jc w:val="both"/>
        <w:rPr>
          <w:rFonts w:ascii="Cambria" w:hAnsi="Cambria" w:cs="Cambria"/>
        </w:rPr>
      </w:pPr>
      <w:r>
        <w:rPr>
          <w:rFonts w:ascii="Cambria" w:hAnsi="Cambria" w:cs="Cambria"/>
        </w:rPr>
        <w:t xml:space="preserve">u víceletých projektů ve druhém a dalších letech řešení do 60 kalendářních dnů od začátku příslušného kalendářního roku, přičemž harmonogram plateb jednotlivých částí podpory je stanoven Závaznými parametry řešení projektu.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0"/>
          <w:numId w:val="15"/>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rPr>
      </w:pPr>
      <w:r>
        <w:rPr>
          <w:rFonts w:ascii="Cambria" w:hAnsi="Cambria" w:cs="Cambria"/>
        </w:rPr>
        <w:t xml:space="preserve">Předpokladem pro poskytnutí podpory je, že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1"/>
          <w:numId w:val="16"/>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nedojde v důsledku rozpočtového provizoria nebo krácení prostředků ze státního rozpočtu k regulaci čerpání státního rozpočtu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16"/>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jsou splněny veškeré povinnosti příjemce.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17"/>
        </w:numPr>
        <w:tabs>
          <w:tab w:val="clear" w:pos="720"/>
          <w:tab w:val="num" w:pos="430"/>
        </w:tabs>
        <w:overflowPunct w:val="0"/>
        <w:autoSpaceDE w:val="0"/>
        <w:autoSpaceDN w:val="0"/>
        <w:adjustRightInd w:val="0"/>
        <w:spacing w:after="0" w:line="348" w:lineRule="auto"/>
        <w:ind w:left="430" w:hanging="430"/>
        <w:jc w:val="both"/>
        <w:rPr>
          <w:rFonts w:ascii="Cambria" w:hAnsi="Cambria" w:cs="Cambria"/>
          <w:b/>
          <w:bCs/>
        </w:rPr>
      </w:pPr>
      <w:r>
        <w:rPr>
          <w:rFonts w:ascii="Cambria" w:hAnsi="Cambria" w:cs="Cambria"/>
        </w:rPr>
        <w:t xml:space="preserve">Dojde-li k regulaci čerpání státního rozpočtu, poskytovatel v závislosti na povaze a rozsahu takového opatření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1"/>
          <w:numId w:val="17"/>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oznámí písemně hlavnímu příjemci, že příslušnou část podpory neposkytne ve stanovené lhůtě a je-li tak možné, uvede jinou lhůtu, kdy bude hlavnímu příjemci tato část podpory poskytnuta,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17"/>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navrhne hlavnímu příjemci změnu Závazných parametrů řešení projektu nebo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17"/>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Smlouvu vypoví.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17"/>
        </w:numPr>
        <w:tabs>
          <w:tab w:val="clear" w:pos="720"/>
          <w:tab w:val="num" w:pos="430"/>
        </w:tabs>
        <w:overflowPunct w:val="0"/>
        <w:autoSpaceDE w:val="0"/>
        <w:autoSpaceDN w:val="0"/>
        <w:adjustRightInd w:val="0"/>
        <w:spacing w:after="0" w:line="340" w:lineRule="auto"/>
        <w:ind w:left="430" w:hanging="430"/>
        <w:jc w:val="both"/>
        <w:rPr>
          <w:rFonts w:ascii="Cambria" w:hAnsi="Cambria" w:cs="Cambria"/>
          <w:b/>
          <w:bCs/>
        </w:rPr>
      </w:pPr>
      <w:r>
        <w:rPr>
          <w:rFonts w:ascii="Cambria" w:hAnsi="Cambria" w:cs="Cambria"/>
        </w:rPr>
        <w:t xml:space="preserve">Poskytovatel si vyhrazuje právo neposkytnout podporu ve lhůtě podle odst. 2 nebo 3, pokud na základě ukončeného nebo probíhajícího hodnotícího procesu nebo veřejnosprávní kontroly má pochybnosti o splnění veškerých povinností hlavního příjemce, přičemž k ověření je zapotřebí využít jiný hodnotící proces nebo veřejnosprávní kontrolu. Lhůta podle odst. 2 nebo 3 se prodlouží o tu dobu, co byl prováděn ověřovací hodnotící proces nebo veřejnosprávní kontrola.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850" w:header="720" w:footer="720" w:gutter="0"/>
          <w:cols w:space="720" w:equalWidth="0">
            <w:col w:w="10210"/>
          </w:cols>
          <w:noEndnote/>
        </w:sectPr>
      </w:pPr>
    </w:p>
    <w:p w:rsidR="001E2BB3" w:rsidRDefault="001E2BB3">
      <w:pPr>
        <w:widowControl w:val="0"/>
        <w:autoSpaceDE w:val="0"/>
        <w:autoSpaceDN w:val="0"/>
        <w:adjustRightInd w:val="0"/>
        <w:spacing w:after="0" w:line="1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4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3" w:name="page33"/>
      <w:bookmarkEnd w:id="13"/>
      <w:r>
        <w:rPr>
          <w:noProof/>
        </w:rPr>
        <w:drawing>
          <wp:anchor distT="0" distB="0" distL="114300" distR="114300" simplePos="0" relativeHeight="25170124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18"/>
        </w:numPr>
        <w:tabs>
          <w:tab w:val="clear" w:pos="720"/>
          <w:tab w:val="num" w:pos="430"/>
        </w:tabs>
        <w:overflowPunct w:val="0"/>
        <w:autoSpaceDE w:val="0"/>
        <w:autoSpaceDN w:val="0"/>
        <w:adjustRightInd w:val="0"/>
        <w:spacing w:after="0" w:line="348" w:lineRule="auto"/>
        <w:ind w:left="430" w:hanging="430"/>
        <w:jc w:val="both"/>
        <w:rPr>
          <w:rFonts w:ascii="Cambria" w:hAnsi="Cambria" w:cs="Cambria"/>
          <w:b/>
          <w:bCs/>
        </w:rPr>
      </w:pPr>
      <w:r>
        <w:rPr>
          <w:rFonts w:ascii="Cambria" w:hAnsi="Cambria" w:cs="Cambria"/>
        </w:rPr>
        <w:t xml:space="preserve">Povinnosti hlavního příjemce se považují za splněné, pokud na základě ukončených nebo probíhajících hodnotících procesů nebo veřejnosprávní kontroly poskytovatel ve lhůtě podle odst. 2 nebo 3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1"/>
          <w:numId w:val="18"/>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písemně hlavnímu příjemci neoznámí zahájení jiného hodnotícího procesu nebo veřejnosprávní kontroly,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18"/>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písemně hlavního příjemce nevyzve k dodatečnému splnění všech jeho závazků,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18"/>
        </w:numPr>
        <w:tabs>
          <w:tab w:val="clear" w:pos="1440"/>
          <w:tab w:val="num" w:pos="730"/>
        </w:tabs>
        <w:overflowPunct w:val="0"/>
        <w:autoSpaceDE w:val="0"/>
        <w:autoSpaceDN w:val="0"/>
        <w:adjustRightInd w:val="0"/>
        <w:spacing w:after="0" w:line="240" w:lineRule="auto"/>
        <w:ind w:left="730" w:hanging="370"/>
        <w:jc w:val="both"/>
        <w:rPr>
          <w:rFonts w:ascii="Cambria" w:hAnsi="Cambria" w:cs="Cambria"/>
        </w:rPr>
      </w:pPr>
      <w:r>
        <w:rPr>
          <w:rFonts w:ascii="Cambria" w:hAnsi="Cambria" w:cs="Cambria"/>
        </w:rPr>
        <w:t xml:space="preserve">neodešle hlavnímu příjemci výpověď nebo odstoupení od Smlouvy, nebo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18"/>
        </w:numPr>
        <w:tabs>
          <w:tab w:val="clear" w:pos="1440"/>
          <w:tab w:val="num" w:pos="730"/>
        </w:tabs>
        <w:overflowPunct w:val="0"/>
        <w:autoSpaceDE w:val="0"/>
        <w:autoSpaceDN w:val="0"/>
        <w:adjustRightInd w:val="0"/>
        <w:spacing w:after="0" w:line="330" w:lineRule="auto"/>
        <w:ind w:left="730" w:hanging="370"/>
        <w:jc w:val="both"/>
        <w:rPr>
          <w:rFonts w:ascii="Cambria" w:hAnsi="Cambria" w:cs="Cambria"/>
        </w:rPr>
      </w:pPr>
      <w:r>
        <w:rPr>
          <w:rFonts w:ascii="Cambria" w:hAnsi="Cambria" w:cs="Cambria"/>
        </w:rPr>
        <w:t xml:space="preserve">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0"/>
          <w:numId w:val="18"/>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rPr>
      </w:pPr>
      <w:r>
        <w:rPr>
          <w:rFonts w:ascii="Cambria" w:hAnsi="Cambria" w:cs="Cambria"/>
        </w:rPr>
        <w:t xml:space="preserve">Poskytovatel poskytuje podporu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1"/>
          <w:numId w:val="18"/>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veřejné vysoké škole a veřejné výzkumné instituci převodem z bankovního účtu poskytovatele na bankovní účet u České národní banky uvedený ve Smlouvě,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18"/>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ostatním fyzickým a právnickým osobám převodem z bankovního účtu poskytovatele na bankovní účet uvedený ve Smlouvě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18"/>
        </w:numPr>
        <w:tabs>
          <w:tab w:val="clear" w:pos="1440"/>
          <w:tab w:val="num" w:pos="730"/>
        </w:tabs>
        <w:overflowPunct w:val="0"/>
        <w:autoSpaceDE w:val="0"/>
        <w:autoSpaceDN w:val="0"/>
        <w:adjustRightInd w:val="0"/>
        <w:spacing w:after="0" w:line="348" w:lineRule="auto"/>
        <w:ind w:left="730" w:hanging="370"/>
        <w:jc w:val="both"/>
        <w:rPr>
          <w:rFonts w:ascii="Cambria" w:hAnsi="Cambria" w:cs="Cambria"/>
        </w:rPr>
      </w:pPr>
      <w:r>
        <w:rPr>
          <w:rFonts w:ascii="Cambria" w:hAnsi="Cambria" w:cs="Cambria"/>
        </w:rPr>
        <w:t xml:space="preserve">organizačním složkám státu nebo organizačním jednotkám ministerstva přesunem prostředků státního rozpočtu pomocí rozpočtového opatření.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18"/>
        </w:numPr>
        <w:tabs>
          <w:tab w:val="clear" w:pos="720"/>
          <w:tab w:val="num" w:pos="430"/>
        </w:tabs>
        <w:overflowPunct w:val="0"/>
        <w:autoSpaceDE w:val="0"/>
        <w:autoSpaceDN w:val="0"/>
        <w:adjustRightInd w:val="0"/>
        <w:spacing w:after="0" w:line="330" w:lineRule="auto"/>
        <w:ind w:left="430" w:hanging="430"/>
        <w:jc w:val="both"/>
        <w:rPr>
          <w:rFonts w:ascii="Cambria" w:hAnsi="Cambria" w:cs="Cambria"/>
          <w:b/>
          <w:bCs/>
        </w:rPr>
      </w:pPr>
      <w:r>
        <w:rPr>
          <w:rFonts w:ascii="Cambria" w:hAnsi="Cambria" w:cs="Cambria"/>
        </w:rPr>
        <w:t xml:space="preserve">Příslušná část podpory se považuje za poskytnutou dnem, kdy jsou finanční prostředky takto určené uvolněny z bankovního účtu poskytovatele, nebo schválením rozpočtového opatření Ministerstvem financí České republiky.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8"/>
        </w:numPr>
        <w:tabs>
          <w:tab w:val="clear" w:pos="720"/>
          <w:tab w:val="num" w:pos="430"/>
        </w:tabs>
        <w:overflowPunct w:val="0"/>
        <w:autoSpaceDE w:val="0"/>
        <w:autoSpaceDN w:val="0"/>
        <w:adjustRightInd w:val="0"/>
        <w:spacing w:after="0" w:line="330" w:lineRule="auto"/>
        <w:ind w:left="430" w:hanging="430"/>
        <w:jc w:val="both"/>
        <w:rPr>
          <w:rFonts w:ascii="Cambria" w:hAnsi="Cambria" w:cs="Cambria"/>
          <w:b/>
          <w:bCs/>
        </w:rPr>
      </w:pPr>
      <w:r>
        <w:rPr>
          <w:rFonts w:ascii="Cambria" w:hAnsi="Cambria" w:cs="Cambria"/>
        </w:rPr>
        <w:t xml:space="preserve">Veškeré činnosti, na které je podpora poskytována musí směřovat k dosažení cílů projektu, neboli k naplnění účelu podpory, tj. příjemce svou činností vytvoří předpoklady k tomu, aby těchto cílů bylo dosaženo.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18"/>
        </w:numPr>
        <w:tabs>
          <w:tab w:val="clear" w:pos="720"/>
          <w:tab w:val="num" w:pos="430"/>
        </w:tabs>
        <w:overflowPunct w:val="0"/>
        <w:autoSpaceDE w:val="0"/>
        <w:autoSpaceDN w:val="0"/>
        <w:adjustRightInd w:val="0"/>
        <w:spacing w:after="0" w:line="340" w:lineRule="auto"/>
        <w:ind w:left="430" w:hanging="430"/>
        <w:jc w:val="both"/>
        <w:rPr>
          <w:rFonts w:ascii="Cambria" w:hAnsi="Cambria" w:cs="Cambria"/>
          <w:b/>
          <w:bCs/>
        </w:rPr>
      </w:pPr>
      <w:r>
        <w:rPr>
          <w:rFonts w:ascii="Cambria" w:hAnsi="Cambria" w:cs="Cambria"/>
        </w:rPr>
        <w:t xml:space="preserve">Pokud nedojde k efektivnímu čerpání poskytnuté podpory v příslušném kalendářním roce, hlavní příjemce vrací nevyčerpanou část podpory zpět poskytovateli na běžný výdajový účet uvedený ve Smlouvě a v termínu stanoveném níže v povinnostech hlavního příjemce. Hlavní příjemce může zároveň podat žádost o převod těchto finančních prostředků do následujícího kalendářního roku a poskytovatel s touto žádostí naloží v souladu se směrnicí </w:t>
      </w:r>
      <w:r>
        <w:rPr>
          <w:rFonts w:ascii="Cambria" w:hAnsi="Cambria" w:cs="Cambria"/>
          <w:b/>
          <w:bCs/>
        </w:rPr>
        <w:t>SME-07 Směrnice pro změnová řízení projektů.</w:t>
      </w:r>
      <w:r>
        <w:rPr>
          <w:rFonts w:ascii="Cambria" w:hAnsi="Cambria" w:cs="Cambria"/>
        </w:rPr>
        <w:t xml:space="preserve"> </w:t>
      </w:r>
    </w:p>
    <w:p w:rsidR="001E2BB3" w:rsidRDefault="001E2BB3">
      <w:pPr>
        <w:widowControl w:val="0"/>
        <w:autoSpaceDE w:val="0"/>
        <w:autoSpaceDN w:val="0"/>
        <w:adjustRightInd w:val="0"/>
        <w:spacing w:after="0" w:line="6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90"/>
        <w:rPr>
          <w:rFonts w:ascii="Times New Roman" w:hAnsi="Times New Roman" w:cs="Times New Roman"/>
          <w:sz w:val="24"/>
          <w:szCs w:val="24"/>
        </w:rPr>
      </w:pPr>
      <w:r>
        <w:rPr>
          <w:rFonts w:ascii="Cambria" w:hAnsi="Cambria" w:cs="Cambria"/>
          <w:b/>
          <w:bCs/>
          <w:i/>
          <w:iCs/>
        </w:rPr>
        <w:t>Článek 4</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670"/>
        <w:rPr>
          <w:rFonts w:ascii="Times New Roman" w:hAnsi="Times New Roman" w:cs="Times New Roman"/>
          <w:sz w:val="24"/>
          <w:szCs w:val="24"/>
        </w:rPr>
      </w:pPr>
      <w:r>
        <w:rPr>
          <w:rFonts w:ascii="Cambria" w:hAnsi="Cambria" w:cs="Cambria"/>
          <w:b/>
          <w:bCs/>
          <w:i/>
          <w:iCs/>
        </w:rPr>
        <w:t>Povinnosti hlavního příjemce</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19"/>
        </w:numPr>
        <w:tabs>
          <w:tab w:val="clear" w:pos="720"/>
          <w:tab w:val="num" w:pos="430"/>
        </w:tabs>
        <w:overflowPunct w:val="0"/>
        <w:autoSpaceDE w:val="0"/>
        <w:autoSpaceDN w:val="0"/>
        <w:adjustRightInd w:val="0"/>
        <w:spacing w:after="0" w:line="240" w:lineRule="auto"/>
        <w:ind w:left="430" w:hanging="364"/>
        <w:jc w:val="both"/>
        <w:rPr>
          <w:rFonts w:ascii="Cambria" w:hAnsi="Cambria" w:cs="Cambria"/>
          <w:b/>
          <w:bCs/>
        </w:rPr>
      </w:pPr>
      <w:r>
        <w:rPr>
          <w:rFonts w:ascii="Cambria" w:hAnsi="Cambria" w:cs="Cambria"/>
        </w:rPr>
        <w:t xml:space="preserve">Hlavní příjemce je povinen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19"/>
        </w:numPr>
        <w:tabs>
          <w:tab w:val="clear" w:pos="1440"/>
          <w:tab w:val="num" w:pos="730"/>
        </w:tabs>
        <w:overflowPunct w:val="0"/>
        <w:autoSpaceDE w:val="0"/>
        <w:autoSpaceDN w:val="0"/>
        <w:adjustRightInd w:val="0"/>
        <w:spacing w:after="0" w:line="330" w:lineRule="auto"/>
        <w:ind w:left="730" w:hanging="370"/>
        <w:jc w:val="both"/>
        <w:rPr>
          <w:rFonts w:ascii="Cambria" w:hAnsi="Cambria" w:cs="Cambria"/>
        </w:rPr>
      </w:pPr>
      <w:r>
        <w:rPr>
          <w:rFonts w:ascii="Cambria" w:hAnsi="Cambria" w:cs="Cambria"/>
        </w:rPr>
        <w:t xml:space="preserve">čerpat a využívat podporu v souladu s pravidly poskytnutí podpory a Závaznými parametry řešení projektu, zejména využívat podporu na uznané náklady v souladu s částí E a postupovat v souladu s § 8 odst. 5 ZPVV podle ZVZ,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19"/>
        </w:numPr>
        <w:tabs>
          <w:tab w:val="clear" w:pos="1440"/>
          <w:tab w:val="num" w:pos="730"/>
        </w:tabs>
        <w:overflowPunct w:val="0"/>
        <w:autoSpaceDE w:val="0"/>
        <w:autoSpaceDN w:val="0"/>
        <w:adjustRightInd w:val="0"/>
        <w:spacing w:after="0" w:line="482" w:lineRule="auto"/>
        <w:ind w:left="730" w:hanging="370"/>
        <w:jc w:val="both"/>
        <w:rPr>
          <w:rFonts w:ascii="Cambria" w:hAnsi="Cambria" w:cs="Cambria"/>
        </w:rPr>
      </w:pPr>
      <w:r>
        <w:rPr>
          <w:rFonts w:ascii="Cambria" w:hAnsi="Cambria" w:cs="Cambria"/>
        </w:rPr>
        <w:t xml:space="preserve">svou činností při řešení projektu dosahovat výsledků ve lhůtách uvedených v Závazných parametrech řešení projektu,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850" w:header="720" w:footer="720" w:gutter="0"/>
          <w:cols w:space="720" w:equalWidth="0">
            <w:col w:w="10210"/>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5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4" w:name="page35"/>
      <w:bookmarkEnd w:id="14"/>
      <w:r>
        <w:rPr>
          <w:noProof/>
        </w:rPr>
        <w:drawing>
          <wp:anchor distT="0" distB="0" distL="114300" distR="114300" simplePos="0" relativeHeight="25170227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65" w:lineRule="auto"/>
        <w:ind w:left="664" w:hanging="370"/>
        <w:jc w:val="both"/>
        <w:rPr>
          <w:rFonts w:ascii="Cambria" w:hAnsi="Cambria" w:cs="Cambria"/>
          <w:sz w:val="21"/>
          <w:szCs w:val="21"/>
        </w:rPr>
      </w:pPr>
      <w:r>
        <w:rPr>
          <w:rFonts w:ascii="Cambria" w:hAnsi="Cambria" w:cs="Cambria"/>
          <w:sz w:val="21"/>
          <w:szCs w:val="21"/>
        </w:rPr>
        <w:t xml:space="preserve">převést ze svého bankovního účtu na bankovní účty dalších účastníků příslušnou část podpory podle Závazných parametrů řešení projektu ve lhůtách stanovených ve smlouvě o účasti na řešení projektu, </w:t>
      </w:r>
    </w:p>
    <w:p w:rsidR="001E2BB3" w:rsidRDefault="001E2BB3">
      <w:pPr>
        <w:widowControl w:val="0"/>
        <w:autoSpaceDE w:val="0"/>
        <w:autoSpaceDN w:val="0"/>
        <w:adjustRightInd w:val="0"/>
        <w:spacing w:after="0" w:line="1" w:lineRule="exact"/>
        <w:rPr>
          <w:rFonts w:ascii="Cambria" w:hAnsi="Cambria" w:cs="Cambria"/>
          <w:sz w:val="21"/>
          <w:szCs w:val="21"/>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10" w:lineRule="auto"/>
        <w:ind w:left="664" w:hanging="370"/>
        <w:jc w:val="both"/>
        <w:rPr>
          <w:rFonts w:ascii="Cambria" w:hAnsi="Cambria" w:cs="Cambria"/>
        </w:rPr>
      </w:pPr>
      <w:r>
        <w:rPr>
          <w:rFonts w:ascii="Cambria" w:hAnsi="Cambria" w:cs="Cambria"/>
        </w:rPr>
        <w:t>vrátit poskytovateli na jeho běžný výdajový účet část podpory, a to do 14 kalendářních dnů poté, co se dozví, že tuto část z jakéhokoliv důvodu nevyužije, nebo poté, co byl poskytovatelem k jejímu vrácení vyzván, přičemž nejpozději do 31. prosince příslušného roku musí být takto nevyčerpaná podpora za tento příslušný rok připsána na běžný výdajový účet poskytovatele s výjimkou max. 5% poskytnuté podpory za příslušný rok za projekt, kterou je možno vrátit až do 15. února roku následujícího na účet 6015-3125001/0710, pokud tak řádně odůvodní v průběžné nebo závěrečné zprávě</w:t>
      </w:r>
      <w:r>
        <w:rPr>
          <w:rFonts w:ascii="Symbol" w:hAnsi="Symbol" w:cs="Symbol"/>
        </w:rPr>
        <w:t></w:t>
      </w:r>
      <w:r>
        <w:rPr>
          <w:rFonts w:ascii="Cambria" w:hAnsi="Cambria" w:cs="Cambria"/>
        </w:rPr>
        <w:t xml:space="preserve"> pokud je příjemce veřejnou vysokou školou nebo veřejnou výzkumnou institucí, může takto nevyužitou podporu převést do fondu účelově určených prostředků, nejvýše však 5 % objemu podpory poskytnuté a pouze jemu příslušné v příslušném kalendářním roce, </w:t>
      </w:r>
    </w:p>
    <w:p w:rsidR="001E2BB3" w:rsidRDefault="001E2BB3">
      <w:pPr>
        <w:widowControl w:val="0"/>
        <w:autoSpaceDE w:val="0"/>
        <w:autoSpaceDN w:val="0"/>
        <w:adjustRightInd w:val="0"/>
        <w:spacing w:after="0" w:line="5"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vést v účetnictví oddělenou účetní evidenci uznaných nákladů projektu financovaných z prostředků určených k řešení projektu pro každý jednotlivý projekt,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zaplatit smluvní pokutu stanovenou podle článku 5 odst. 3,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mít uzavřenou písemnou smlouvu o účasti na řešení projektu se všemi jejími povinnými náležitostmi podle článku 6, pokud se na řešení projektu podílí více příjemců,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21" w:lineRule="auto"/>
        <w:ind w:left="664" w:hanging="370"/>
        <w:jc w:val="both"/>
        <w:rPr>
          <w:rFonts w:ascii="Cambria" w:hAnsi="Cambria" w:cs="Cambria"/>
        </w:rPr>
      </w:pPr>
      <w:r>
        <w:rPr>
          <w:rFonts w:ascii="Cambria" w:hAnsi="Cambria" w:cs="Cambria"/>
        </w:rPr>
        <w:t xml:space="preserve">s výjimkou veřejné zakázky ve výzkumu, vývoji a inovacích předložit nejpozději před ukončením řešení projektu smlouvu o využití výsledků uzavřenou s uživatelem výsledků anebo řádné odůvodnění (čestné prohlášení o využití výsledků), zejména pokud příjemce bude jediným uživatelem výsledku projektu, </w:t>
      </w:r>
    </w:p>
    <w:p w:rsidR="001E2BB3" w:rsidRDefault="00E83CAF">
      <w:pPr>
        <w:widowControl w:val="0"/>
        <w:numPr>
          <w:ilvl w:val="1"/>
          <w:numId w:val="2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poskytovat výsledky podle pravidel stanovených v článku 15,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bez zbytečného odkladu po výzvě poskytovatele protokolárně předat poskytovateli výsledek veřejné zakázky ve výzkumu, vývoji a inovacích,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0"/>
        </w:numPr>
        <w:tabs>
          <w:tab w:val="clear" w:pos="1440"/>
          <w:tab w:val="num" w:pos="664"/>
        </w:tabs>
        <w:overflowPunct w:val="0"/>
        <w:autoSpaceDE w:val="0"/>
        <w:autoSpaceDN w:val="0"/>
        <w:adjustRightInd w:val="0"/>
        <w:spacing w:after="0" w:line="482" w:lineRule="auto"/>
        <w:ind w:left="664" w:hanging="370"/>
        <w:jc w:val="both"/>
        <w:rPr>
          <w:rFonts w:ascii="Cambria" w:hAnsi="Cambria" w:cs="Cambria"/>
        </w:rPr>
      </w:pPr>
      <w:r>
        <w:rPr>
          <w:rFonts w:ascii="Cambria" w:hAnsi="Cambria" w:cs="Cambria"/>
        </w:rPr>
        <w:t xml:space="preserve">v souladu s článkem 9 vyčíslit a odvést poskytovateli veškeré příjmy z projektů a nezamezovat jejich získávání. </w:t>
      </w:r>
    </w:p>
    <w:p w:rsidR="001E2BB3" w:rsidRDefault="001E2BB3">
      <w:pPr>
        <w:widowControl w:val="0"/>
        <w:autoSpaceDE w:val="0"/>
        <w:autoSpaceDN w:val="0"/>
        <w:adjustRightInd w:val="0"/>
        <w:spacing w:after="0" w:line="149" w:lineRule="exact"/>
        <w:rPr>
          <w:rFonts w:ascii="Cambria" w:hAnsi="Cambria" w:cs="Cambria"/>
        </w:rPr>
      </w:pPr>
    </w:p>
    <w:p w:rsidR="001E2BB3" w:rsidRDefault="00E83CAF">
      <w:pPr>
        <w:widowControl w:val="0"/>
        <w:numPr>
          <w:ilvl w:val="0"/>
          <w:numId w:val="21"/>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Hlavní příjemce je dále povinen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1"/>
          <w:numId w:val="21"/>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zahájit řešení projektu v termínu stanoveném v Závazných parametrech řešení projektu, nejpozději však do 60 kalendářních dnů ode dne nabytí účinnosti Smlouvy,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1"/>
        </w:numPr>
        <w:tabs>
          <w:tab w:val="clear" w:pos="1440"/>
          <w:tab w:val="num" w:pos="664"/>
        </w:tabs>
        <w:overflowPunct w:val="0"/>
        <w:autoSpaceDE w:val="0"/>
        <w:autoSpaceDN w:val="0"/>
        <w:adjustRightInd w:val="0"/>
        <w:spacing w:after="0" w:line="309" w:lineRule="auto"/>
        <w:ind w:left="664" w:hanging="370"/>
        <w:jc w:val="both"/>
        <w:rPr>
          <w:rFonts w:ascii="Cambria" w:hAnsi="Cambria" w:cs="Cambria"/>
        </w:rPr>
      </w:pPr>
      <w:r>
        <w:rPr>
          <w:rFonts w:ascii="Cambria" w:hAnsi="Cambria" w:cs="Cambria"/>
        </w:rPr>
        <w:t xml:space="preserve">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kvalifikace, které nastaly v době ode dne nabytí účinnosti Smlouvy, a to v souladu se směrnicí </w:t>
      </w:r>
      <w:r>
        <w:rPr>
          <w:rFonts w:ascii="Cambria" w:hAnsi="Cambria" w:cs="Cambria"/>
          <w:b/>
          <w:bCs/>
        </w:rPr>
        <w:t>SME-07 Změnová řízení projektů</w:t>
      </w:r>
      <w:r>
        <w:rPr>
          <w:rFonts w:ascii="Cambria" w:hAnsi="Cambria" w:cs="Cambria"/>
        </w:rPr>
        <w:t>, přičemž informování je možné provést rovnou žádostí o změnu</w:t>
      </w:r>
      <w:r>
        <w:rPr>
          <w:rFonts w:ascii="Cambria" w:hAnsi="Cambria" w:cs="Cambria"/>
          <w:b/>
          <w:bCs/>
        </w:rPr>
        <w:t xml:space="preserve"> </w:t>
      </w:r>
      <w:r>
        <w:rPr>
          <w:rFonts w:ascii="Cambria" w:hAnsi="Cambria" w:cs="Cambria"/>
        </w:rPr>
        <w:t xml:space="preserve">podle této směrnice, </w:t>
      </w:r>
    </w:p>
    <w:p w:rsidR="001E2BB3" w:rsidRDefault="00E83CAF">
      <w:pPr>
        <w:widowControl w:val="0"/>
        <w:numPr>
          <w:ilvl w:val="1"/>
          <w:numId w:val="21"/>
        </w:numPr>
        <w:tabs>
          <w:tab w:val="clear" w:pos="1440"/>
          <w:tab w:val="num" w:pos="664"/>
        </w:tabs>
        <w:overflowPunct w:val="0"/>
        <w:autoSpaceDE w:val="0"/>
        <w:autoSpaceDN w:val="0"/>
        <w:adjustRightInd w:val="0"/>
        <w:spacing w:after="0" w:line="482" w:lineRule="auto"/>
        <w:ind w:left="664" w:hanging="370"/>
        <w:jc w:val="both"/>
        <w:rPr>
          <w:rFonts w:ascii="Cambria" w:hAnsi="Cambria" w:cs="Cambria"/>
        </w:rPr>
      </w:pPr>
      <w:r>
        <w:rPr>
          <w:rFonts w:ascii="Cambria" w:hAnsi="Cambria" w:cs="Cambria"/>
        </w:rPr>
        <w:t xml:space="preserve">postupovat v souladu s dokumentem </w:t>
      </w:r>
      <w:r>
        <w:rPr>
          <w:rFonts w:ascii="Cambria" w:hAnsi="Cambria" w:cs="Cambria"/>
          <w:b/>
          <w:bCs/>
        </w:rPr>
        <w:t>„Pravidla pro publicitu projektů podpořených z prostředků</w:t>
      </w:r>
      <w:r>
        <w:rPr>
          <w:rFonts w:ascii="Cambria" w:hAnsi="Cambria" w:cs="Cambria"/>
        </w:rPr>
        <w:t xml:space="preserve"> </w:t>
      </w:r>
      <w:r>
        <w:rPr>
          <w:rFonts w:ascii="Cambria" w:hAnsi="Cambria" w:cs="Cambria"/>
          <w:b/>
          <w:bCs/>
        </w:rPr>
        <w:t>TA ČR“</w:t>
      </w:r>
      <w:r>
        <w:rPr>
          <w:rFonts w:ascii="Cambria" w:hAnsi="Cambria" w:cs="Cambria"/>
        </w:rPr>
        <w:t>,</w:t>
      </w:r>
      <w:r>
        <w:rPr>
          <w:rFonts w:ascii="Cambria" w:hAnsi="Cambria" w:cs="Cambria"/>
          <w:b/>
          <w:bCs/>
        </w:rPr>
        <w:t xml:space="preserve">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17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6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5" w:name="page37"/>
      <w:bookmarkEnd w:id="15"/>
      <w:r>
        <w:rPr>
          <w:noProof/>
        </w:rPr>
        <w:drawing>
          <wp:anchor distT="0" distB="0" distL="114300" distR="114300" simplePos="0" relativeHeight="25170329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1"/>
          <w:numId w:val="2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předkládat úplné zprávy a další relevantní informace v souladu se Smlouvou a příslušnými hodnotícími procesy, které se týkají jak řešení projektu tak plnění implementačního plánu,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2"/>
        </w:numPr>
        <w:tabs>
          <w:tab w:val="clear" w:pos="1440"/>
          <w:tab w:val="num" w:pos="664"/>
        </w:tabs>
        <w:overflowPunct w:val="0"/>
        <w:autoSpaceDE w:val="0"/>
        <w:autoSpaceDN w:val="0"/>
        <w:adjustRightInd w:val="0"/>
        <w:spacing w:after="0" w:line="346" w:lineRule="auto"/>
        <w:ind w:left="664" w:hanging="370"/>
        <w:jc w:val="both"/>
        <w:rPr>
          <w:rFonts w:ascii="Cambria" w:hAnsi="Cambria" w:cs="Cambria"/>
          <w:sz w:val="21"/>
          <w:szCs w:val="21"/>
        </w:rPr>
      </w:pPr>
      <w:r>
        <w:rPr>
          <w:rFonts w:ascii="Cambria" w:hAnsi="Cambria" w:cs="Cambria"/>
          <w:sz w:val="21"/>
          <w:szCs w:val="21"/>
        </w:rPr>
        <w:t xml:space="preserve">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 </w:t>
      </w:r>
    </w:p>
    <w:p w:rsidR="001E2BB3" w:rsidRDefault="00E83CAF">
      <w:pPr>
        <w:widowControl w:val="0"/>
        <w:numPr>
          <w:ilvl w:val="1"/>
          <w:numId w:val="22"/>
        </w:numPr>
        <w:tabs>
          <w:tab w:val="clear" w:pos="1440"/>
          <w:tab w:val="num" w:pos="664"/>
        </w:tabs>
        <w:overflowPunct w:val="0"/>
        <w:autoSpaceDE w:val="0"/>
        <w:autoSpaceDN w:val="0"/>
        <w:adjustRightInd w:val="0"/>
        <w:spacing w:after="0" w:line="311" w:lineRule="auto"/>
        <w:ind w:left="664" w:hanging="370"/>
        <w:jc w:val="both"/>
        <w:rPr>
          <w:rFonts w:ascii="Cambria" w:hAnsi="Cambria" w:cs="Cambria"/>
        </w:rPr>
      </w:pPr>
      <w:r>
        <w:rPr>
          <w:rFonts w:ascii="Cambria" w:hAnsi="Cambria" w:cs="Cambria"/>
        </w:rPr>
        <w:t xml:space="preserve">poskytovat veškerou součinnost v souvislosti s průběhem hodnotících a kontrolních procesů jinou než uvedenou v písm. d),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hodnotícími procesy, zákonných lhůtách, nebo lhůtách uvedených v žádostech poskytovatele o informaci, </w:t>
      </w:r>
    </w:p>
    <w:p w:rsidR="001E2BB3" w:rsidRDefault="001E2BB3">
      <w:pPr>
        <w:widowControl w:val="0"/>
        <w:autoSpaceDE w:val="0"/>
        <w:autoSpaceDN w:val="0"/>
        <w:adjustRightInd w:val="0"/>
        <w:spacing w:after="0" w:line="4" w:lineRule="exact"/>
        <w:rPr>
          <w:rFonts w:ascii="Cambria" w:hAnsi="Cambria" w:cs="Cambria"/>
        </w:rPr>
      </w:pPr>
    </w:p>
    <w:p w:rsidR="001E2BB3" w:rsidRDefault="00E83CAF">
      <w:pPr>
        <w:widowControl w:val="0"/>
        <w:numPr>
          <w:ilvl w:val="1"/>
          <w:numId w:val="2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prokázat na výzvu poskytovatele, že splňuje povinnosti stanovené pravidly poskytnutí podpory, a to ve lhůtě uvedené v této výzvě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2"/>
        </w:numPr>
        <w:tabs>
          <w:tab w:val="clear" w:pos="1440"/>
          <w:tab w:val="num" w:pos="664"/>
        </w:tabs>
        <w:overflowPunct w:val="0"/>
        <w:autoSpaceDE w:val="0"/>
        <w:autoSpaceDN w:val="0"/>
        <w:adjustRightInd w:val="0"/>
        <w:spacing w:after="0" w:line="321" w:lineRule="auto"/>
        <w:ind w:left="664" w:hanging="370"/>
        <w:jc w:val="both"/>
        <w:rPr>
          <w:rFonts w:ascii="Cambria" w:hAnsi="Cambria" w:cs="Cambria"/>
        </w:rPr>
      </w:pPr>
      <w:r>
        <w:rPr>
          <w:rFonts w:ascii="Cambria" w:hAnsi="Cambria" w:cs="Cambria"/>
        </w:rPr>
        <w:t xml:space="preserve">poskytovat veškerou součinnost podle směrnice </w:t>
      </w:r>
      <w:r>
        <w:rPr>
          <w:rFonts w:ascii="Cambria" w:hAnsi="Cambria" w:cs="Cambria"/>
          <w:b/>
          <w:bCs/>
        </w:rPr>
        <w:t>SME-07 Změnová řízení projektů</w:t>
      </w:r>
      <w:r>
        <w:rPr>
          <w:rFonts w:ascii="Cambria" w:hAnsi="Cambria" w:cs="Cambria"/>
        </w:rPr>
        <w:t xml:space="preserve">, zejména předkládat požadované informace a dokumenty ve stanovených lhůtách tak, aby mohl být proces podle této směrnice řádně dokončen, včetně uzavření dodatku ke smlouvě či rozhodnutí o poskytnutí podpory, pokud tak tato směrnice stanoví. </w:t>
      </w:r>
    </w:p>
    <w:p w:rsidR="001E2BB3" w:rsidRDefault="00E83CAF">
      <w:pPr>
        <w:widowControl w:val="0"/>
        <w:numPr>
          <w:ilvl w:val="0"/>
          <w:numId w:val="23"/>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Hlavní příjemce je zároveň povinen zajistit, aby další účastník rovněž dodržoval výše uvedené povinnosti, popř. aby prováděl veškerou potřebnou součinnost za účelem dodržení těchto povinností hlavním příjemcem.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23"/>
        </w:numPr>
        <w:tabs>
          <w:tab w:val="clear" w:pos="720"/>
          <w:tab w:val="num" w:pos="364"/>
        </w:tabs>
        <w:overflowPunct w:val="0"/>
        <w:autoSpaceDE w:val="0"/>
        <w:autoSpaceDN w:val="0"/>
        <w:adjustRightInd w:val="0"/>
        <w:spacing w:after="0" w:line="315" w:lineRule="auto"/>
        <w:ind w:left="364" w:hanging="364"/>
        <w:jc w:val="both"/>
        <w:rPr>
          <w:rFonts w:ascii="Cambria" w:hAnsi="Cambria" w:cs="Cambria"/>
          <w:b/>
          <w:bCs/>
        </w:rPr>
      </w:pPr>
      <w:r>
        <w:rPr>
          <w:rFonts w:ascii="Cambria" w:hAnsi="Cambria" w:cs="Cambria"/>
        </w:rPr>
        <w:t xml:space="preserve">Pokud je hlavnímu příjemci stanovena povinnost písemného doručování poskytovateli v dané lhůtě, a v případě, že nevyužije elektronické podání (informační systém datových schránek nebo e-mailová zpráva se zaručeným elektronickým podpisem na adresu </w:t>
      </w:r>
      <w:r>
        <w:rPr>
          <w:rFonts w:ascii="Cambria" w:hAnsi="Cambria" w:cs="Cambria"/>
          <w:u w:val="single"/>
        </w:rPr>
        <w:t>posta@tacr.cz</w:t>
      </w:r>
      <w:r>
        <w:rPr>
          <w:rFonts w:ascii="Cambria" w:hAnsi="Cambria" w:cs="Cambria"/>
        </w:rPr>
        <w:t xml:space="preserve">), je povinen doručit příslušný dokument nejpozději do konce úředních hodin podatelny TA ČR v poslední den lhůty. Úřední hodiny podatelny TA ČR jsou uvedeny na webových stránkách poskytovatele.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23"/>
        </w:numPr>
        <w:tabs>
          <w:tab w:val="clear" w:pos="720"/>
          <w:tab w:val="num" w:pos="364"/>
        </w:tabs>
        <w:overflowPunct w:val="0"/>
        <w:autoSpaceDE w:val="0"/>
        <w:autoSpaceDN w:val="0"/>
        <w:adjustRightInd w:val="0"/>
        <w:spacing w:after="0" w:line="356" w:lineRule="auto"/>
        <w:ind w:left="364" w:hanging="364"/>
        <w:jc w:val="both"/>
        <w:rPr>
          <w:rFonts w:ascii="Cambria" w:hAnsi="Cambria" w:cs="Cambria"/>
          <w:b/>
          <w:bCs/>
        </w:rPr>
      </w:pPr>
      <w:r>
        <w:rPr>
          <w:rFonts w:ascii="Cambria" w:hAnsi="Cambria" w:cs="Cambria"/>
        </w:rPr>
        <w:t xml:space="preserve">Příjemce je povinen přijmout opatření k odstranění nedostatků zjištěných při veřejnosprávní kontrole bez zbytečného odkladu, nejpozději však ve lhůtě stanovené kontrolním orgánem, a o příjemcem přijatých opatřeních informovat poskytovatele, přičemž si poskytovatel vyhrazuje právo prověřit u příjemce plnění uložených opatření k nápravě. </w:t>
      </w:r>
    </w:p>
    <w:p w:rsidR="001E2BB3" w:rsidRDefault="001E2BB3">
      <w:pPr>
        <w:widowControl w:val="0"/>
        <w:autoSpaceDE w:val="0"/>
        <w:autoSpaceDN w:val="0"/>
        <w:adjustRightInd w:val="0"/>
        <w:spacing w:after="0" w:line="4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24"/>
        <w:rPr>
          <w:rFonts w:ascii="Times New Roman" w:hAnsi="Times New Roman" w:cs="Times New Roman"/>
          <w:sz w:val="24"/>
          <w:szCs w:val="24"/>
        </w:rPr>
      </w:pPr>
      <w:r>
        <w:rPr>
          <w:rFonts w:ascii="Cambria" w:hAnsi="Cambria" w:cs="Cambria"/>
          <w:b/>
          <w:bCs/>
          <w:i/>
          <w:iCs/>
        </w:rPr>
        <w:t>Článek 5</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624"/>
        <w:rPr>
          <w:rFonts w:ascii="Times New Roman" w:hAnsi="Times New Roman" w:cs="Times New Roman"/>
          <w:sz w:val="24"/>
          <w:szCs w:val="24"/>
        </w:rPr>
      </w:pPr>
      <w:r>
        <w:rPr>
          <w:rFonts w:ascii="Cambria" w:hAnsi="Cambria" w:cs="Cambria"/>
          <w:b/>
          <w:bCs/>
          <w:i/>
          <w:iCs/>
        </w:rPr>
        <w:t>Důsledky porušení podmínek poskytnutí podpory</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24"/>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V případě jakéhokoliv porušení povinností hlavním příjemcem je poskytovatel oprávněn pozastavit poskytování podpory a neposkytnout příslušnou část podpory ve stanovených lhůtách.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24"/>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Porušení povinností hlavním příjemcem stanovených v čl. 4 odst. 1 se považuje za porušení rozpočtové kázně a má za následek podání podnětu k zahájení řízení o porušení rozpočtové kázně s tím, že </w:t>
      </w:r>
    </w:p>
    <w:p w:rsidR="001E2BB3" w:rsidRDefault="00E83CAF">
      <w:pPr>
        <w:widowControl w:val="0"/>
        <w:numPr>
          <w:ilvl w:val="1"/>
          <w:numId w:val="24"/>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a) se odvádí 100% takto neoprávněně použité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4"/>
        </w:numPr>
        <w:tabs>
          <w:tab w:val="clear" w:pos="1440"/>
          <w:tab w:val="num" w:pos="664"/>
        </w:tabs>
        <w:overflowPunct w:val="0"/>
        <w:autoSpaceDE w:val="0"/>
        <w:autoSpaceDN w:val="0"/>
        <w:adjustRightInd w:val="0"/>
        <w:spacing w:after="0" w:line="482" w:lineRule="auto"/>
        <w:ind w:left="664" w:hanging="370"/>
        <w:jc w:val="both"/>
        <w:rPr>
          <w:rFonts w:ascii="Cambria" w:hAnsi="Cambria" w:cs="Cambria"/>
        </w:rPr>
      </w:pPr>
      <w:r>
        <w:rPr>
          <w:rFonts w:ascii="Cambria" w:hAnsi="Cambria" w:cs="Cambria"/>
        </w:rPr>
        <w:t xml:space="preserve">podle písm. b) se odvádí 100% poskytnuté podpory určené k dosažení toho výsledku, kterého nebylo dosaženo,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15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7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6" w:name="page39"/>
      <w:bookmarkEnd w:id="16"/>
      <w:r>
        <w:rPr>
          <w:noProof/>
        </w:rPr>
        <w:drawing>
          <wp:anchor distT="0" distB="0" distL="114300" distR="114300" simplePos="0" relativeHeight="25170432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c) se odvádí 5 % příslušné části podpory nepřevedené dalšímu účastníku,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podle písm. d) se odvádí 100 % takto nevrácené příslušné části podpory a její části vrácené v dalším kalendářním roce nad rámec povolených procentuálních limitů,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e) se odvádí 100% veškeré dosud poskytnuté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f) se odvádí 100% částky odpovídající stanovené smluvní pokutě,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g) se odvádí 100% veškeré dosud poskytnuté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h) se odvádí 5 % veškeré dosud poskytnuté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i) se odvádí 100 % celkové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j) se odvádí 100 % celkové podpory,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25"/>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podle písm. k) se odvádí 5 % veškeré dosud poskytnuté podpory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Porušení povinností hlavním příjemcem stanovených v čl. 4 odst. 2 má za následek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1"/>
          <w:numId w:val="26"/>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podle písm. a) smluvní pokutu ve výši 5.000,- Kč za každý byť započatý měsíc prodlení, maximálně však 50.000 Kč,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6"/>
        </w:numPr>
        <w:tabs>
          <w:tab w:val="clear" w:pos="1440"/>
          <w:tab w:val="num" w:pos="664"/>
        </w:tabs>
        <w:overflowPunct w:val="0"/>
        <w:autoSpaceDE w:val="0"/>
        <w:autoSpaceDN w:val="0"/>
        <w:adjustRightInd w:val="0"/>
        <w:spacing w:after="0" w:line="240" w:lineRule="auto"/>
        <w:ind w:left="664" w:hanging="370"/>
        <w:jc w:val="both"/>
        <w:rPr>
          <w:rFonts w:ascii="Cambria" w:hAnsi="Cambria" w:cs="Cambria"/>
          <w:sz w:val="21"/>
          <w:szCs w:val="21"/>
        </w:rPr>
      </w:pPr>
      <w:r>
        <w:rPr>
          <w:rFonts w:ascii="Cambria" w:hAnsi="Cambria" w:cs="Cambria"/>
          <w:sz w:val="21"/>
          <w:szCs w:val="21"/>
        </w:rPr>
        <w:t xml:space="preserve">podle písm. b) povinnost uhradit smluvní pokutu ve výši 5.000,- Kč za každé takové jednotlivé porušení </w:t>
      </w:r>
    </w:p>
    <w:p w:rsidR="001E2BB3" w:rsidRDefault="001E2BB3">
      <w:pPr>
        <w:widowControl w:val="0"/>
        <w:autoSpaceDE w:val="0"/>
        <w:autoSpaceDN w:val="0"/>
        <w:adjustRightInd w:val="0"/>
        <w:spacing w:after="0" w:line="188" w:lineRule="exact"/>
        <w:rPr>
          <w:rFonts w:ascii="Cambria" w:hAnsi="Cambria" w:cs="Cambria"/>
          <w:sz w:val="21"/>
          <w:szCs w:val="21"/>
        </w:rPr>
      </w:pPr>
    </w:p>
    <w:p w:rsidR="001E2BB3" w:rsidRDefault="00E83CAF">
      <w:pPr>
        <w:widowControl w:val="0"/>
        <w:numPr>
          <w:ilvl w:val="1"/>
          <w:numId w:val="26"/>
        </w:numPr>
        <w:tabs>
          <w:tab w:val="clear" w:pos="1440"/>
          <w:tab w:val="num" w:pos="664"/>
        </w:tabs>
        <w:overflowPunct w:val="0"/>
        <w:autoSpaceDE w:val="0"/>
        <w:autoSpaceDN w:val="0"/>
        <w:adjustRightInd w:val="0"/>
        <w:spacing w:after="0" w:line="240" w:lineRule="auto"/>
        <w:ind w:left="664" w:hanging="370"/>
        <w:jc w:val="both"/>
        <w:rPr>
          <w:rFonts w:ascii="Cambria" w:hAnsi="Cambria" w:cs="Cambria"/>
          <w:sz w:val="21"/>
          <w:szCs w:val="21"/>
        </w:rPr>
      </w:pPr>
      <w:r>
        <w:rPr>
          <w:rFonts w:ascii="Cambria" w:hAnsi="Cambria" w:cs="Cambria"/>
          <w:sz w:val="21"/>
          <w:szCs w:val="21"/>
        </w:rPr>
        <w:t xml:space="preserve">podle písm. c) povinnost uhradit smluvní pokutu ve výši 5.000 Kč,- za každé takové jednotlivé porušení, </w:t>
      </w:r>
    </w:p>
    <w:p w:rsidR="001E2BB3" w:rsidRDefault="001E2BB3">
      <w:pPr>
        <w:widowControl w:val="0"/>
        <w:autoSpaceDE w:val="0"/>
        <w:autoSpaceDN w:val="0"/>
        <w:adjustRightInd w:val="0"/>
        <w:spacing w:after="0" w:line="188" w:lineRule="exact"/>
        <w:rPr>
          <w:rFonts w:ascii="Cambria" w:hAnsi="Cambria" w:cs="Cambria"/>
          <w:sz w:val="21"/>
          <w:szCs w:val="21"/>
        </w:rPr>
      </w:pPr>
    </w:p>
    <w:p w:rsidR="001E2BB3" w:rsidRDefault="00E83CAF">
      <w:pPr>
        <w:widowControl w:val="0"/>
        <w:numPr>
          <w:ilvl w:val="1"/>
          <w:numId w:val="26"/>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podle písm. d) povinnost uhradit smluvní pokutu ve výši 1.000 Kč,- za každý byť započatý den prodlení, maximálně však 50.000 Kč,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6"/>
        </w:numPr>
        <w:tabs>
          <w:tab w:val="clear" w:pos="1440"/>
          <w:tab w:val="num" w:pos="664"/>
        </w:tabs>
        <w:overflowPunct w:val="0"/>
        <w:autoSpaceDE w:val="0"/>
        <w:autoSpaceDN w:val="0"/>
        <w:adjustRightInd w:val="0"/>
        <w:spacing w:after="0" w:line="240" w:lineRule="auto"/>
        <w:ind w:left="664" w:hanging="370"/>
        <w:jc w:val="both"/>
        <w:rPr>
          <w:rFonts w:ascii="Cambria" w:hAnsi="Cambria" w:cs="Cambria"/>
          <w:sz w:val="21"/>
          <w:szCs w:val="21"/>
        </w:rPr>
      </w:pPr>
      <w:r>
        <w:rPr>
          <w:rFonts w:ascii="Cambria" w:hAnsi="Cambria" w:cs="Cambria"/>
          <w:sz w:val="21"/>
          <w:szCs w:val="21"/>
        </w:rPr>
        <w:t xml:space="preserve">podle písm. e) povinnost uhradit smluvní pokutu ve výši 5.000 Kč,- za každé takové jednotlivé porušení, </w:t>
      </w:r>
    </w:p>
    <w:p w:rsidR="001E2BB3" w:rsidRDefault="001E2BB3">
      <w:pPr>
        <w:widowControl w:val="0"/>
        <w:autoSpaceDE w:val="0"/>
        <w:autoSpaceDN w:val="0"/>
        <w:adjustRightInd w:val="0"/>
        <w:spacing w:after="0" w:line="188" w:lineRule="exact"/>
        <w:rPr>
          <w:rFonts w:ascii="Cambria" w:hAnsi="Cambria" w:cs="Cambria"/>
          <w:sz w:val="21"/>
          <w:szCs w:val="21"/>
        </w:rPr>
      </w:pPr>
    </w:p>
    <w:p w:rsidR="001E2BB3" w:rsidRDefault="00E83CAF">
      <w:pPr>
        <w:widowControl w:val="0"/>
        <w:numPr>
          <w:ilvl w:val="1"/>
          <w:numId w:val="26"/>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podle písm. f) povinnost uhradit smluvní pokutu ve výši 10.000 Kč,- za každé takové jednotlivé porušení,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6"/>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podle písm. g) povinnost uhradit smluvní pokutu ve výši 10.000 Kč,- za každé takové jednotlivé porušení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26"/>
        </w:numPr>
        <w:tabs>
          <w:tab w:val="clear" w:pos="1440"/>
          <w:tab w:val="num" w:pos="664"/>
        </w:tabs>
        <w:overflowPunct w:val="0"/>
        <w:autoSpaceDE w:val="0"/>
        <w:autoSpaceDN w:val="0"/>
        <w:adjustRightInd w:val="0"/>
        <w:spacing w:after="0" w:line="240" w:lineRule="auto"/>
        <w:ind w:left="664" w:hanging="370"/>
        <w:jc w:val="both"/>
        <w:rPr>
          <w:rFonts w:ascii="Cambria" w:hAnsi="Cambria" w:cs="Cambria"/>
          <w:sz w:val="21"/>
          <w:szCs w:val="21"/>
        </w:rPr>
      </w:pPr>
      <w:r>
        <w:rPr>
          <w:rFonts w:ascii="Cambria" w:hAnsi="Cambria" w:cs="Cambria"/>
          <w:sz w:val="21"/>
          <w:szCs w:val="21"/>
        </w:rPr>
        <w:t xml:space="preserve">podle písm. h) povinnost uhradit smluvní pokutu ve výši 5.000 Kč,- za každé takové jednotlivé porušení. </w:t>
      </w:r>
    </w:p>
    <w:p w:rsidR="001E2BB3" w:rsidRDefault="001E2BB3">
      <w:pPr>
        <w:widowControl w:val="0"/>
        <w:autoSpaceDE w:val="0"/>
        <w:autoSpaceDN w:val="0"/>
        <w:adjustRightInd w:val="0"/>
        <w:spacing w:after="0" w:line="188" w:lineRule="exact"/>
        <w:rPr>
          <w:rFonts w:ascii="Cambria" w:hAnsi="Cambria" w:cs="Cambria"/>
          <w:sz w:val="21"/>
          <w:szCs w:val="21"/>
        </w:rPr>
      </w:pPr>
    </w:p>
    <w:p w:rsidR="001E2BB3" w:rsidRDefault="00E83CAF">
      <w:pPr>
        <w:widowControl w:val="0"/>
        <w:numPr>
          <w:ilvl w:val="0"/>
          <w:numId w:val="26"/>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Porušení některé z povinností dalším účastníkem má za následek uplatnění příslušných ustanovení podle tohoto článku vůči hlavnímu příjemci.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26"/>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Odstoupení od Smlouvy nemá vliv na uplatnění ostatních příslušných ustanovení podle tohoto článku.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0"/>
          <w:numId w:val="26"/>
        </w:numPr>
        <w:tabs>
          <w:tab w:val="clear" w:pos="720"/>
          <w:tab w:val="num" w:pos="364"/>
        </w:tabs>
        <w:overflowPunct w:val="0"/>
        <w:autoSpaceDE w:val="0"/>
        <w:autoSpaceDN w:val="0"/>
        <w:adjustRightInd w:val="0"/>
        <w:spacing w:after="0" w:line="320" w:lineRule="auto"/>
        <w:ind w:left="364" w:hanging="364"/>
        <w:jc w:val="both"/>
        <w:rPr>
          <w:rFonts w:ascii="Cambria" w:hAnsi="Cambria" w:cs="Cambria"/>
          <w:b/>
          <w:bCs/>
        </w:rPr>
      </w:pPr>
      <w:r>
        <w:rPr>
          <w:rFonts w:ascii="Cambria" w:hAnsi="Cambria" w:cs="Cambria"/>
        </w:rPr>
        <w:t xml:space="preserve">Hlavní příjemce bere na vědomí, že pokud soustavně porušuje své povinnosti nebo porušení vyhodnotí poskytovatel jako závažné, je poskytovatel oprávněn vyloučit návrhy projektů podané hlavním příjemcem do veřejných soutěží nebo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 Poskytovatel takto příslušný subjekt upozorní o uplatnění tohoto článku kdykoliv v budoucnu, avšak v dostatečném předstihu tak, aby nedocházelo k marnému podání návrhu projektu tímto subjektem jako hlavním uchazečem nebo dalším účastníkem.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8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7" w:name="page41"/>
      <w:bookmarkEnd w:id="17"/>
      <w:r>
        <w:rPr>
          <w:noProof/>
        </w:rPr>
        <w:drawing>
          <wp:anchor distT="0" distB="0" distL="114300" distR="114300" simplePos="0" relativeHeight="25170534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27"/>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této Smlouvy.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27"/>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Jednotlivé smluvní pokuty stanovené podle tohoto článku se sčítají, maximálně však do výše odpovídající maximální výši podpory stanovené ve Smlouvě.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27"/>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Pokud hlavní příjemce předpokládá, že nebude schopen splnit některou z výše uvedených povinností, je oprávněn nejpozději do lhůty jejího splnění podat žádost o změnu v souladu se směrnicí </w:t>
      </w:r>
      <w:r>
        <w:rPr>
          <w:rFonts w:ascii="Cambria" w:hAnsi="Cambria" w:cs="Cambria"/>
          <w:b/>
          <w:bCs/>
        </w:rPr>
        <w:t>SME-07</w:t>
      </w:r>
      <w:r>
        <w:rPr>
          <w:rFonts w:ascii="Cambria" w:hAnsi="Cambria" w:cs="Cambria"/>
        </w:rPr>
        <w:t xml:space="preserve"> </w:t>
      </w:r>
      <w:r>
        <w:rPr>
          <w:rFonts w:ascii="Cambria" w:hAnsi="Cambria" w:cs="Cambria"/>
          <w:b/>
          <w:bCs/>
        </w:rPr>
        <w:t xml:space="preserve">Směrnice pro změnová řízení projektů </w:t>
      </w:r>
      <w:r>
        <w:rPr>
          <w:rFonts w:ascii="Cambria" w:hAnsi="Cambria" w:cs="Cambria"/>
        </w:rPr>
        <w:t>u takové změny, která je touto směrnicí umožněna, anebo</w:t>
      </w:r>
      <w:r>
        <w:rPr>
          <w:rFonts w:ascii="Cambria" w:hAnsi="Cambria" w:cs="Cambria"/>
          <w:b/>
          <w:bCs/>
        </w:rPr>
        <w:t xml:space="preserve"> </w:t>
      </w:r>
      <w:r>
        <w:rPr>
          <w:rFonts w:ascii="Cambria" w:hAnsi="Cambria" w:cs="Cambria"/>
        </w:rPr>
        <w:t xml:space="preserve">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kladném rozhodnutí podle této směrnice stanovit hlavnímu příjemci povinnost vrátit příslušnou část podpory (např. na základě žádosti o redukci výsledků). </w:t>
      </w:r>
    </w:p>
    <w:p w:rsidR="001E2BB3" w:rsidRDefault="001E2BB3">
      <w:pPr>
        <w:widowControl w:val="0"/>
        <w:autoSpaceDE w:val="0"/>
        <w:autoSpaceDN w:val="0"/>
        <w:adjustRightInd w:val="0"/>
        <w:spacing w:after="0" w:line="5" w:lineRule="exact"/>
        <w:rPr>
          <w:rFonts w:ascii="Cambria" w:hAnsi="Cambria" w:cs="Cambria"/>
          <w:b/>
          <w:bCs/>
        </w:rPr>
      </w:pPr>
    </w:p>
    <w:p w:rsidR="001E2BB3" w:rsidRDefault="00E83CAF">
      <w:pPr>
        <w:widowControl w:val="0"/>
        <w:numPr>
          <w:ilvl w:val="0"/>
          <w:numId w:val="27"/>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Žádost nebo vyjádření podle předchozího odstavce podané později staví lhůtu pro počítání smluvních pokut podle dnů, týdnů či měsíců, nebo stanovenou lhůtu k nápravě.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27"/>
        </w:numPr>
        <w:tabs>
          <w:tab w:val="clear" w:pos="720"/>
          <w:tab w:val="num" w:pos="364"/>
        </w:tabs>
        <w:overflowPunct w:val="0"/>
        <w:autoSpaceDE w:val="0"/>
        <w:autoSpaceDN w:val="0"/>
        <w:adjustRightInd w:val="0"/>
        <w:spacing w:after="0" w:line="307" w:lineRule="auto"/>
        <w:ind w:left="364" w:hanging="364"/>
        <w:jc w:val="both"/>
        <w:rPr>
          <w:rFonts w:ascii="Cambria" w:hAnsi="Cambria" w:cs="Cambria"/>
          <w:b/>
          <w:bCs/>
        </w:rPr>
      </w:pPr>
      <w:r>
        <w:rPr>
          <w:rFonts w:ascii="Cambria" w:hAnsi="Cambria" w:cs="Cambria"/>
        </w:rPr>
        <w:t xml:space="preserve">Smluvní strany si budou počínat tak, aby v zájmu zachování řešení projektu předešli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ZPVV. Poskytovatel si zároveň vyhrazuje právo k jednání s dalšími účastníky o pokračování v řešení projektu, pokud své povinnosti porušuje nebo pravděpodobně poruší hlavní příjemce, nebo přestal splňovat podmínky kvalifikace podle § 18 odst. 2 ZPVV. Tímto odstavcem nejsou dotčeny povinnosti hlavního příjemce nést následky porušení povinností podle tohoto článku. </w:t>
      </w:r>
    </w:p>
    <w:p w:rsidR="001E2BB3" w:rsidRDefault="00E83CAF">
      <w:pPr>
        <w:widowControl w:val="0"/>
        <w:numPr>
          <w:ilvl w:val="0"/>
          <w:numId w:val="27"/>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 </w:t>
      </w:r>
    </w:p>
    <w:p w:rsidR="001E2BB3" w:rsidRDefault="001E2BB3">
      <w:pPr>
        <w:widowControl w:val="0"/>
        <w:autoSpaceDE w:val="0"/>
        <w:autoSpaceDN w:val="0"/>
        <w:adjustRightInd w:val="0"/>
        <w:spacing w:after="0" w:line="7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24"/>
        <w:rPr>
          <w:rFonts w:ascii="Times New Roman" w:hAnsi="Times New Roman" w:cs="Times New Roman"/>
          <w:sz w:val="24"/>
          <w:szCs w:val="24"/>
        </w:rPr>
      </w:pPr>
      <w:r>
        <w:rPr>
          <w:rFonts w:ascii="Cambria" w:hAnsi="Cambria" w:cs="Cambria"/>
          <w:b/>
          <w:bCs/>
          <w:i/>
          <w:iCs/>
        </w:rPr>
        <w:t>Článek 6</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284"/>
        <w:rPr>
          <w:rFonts w:ascii="Times New Roman" w:hAnsi="Times New Roman" w:cs="Times New Roman"/>
          <w:sz w:val="24"/>
          <w:szCs w:val="24"/>
        </w:rPr>
      </w:pPr>
      <w:r>
        <w:rPr>
          <w:rFonts w:ascii="Cambria" w:hAnsi="Cambria" w:cs="Cambria"/>
          <w:b/>
          <w:bCs/>
          <w:i/>
          <w:iCs/>
        </w:rPr>
        <w:t>Smlouva o účasti na řešení projektu</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28"/>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Smlouva o účasti na řešení projektu slouží jako nástroj hlavního příjemce k zajištění dodržování výše uvedených povinností i dalšími účastníky.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28"/>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Smlouva o účasti na řešení projektu musí být písemná a jejím obsahem je zejména </w:t>
      </w:r>
    </w:p>
    <w:p w:rsidR="001E2BB3" w:rsidRDefault="001E2BB3">
      <w:pPr>
        <w:widowControl w:val="0"/>
        <w:autoSpaceDE w:val="0"/>
        <w:autoSpaceDN w:val="0"/>
        <w:adjustRightInd w:val="0"/>
        <w:spacing w:after="0" w:line="164" w:lineRule="exact"/>
        <w:rPr>
          <w:rFonts w:ascii="Times New Roman" w:hAnsi="Times New Roman" w:cs="Times New Roman"/>
          <w:sz w:val="24"/>
          <w:szCs w:val="24"/>
        </w:rPr>
      </w:pPr>
    </w:p>
    <w:p w:rsidR="001E2BB3" w:rsidRDefault="00E83CAF">
      <w:pPr>
        <w:widowControl w:val="0"/>
        <w:tabs>
          <w:tab w:val="left" w:pos="643"/>
        </w:tabs>
        <w:overflowPunct w:val="0"/>
        <w:autoSpaceDE w:val="0"/>
        <w:autoSpaceDN w:val="0"/>
        <w:adjustRightInd w:val="0"/>
        <w:spacing w:after="0" w:line="356" w:lineRule="auto"/>
        <w:ind w:left="664" w:hanging="360"/>
        <w:jc w:val="both"/>
        <w:rPr>
          <w:rFonts w:ascii="Times New Roman" w:hAnsi="Times New Roman" w:cs="Times New Roman"/>
          <w:sz w:val="24"/>
          <w:szCs w:val="24"/>
        </w:rPr>
      </w:pPr>
      <w:r>
        <w:rPr>
          <w:rFonts w:ascii="Cambria" w:hAnsi="Cambria" w:cs="Cambria"/>
        </w:rPr>
        <w:t>a)</w:t>
      </w:r>
      <w:r>
        <w:rPr>
          <w:rFonts w:ascii="Times New Roman" w:hAnsi="Times New Roman" w:cs="Times New Roman"/>
          <w:sz w:val="24"/>
          <w:szCs w:val="24"/>
        </w:rPr>
        <w:tab/>
      </w:r>
      <w:r>
        <w:rPr>
          <w:rFonts w:ascii="Cambria" w:hAnsi="Cambria" w:cs="Cambria"/>
        </w:rPr>
        <w:t>rozdělení práv k výsledkům, které vychází ze Závazných parametrů řešení projektu (přístup k výsledkům projektu a kapacitám a rozdělení práv k výsledkům projektu) a zároveň respektuje zákaz nepřímé státní podpory dle Rámce, tj. při stanovení spoluvlastnického poměru se úměrně přihlíží k poměru nákladů jednotlivých příjemců tak, aby nedocházelo k zakázané nepřímé státní podpoře,</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3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9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8" w:name="page43"/>
      <w:bookmarkEnd w:id="18"/>
      <w:r>
        <w:rPr>
          <w:noProof/>
        </w:rPr>
        <w:drawing>
          <wp:anchor distT="0" distB="0" distL="114300" distR="114300" simplePos="0" relativeHeight="25170636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29"/>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úprava, řízení a kontrola vnesených a během řešení projektu pořízených či vytvořených práv, která jsou nezbytná pro řešení projektu,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29"/>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závazek k dodržování povinností podle článku 4 i dalšími účastníky popř. k provádění veškeré potřebné součinnosti za účelem dodržení těchto povinností hlavním příjemcem,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29"/>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závazek hlavního příjemce k převodu příslušné části podpory ze svého bankovního účtu na bankovní účty dalších účastníků včetně stanovení lhůty k tomuto převodu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29"/>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závazek smluvních stran k mlčenlivosti ohledně veškerých informací vztahujících se k řešení projektu včetně jeho návrhu tak, aby nebyly ohroženy výsledky a cíle jeho řešení, </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48" w:lineRule="auto"/>
        <w:ind w:left="364"/>
        <w:rPr>
          <w:rFonts w:ascii="Times New Roman" w:hAnsi="Times New Roman" w:cs="Times New Roman"/>
          <w:sz w:val="24"/>
          <w:szCs w:val="24"/>
        </w:rPr>
      </w:pPr>
      <w:r>
        <w:rPr>
          <w:rFonts w:ascii="Cambria" w:hAnsi="Cambria" w:cs="Cambria"/>
        </w:rPr>
        <w:t>přičemž v případě veřejné zakázky ve výzkumu, vývoji a inovacích jsou povinné náležitosti smlouvy o účasti na řešení projektu stanoveny příslušnou zadávací dokumentací.</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numPr>
          <w:ilvl w:val="0"/>
          <w:numId w:val="30"/>
        </w:numPr>
        <w:tabs>
          <w:tab w:val="clear" w:pos="720"/>
          <w:tab w:val="num" w:pos="364"/>
        </w:tabs>
        <w:overflowPunct w:val="0"/>
        <w:autoSpaceDE w:val="0"/>
        <w:autoSpaceDN w:val="0"/>
        <w:adjustRightInd w:val="0"/>
        <w:spacing w:after="0" w:line="376" w:lineRule="auto"/>
        <w:ind w:left="364" w:hanging="364"/>
        <w:jc w:val="both"/>
        <w:rPr>
          <w:rFonts w:ascii="Cambria" w:hAnsi="Cambria" w:cs="Cambria"/>
          <w:b/>
          <w:bCs/>
          <w:sz w:val="21"/>
          <w:szCs w:val="21"/>
        </w:rPr>
      </w:pPr>
      <w:r>
        <w:rPr>
          <w:rFonts w:ascii="Cambria" w:hAnsi="Cambria" w:cs="Cambria"/>
          <w:sz w:val="21"/>
          <w:szCs w:val="21"/>
        </w:rPr>
        <w:t xml:space="preserve">Smlouva o účasti na řešení projektu může být předmětem hodnocení v rámci některého hodnotícího procesu nebo kontroly v rámci veřejnosprávní kontroly, pokud tak poskytovatel stanoví. Poskytovatel stanoví v příslušném opatření k nápravě, aby hlavní příjemce zajistil změnu smlouvy o účasti na řešení projektu, pokud ta bude v rozporu s pravidly poskytnutí podpory anebo se schváleným návrhem projektu. </w:t>
      </w:r>
    </w:p>
    <w:p w:rsidR="001E2BB3" w:rsidRDefault="001E2BB3">
      <w:pPr>
        <w:widowControl w:val="0"/>
        <w:autoSpaceDE w:val="0"/>
        <w:autoSpaceDN w:val="0"/>
        <w:adjustRightInd w:val="0"/>
        <w:spacing w:after="0" w:line="2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24"/>
        <w:rPr>
          <w:rFonts w:ascii="Times New Roman" w:hAnsi="Times New Roman" w:cs="Times New Roman"/>
          <w:sz w:val="24"/>
          <w:szCs w:val="24"/>
        </w:rPr>
      </w:pPr>
      <w:r>
        <w:rPr>
          <w:rFonts w:ascii="Cambria" w:hAnsi="Cambria" w:cs="Cambria"/>
          <w:b/>
          <w:bCs/>
          <w:i/>
          <w:iCs/>
        </w:rPr>
        <w:t>Článek 7</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04"/>
        <w:rPr>
          <w:rFonts w:ascii="Times New Roman" w:hAnsi="Times New Roman" w:cs="Times New Roman"/>
          <w:sz w:val="24"/>
          <w:szCs w:val="24"/>
        </w:rPr>
      </w:pPr>
      <w:r>
        <w:rPr>
          <w:rFonts w:ascii="Cambria" w:hAnsi="Cambria" w:cs="Cambria"/>
          <w:b/>
          <w:bCs/>
          <w:i/>
          <w:iCs/>
        </w:rPr>
        <w:t>Výpověď</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1"/>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Poskytovatel je oprávněn vypovědět Smlouvu v případě, že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31"/>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hlavní příjemce či další účastník přestal splňovat podmínky kvalifikace podle § 18 odst. 2 ZPVV, s výjimkou pravomocného odsouzení pro trestný čin dotýkající se splnění podmínek pro poskytnutí podpory,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31"/>
        </w:numPr>
        <w:tabs>
          <w:tab w:val="clear" w:pos="1440"/>
          <w:tab w:val="num" w:pos="664"/>
        </w:tabs>
        <w:overflowPunct w:val="0"/>
        <w:autoSpaceDE w:val="0"/>
        <w:autoSpaceDN w:val="0"/>
        <w:adjustRightInd w:val="0"/>
        <w:spacing w:after="0" w:line="315" w:lineRule="auto"/>
        <w:ind w:left="664" w:hanging="370"/>
        <w:jc w:val="both"/>
        <w:rPr>
          <w:rFonts w:ascii="Cambria" w:hAnsi="Cambria" w:cs="Cambria"/>
        </w:rPr>
      </w:pPr>
      <w:r>
        <w:rPr>
          <w:rFonts w:ascii="Cambria" w:hAnsi="Cambria" w:cs="Cambria"/>
        </w:rPr>
        <w:t xml:space="preserve">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1"/>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je zřejmé, že postup při řešení projektu nevede k očekávaným výsledkům v důsledku skutečností hlavním příjemcem nezaviněných,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1"/>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dojde v důsledku rozpočtového provizoria nebo krácení prostředků ze státního rozpočtu k regulaci čerpání státního rozpočtu nebo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1"/>
        </w:numPr>
        <w:tabs>
          <w:tab w:val="clear" w:pos="1440"/>
          <w:tab w:val="num" w:pos="664"/>
        </w:tabs>
        <w:overflowPunct w:val="0"/>
        <w:autoSpaceDE w:val="0"/>
        <w:autoSpaceDN w:val="0"/>
        <w:adjustRightInd w:val="0"/>
        <w:spacing w:after="0" w:line="321" w:lineRule="auto"/>
        <w:ind w:left="664" w:hanging="370"/>
        <w:jc w:val="both"/>
        <w:rPr>
          <w:rFonts w:ascii="Cambria" w:hAnsi="Cambria" w:cs="Cambria"/>
        </w:rPr>
      </w:pPr>
      <w:r>
        <w:rPr>
          <w:rFonts w:ascii="Cambria" w:hAnsi="Cambria" w:cs="Cambria"/>
        </w:rPr>
        <w:t xml:space="preserve">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 </w:t>
      </w:r>
    </w:p>
    <w:p w:rsidR="001E2BB3" w:rsidRDefault="00E83CAF">
      <w:pPr>
        <w:widowControl w:val="0"/>
        <w:numPr>
          <w:ilvl w:val="0"/>
          <w:numId w:val="31"/>
        </w:numPr>
        <w:tabs>
          <w:tab w:val="clear" w:pos="720"/>
          <w:tab w:val="num" w:pos="364"/>
        </w:tabs>
        <w:overflowPunct w:val="0"/>
        <w:autoSpaceDE w:val="0"/>
        <w:autoSpaceDN w:val="0"/>
        <w:adjustRightInd w:val="0"/>
        <w:spacing w:after="0" w:line="356" w:lineRule="auto"/>
        <w:ind w:left="364" w:hanging="364"/>
        <w:jc w:val="both"/>
        <w:rPr>
          <w:rFonts w:ascii="Cambria" w:hAnsi="Cambria" w:cs="Cambria"/>
          <w:b/>
          <w:bCs/>
        </w:rPr>
      </w:pPr>
      <w:r>
        <w:rPr>
          <w:rFonts w:ascii="Cambria" w:hAnsi="Cambria" w:cs="Cambria"/>
        </w:rPr>
        <w:t xml:space="preserve">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10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19" w:name="page45"/>
      <w:bookmarkEnd w:id="19"/>
      <w:r>
        <w:rPr>
          <w:noProof/>
        </w:rPr>
        <w:drawing>
          <wp:anchor distT="0" distB="0" distL="114300" distR="114300" simplePos="0" relativeHeight="25170739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
        <w:rPr>
          <w:rFonts w:ascii="Times New Roman" w:hAnsi="Times New Roman" w:cs="Times New Roman"/>
          <w:sz w:val="24"/>
          <w:szCs w:val="24"/>
        </w:rPr>
      </w:pPr>
      <w:r>
        <w:rPr>
          <w:rFonts w:ascii="Cambria" w:hAnsi="Cambria" w:cs="Cambria"/>
          <w:b/>
          <w:bCs/>
        </w:rPr>
        <w:t xml:space="preserve">3.  </w:t>
      </w:r>
      <w:r>
        <w:rPr>
          <w:rFonts w:ascii="Cambria" w:hAnsi="Cambria" w:cs="Cambria"/>
        </w:rPr>
        <w:t>Výpověď nabývá účinnosti dnem doručení písemné a odůvodněné výpovědi hlavnímu příjemci.</w:t>
      </w:r>
    </w:p>
    <w:p w:rsidR="001E2BB3" w:rsidRDefault="001E2BB3">
      <w:pPr>
        <w:widowControl w:val="0"/>
        <w:autoSpaceDE w:val="0"/>
        <w:autoSpaceDN w:val="0"/>
        <w:adjustRightInd w:val="0"/>
        <w:spacing w:after="0" w:line="36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624"/>
        <w:rPr>
          <w:rFonts w:ascii="Times New Roman" w:hAnsi="Times New Roman" w:cs="Times New Roman"/>
          <w:sz w:val="24"/>
          <w:szCs w:val="24"/>
        </w:rPr>
      </w:pPr>
      <w:r>
        <w:rPr>
          <w:rFonts w:ascii="Cambria" w:hAnsi="Cambria" w:cs="Cambria"/>
          <w:b/>
          <w:bCs/>
          <w:i/>
          <w:iCs/>
        </w:rPr>
        <w:t>Článek 8</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464"/>
        <w:rPr>
          <w:rFonts w:ascii="Times New Roman" w:hAnsi="Times New Roman" w:cs="Times New Roman"/>
          <w:sz w:val="24"/>
          <w:szCs w:val="24"/>
        </w:rPr>
      </w:pPr>
      <w:r>
        <w:rPr>
          <w:rFonts w:ascii="Cambria" w:hAnsi="Cambria" w:cs="Cambria"/>
          <w:b/>
          <w:bCs/>
          <w:i/>
          <w:iCs/>
        </w:rPr>
        <w:t>Odstoupení</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2"/>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Poskytovatel od Smlouvy odstoupí v případě, že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hlavní příjemce anebo další účastník se dopustil jednání (včetně nečinnosti v případech, kdy měl povinnost jednat), kterým sám porušil pravidla veřejné podpory, nebo v důsledku něhož dojde k porušení pravidel veřejné podpory na straně poskytovatele,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21" w:lineRule="auto"/>
        <w:ind w:left="664" w:hanging="370"/>
        <w:jc w:val="both"/>
        <w:rPr>
          <w:rFonts w:ascii="Cambria" w:hAnsi="Cambria" w:cs="Cambria"/>
        </w:rPr>
      </w:pPr>
      <w:r>
        <w:rPr>
          <w:rFonts w:ascii="Cambria" w:hAnsi="Cambria" w:cs="Cambria"/>
        </w:rPr>
        <w:t xml:space="preserve">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 </w:t>
      </w:r>
    </w:p>
    <w:p w:rsidR="001E2BB3" w:rsidRDefault="00E83CAF">
      <w:pPr>
        <w:widowControl w:val="0"/>
        <w:numPr>
          <w:ilvl w:val="1"/>
          <w:numId w:val="32"/>
        </w:numPr>
        <w:tabs>
          <w:tab w:val="clear" w:pos="1440"/>
          <w:tab w:val="num" w:pos="664"/>
        </w:tabs>
        <w:overflowPunct w:val="0"/>
        <w:autoSpaceDE w:val="0"/>
        <w:autoSpaceDN w:val="0"/>
        <w:adjustRightInd w:val="0"/>
        <w:spacing w:after="0" w:line="365" w:lineRule="auto"/>
        <w:ind w:left="664" w:hanging="370"/>
        <w:jc w:val="both"/>
        <w:rPr>
          <w:rFonts w:ascii="Cambria" w:hAnsi="Cambria" w:cs="Cambria"/>
          <w:sz w:val="21"/>
          <w:szCs w:val="21"/>
        </w:rPr>
      </w:pPr>
      <w:r>
        <w:rPr>
          <w:rFonts w:ascii="Cambria" w:hAnsi="Cambria" w:cs="Cambria"/>
          <w:sz w:val="21"/>
          <w:szCs w:val="21"/>
        </w:rPr>
        <w:t xml:space="preserve">hlavní příjemce porušil některou z povinností podle článku 4, přičemž pokud hlavního příjemce vyzval k nápravě, odstoupí poskytovatel od Smlouvy až po marném uplynutí stanovené lhůty k nápravě, </w:t>
      </w:r>
    </w:p>
    <w:p w:rsidR="001E2BB3" w:rsidRDefault="001E2BB3">
      <w:pPr>
        <w:widowControl w:val="0"/>
        <w:autoSpaceDE w:val="0"/>
        <w:autoSpaceDN w:val="0"/>
        <w:adjustRightInd w:val="0"/>
        <w:spacing w:after="0" w:line="1" w:lineRule="exact"/>
        <w:rPr>
          <w:rFonts w:ascii="Cambria" w:hAnsi="Cambria" w:cs="Cambria"/>
          <w:sz w:val="21"/>
          <w:szCs w:val="21"/>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hlavní příjemce porušil opakovaně 3x některou z povinností, u kterých nejsou dány lhůty pro jejich plnění, ale jejich plnění je podmíněno jinými skutečnostmi,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hlavní příjemce anebo další účastník byl pravomocně odsouzen pro trestný čin týkající se splnění podmínek pro poskytnutí podpory,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15" w:lineRule="auto"/>
        <w:ind w:left="664" w:hanging="370"/>
        <w:jc w:val="both"/>
        <w:rPr>
          <w:rFonts w:ascii="Cambria" w:hAnsi="Cambria" w:cs="Cambria"/>
        </w:rPr>
      </w:pPr>
      <w:r>
        <w:rPr>
          <w:rFonts w:ascii="Cambria" w:hAnsi="Cambria" w:cs="Cambria"/>
        </w:rPr>
        <w:t xml:space="preserve">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je zřejmé, že postup při řešení projektu nevede k očekávaným výsledkům v důsledku skutečností hlavním příjemcem zaviněných (v pochybnostech se použije obdobné ustanovení o výpovědi) nebo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2"/>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u příjemce byly po ukončení platnosti Smlouvy zjištěny na základě provedení některého z kontrolních procesů závažné finanční nesrovnalosti nebo podvod.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32"/>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Poskytovatel není oprávněn odstoupit od smlouvy v případě, kdy porušení povinností hlavním příjemcem bylo způsobeno výlučně nedodržením povinností poskytovatele.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32"/>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Odstoupení nabývá účinnosti dnem doručení písemného a odůvodněného oznámení o odstoupení hlavnímu příjemci.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32"/>
        </w:numPr>
        <w:tabs>
          <w:tab w:val="clear" w:pos="720"/>
          <w:tab w:val="num" w:pos="364"/>
        </w:tabs>
        <w:overflowPunct w:val="0"/>
        <w:autoSpaceDE w:val="0"/>
        <w:autoSpaceDN w:val="0"/>
        <w:adjustRightInd w:val="0"/>
        <w:spacing w:after="0" w:line="438" w:lineRule="auto"/>
        <w:ind w:left="364" w:hanging="364"/>
        <w:jc w:val="both"/>
        <w:rPr>
          <w:rFonts w:ascii="Cambria" w:hAnsi="Cambria" w:cs="Cambria"/>
          <w:b/>
          <w:bCs/>
        </w:rPr>
      </w:pPr>
      <w:r>
        <w:rPr>
          <w:rFonts w:ascii="Cambria" w:hAnsi="Cambria" w:cs="Cambria"/>
        </w:rPr>
        <w:t xml:space="preserve">Odstoupením od Smlouvy nastávají jeho účinky uvedené v § 2004 a 2005 zákona č. 89/2012 Sb., občanský zákoník. </w:t>
      </w:r>
    </w:p>
    <w:p w:rsidR="001E2BB3" w:rsidRDefault="00E83CAF">
      <w:pPr>
        <w:widowControl w:val="0"/>
        <w:autoSpaceDE w:val="0"/>
        <w:autoSpaceDN w:val="0"/>
        <w:adjustRightInd w:val="0"/>
        <w:spacing w:after="0" w:line="240" w:lineRule="auto"/>
        <w:ind w:left="4624"/>
        <w:rPr>
          <w:rFonts w:ascii="Times New Roman" w:hAnsi="Times New Roman" w:cs="Times New Roman"/>
          <w:sz w:val="24"/>
          <w:szCs w:val="24"/>
        </w:rPr>
      </w:pPr>
      <w:r>
        <w:rPr>
          <w:rFonts w:ascii="Cambria" w:hAnsi="Cambria" w:cs="Cambria"/>
          <w:b/>
          <w:bCs/>
          <w:i/>
          <w:iCs/>
        </w:rPr>
        <w:t>Článek 9</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184"/>
        <w:rPr>
          <w:rFonts w:ascii="Times New Roman" w:hAnsi="Times New Roman" w:cs="Times New Roman"/>
          <w:sz w:val="24"/>
          <w:szCs w:val="24"/>
        </w:rPr>
      </w:pPr>
      <w:r>
        <w:rPr>
          <w:rFonts w:ascii="Cambria" w:hAnsi="Cambria" w:cs="Cambria"/>
          <w:b/>
          <w:bCs/>
          <w:i/>
          <w:iCs/>
        </w:rPr>
        <w:t>Příjmy z projektů</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3"/>
        </w:numPr>
        <w:tabs>
          <w:tab w:val="clear" w:pos="720"/>
          <w:tab w:val="num" w:pos="364"/>
        </w:tabs>
        <w:overflowPunct w:val="0"/>
        <w:autoSpaceDE w:val="0"/>
        <w:autoSpaceDN w:val="0"/>
        <w:adjustRightInd w:val="0"/>
        <w:spacing w:after="0" w:line="490" w:lineRule="auto"/>
        <w:ind w:left="364" w:hanging="364"/>
        <w:jc w:val="both"/>
        <w:rPr>
          <w:rFonts w:ascii="Cambria" w:hAnsi="Cambria" w:cs="Cambria"/>
          <w:b/>
          <w:bCs/>
          <w:sz w:val="21"/>
          <w:szCs w:val="21"/>
        </w:rPr>
      </w:pPr>
      <w:r>
        <w:rPr>
          <w:rFonts w:ascii="Cambria" w:hAnsi="Cambria" w:cs="Cambria"/>
          <w:sz w:val="21"/>
          <w:szCs w:val="21"/>
        </w:rPr>
        <w:t xml:space="preserve">Příjmy z projektů jsou jakékoliv příjmy příjemce v souvislosti s řešením projektu s výjimkou veřejné zakázky ve výzkumu, vývoji a inovacích, které by za jiných okolností neměl, a s kterými se v průběhu řešení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8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11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0" w:name="page47"/>
      <w:bookmarkEnd w:id="20"/>
      <w:r>
        <w:rPr>
          <w:noProof/>
        </w:rPr>
        <w:drawing>
          <wp:anchor distT="0" distB="0" distL="114300" distR="114300" simplePos="0" relativeHeight="25170841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7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05" w:lineRule="auto"/>
        <w:ind w:left="364"/>
        <w:jc w:val="both"/>
        <w:rPr>
          <w:rFonts w:ascii="Times New Roman" w:hAnsi="Times New Roman" w:cs="Times New Roman"/>
          <w:sz w:val="24"/>
          <w:szCs w:val="24"/>
        </w:rPr>
      </w:pPr>
      <w:r>
        <w:rPr>
          <w:rFonts w:ascii="Cambria" w:hAnsi="Cambria" w:cs="Cambria"/>
        </w:rPr>
        <w:t>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numPr>
          <w:ilvl w:val="0"/>
          <w:numId w:val="34"/>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Mezi příjmy z projektů lze zahrnout zejména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34"/>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úroky z příslušné části finančních prostředků z poskytnuté podpory po tu dobu, co je uložena na účtu příjemce,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4"/>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jakékoliv komerční využití či jiné zpeněžení majetku pořízeného z podpory, který již nelze využít k samotnému řešení projektu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4"/>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sankce dodavatelům, včetně těch neuplatněných, při pořizování zboží či služeb za účelem řešení projektu popř. jiná náhradní plnění (např. slevy za pozdní dodání).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34"/>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sz w:val="21"/>
          <w:szCs w:val="21"/>
        </w:rPr>
      </w:pPr>
      <w:r>
        <w:rPr>
          <w:rFonts w:ascii="Cambria" w:hAnsi="Cambria" w:cs="Cambria"/>
          <w:sz w:val="21"/>
          <w:szCs w:val="21"/>
        </w:rPr>
        <w:t xml:space="preserve">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Příjemce však neporuší pravidla veřejné podpory ani nebude jednat v rozporu se zásadou řádného hospodáře v případě nezískání úroků, pokud bude mít uložené finanční prostředky z poskytnuté podpory na účtu zřízeném u České národní banky. </w:t>
      </w:r>
    </w:p>
    <w:p w:rsidR="001E2BB3" w:rsidRDefault="001E2BB3">
      <w:pPr>
        <w:widowControl w:val="0"/>
        <w:autoSpaceDE w:val="0"/>
        <w:autoSpaceDN w:val="0"/>
        <w:adjustRightInd w:val="0"/>
        <w:spacing w:after="0" w:line="2" w:lineRule="exact"/>
        <w:rPr>
          <w:rFonts w:ascii="Cambria" w:hAnsi="Cambria" w:cs="Cambria"/>
          <w:b/>
          <w:bCs/>
          <w:sz w:val="21"/>
          <w:szCs w:val="21"/>
        </w:rPr>
      </w:pPr>
    </w:p>
    <w:p w:rsidR="001E2BB3" w:rsidRDefault="00E83CAF">
      <w:pPr>
        <w:widowControl w:val="0"/>
        <w:numPr>
          <w:ilvl w:val="0"/>
          <w:numId w:val="34"/>
        </w:numPr>
        <w:tabs>
          <w:tab w:val="clear" w:pos="720"/>
          <w:tab w:val="num" w:pos="364"/>
        </w:tabs>
        <w:overflowPunct w:val="0"/>
        <w:autoSpaceDE w:val="0"/>
        <w:autoSpaceDN w:val="0"/>
        <w:adjustRightInd w:val="0"/>
        <w:spacing w:after="0" w:line="309" w:lineRule="auto"/>
        <w:ind w:left="364" w:hanging="364"/>
        <w:jc w:val="both"/>
        <w:rPr>
          <w:rFonts w:ascii="Cambria" w:hAnsi="Cambria" w:cs="Cambria"/>
          <w:b/>
          <w:bCs/>
        </w:rPr>
      </w:pPr>
      <w:r>
        <w:rPr>
          <w:rFonts w:ascii="Cambria" w:hAnsi="Cambria" w:cs="Cambria"/>
        </w:rPr>
        <w:t xml:space="preserve">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 </w:t>
      </w:r>
    </w:p>
    <w:p w:rsidR="001E2BB3" w:rsidRDefault="00E83CAF">
      <w:pPr>
        <w:widowControl w:val="0"/>
        <w:numPr>
          <w:ilvl w:val="0"/>
          <w:numId w:val="34"/>
        </w:numPr>
        <w:tabs>
          <w:tab w:val="clear" w:pos="720"/>
          <w:tab w:val="num" w:pos="364"/>
        </w:tabs>
        <w:overflowPunct w:val="0"/>
        <w:autoSpaceDE w:val="0"/>
        <w:autoSpaceDN w:val="0"/>
        <w:adjustRightInd w:val="0"/>
        <w:spacing w:after="0" w:line="348" w:lineRule="auto"/>
        <w:ind w:left="364" w:hanging="364"/>
        <w:jc w:val="both"/>
        <w:rPr>
          <w:rFonts w:ascii="Cambria" w:hAnsi="Cambria" w:cs="Cambria"/>
          <w:b/>
          <w:bCs/>
        </w:rPr>
      </w:pPr>
      <w:r>
        <w:rPr>
          <w:rFonts w:ascii="Cambria" w:hAnsi="Cambria" w:cs="Cambria"/>
        </w:rPr>
        <w:t xml:space="preserve">Za období pro odvod těchto příjmů z projektů se považuje doba řešení projektu a doba 3 let po ukončení řešení.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34"/>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Pokud dojde k příjmům, které byly generovány z majetku pořízeného z podpory v té části, ve které mají být využity k řešení projektu, považují se tyto příjmy za nepovolené s důsledkem porušení rozpočtové kázně příjemce.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34"/>
        </w:numPr>
        <w:tabs>
          <w:tab w:val="clear" w:pos="720"/>
          <w:tab w:val="num" w:pos="364"/>
        </w:tabs>
        <w:overflowPunct w:val="0"/>
        <w:autoSpaceDE w:val="0"/>
        <w:autoSpaceDN w:val="0"/>
        <w:adjustRightInd w:val="0"/>
        <w:spacing w:after="0" w:line="482" w:lineRule="auto"/>
        <w:ind w:left="364" w:hanging="364"/>
        <w:jc w:val="both"/>
        <w:rPr>
          <w:rFonts w:ascii="Cambria" w:hAnsi="Cambria" w:cs="Cambria"/>
          <w:b/>
          <w:bCs/>
        </w:rPr>
      </w:pPr>
      <w:r>
        <w:rPr>
          <w:rFonts w:ascii="Cambria" w:hAnsi="Cambria" w:cs="Cambria"/>
        </w:rPr>
        <w:t xml:space="preserve">Povinnost odvádět se nevztahuje na příjmy, které nedosáhnou za příslušný kalendářní rok 200,-Kč v jednom projektu u jednoho příjemce.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7"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964"/>
        <w:rPr>
          <w:rFonts w:ascii="Times New Roman" w:hAnsi="Times New Roman" w:cs="Times New Roman"/>
          <w:sz w:val="24"/>
          <w:szCs w:val="24"/>
        </w:rPr>
      </w:pPr>
      <w:r>
        <w:rPr>
          <w:rFonts w:ascii="Cambria" w:hAnsi="Cambria" w:cs="Cambria"/>
          <w:b/>
          <w:bCs/>
          <w:sz w:val="28"/>
          <w:szCs w:val="28"/>
        </w:rPr>
        <w:t>Část C – Poskytování informací, mlčenlivost a předkládání zpráv</w:t>
      </w:r>
    </w:p>
    <w:p w:rsidR="001E2BB3" w:rsidRDefault="001E2BB3">
      <w:pPr>
        <w:widowControl w:val="0"/>
        <w:autoSpaceDE w:val="0"/>
        <w:autoSpaceDN w:val="0"/>
        <w:adjustRightInd w:val="0"/>
        <w:spacing w:after="0" w:line="31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10</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264"/>
        <w:rPr>
          <w:rFonts w:ascii="Times New Roman" w:hAnsi="Times New Roman" w:cs="Times New Roman"/>
          <w:sz w:val="24"/>
          <w:szCs w:val="24"/>
        </w:rPr>
      </w:pPr>
      <w:r>
        <w:rPr>
          <w:rFonts w:ascii="Cambria" w:hAnsi="Cambria" w:cs="Cambria"/>
          <w:b/>
          <w:bCs/>
          <w:i/>
          <w:iCs/>
        </w:rPr>
        <w:t>Poskytování informací a mlčenlivost</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5"/>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Poskytovatel zajistí předávání relevantních informací do IS VaVaI v souladu s hlavou VII ZPVV a nařízením vlády č. 397/2009 Sb. o informačním systému výzkumu, experimentálního vývoje a inovací. Za tímto účelem si od příjemce dle potřeby takové informace vyžádá, pokud je již neobdržel na základě jiných skutečností.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3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12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1" w:name="page49"/>
      <w:bookmarkEnd w:id="21"/>
      <w:r>
        <w:rPr>
          <w:noProof/>
        </w:rPr>
        <w:drawing>
          <wp:anchor distT="0" distB="0" distL="114300" distR="114300" simplePos="0" relativeHeight="25170944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71" w:lineRule="exact"/>
        <w:rPr>
          <w:rFonts w:ascii="Times New Roman" w:hAnsi="Times New Roman" w:cs="Times New Roman"/>
          <w:sz w:val="24"/>
          <w:szCs w:val="24"/>
        </w:rPr>
      </w:pPr>
    </w:p>
    <w:p w:rsidR="001E2BB3" w:rsidRDefault="00E83CAF">
      <w:pPr>
        <w:widowControl w:val="0"/>
        <w:numPr>
          <w:ilvl w:val="0"/>
          <w:numId w:val="36"/>
        </w:numPr>
        <w:tabs>
          <w:tab w:val="clear" w:pos="720"/>
          <w:tab w:val="num" w:pos="364"/>
        </w:tabs>
        <w:overflowPunct w:val="0"/>
        <w:autoSpaceDE w:val="0"/>
        <w:autoSpaceDN w:val="0"/>
        <w:adjustRightInd w:val="0"/>
        <w:spacing w:after="0" w:line="286" w:lineRule="auto"/>
        <w:ind w:left="364" w:hanging="364"/>
        <w:jc w:val="both"/>
        <w:rPr>
          <w:rFonts w:ascii="Cambria" w:hAnsi="Cambria" w:cs="Cambria"/>
          <w:b/>
          <w:bCs/>
        </w:rPr>
      </w:pPr>
      <w:r>
        <w:rPr>
          <w:rFonts w:ascii="Cambria" w:hAnsi="Cambria" w:cs="Cambria"/>
        </w:rPr>
        <w:t xml:space="preserve">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36"/>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Smluvní strany zajistí mlčenlivost o všech důvěrných informacích, a pokud byly na základě Smlouvy postoupeny třetí straně (i jiné organizační složce státu), zajistí, aby tyto třetí strany zachovávaly mlčenlivost o těchto informacích, které jim byly poskytnuty jako důvěrné, a používaly je jen k účelům, k nimž jim byly předány.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36"/>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Předchozí odstavec se nevztahuje na informování veřejnosti o tom, že projekt resp. jeho výstupy a výsledky byl nebo je spolufinancován z prostředků poskytovatele a příjemce zároveň postupuje v souladu s dokumentem </w:t>
      </w:r>
      <w:r>
        <w:rPr>
          <w:rFonts w:ascii="Cambria" w:hAnsi="Cambria" w:cs="Cambria"/>
          <w:b/>
          <w:bCs/>
        </w:rPr>
        <w:t>„Pravidla pro publicitu projektů podpořených z prostředků TA ČR“</w:t>
      </w:r>
      <w:r>
        <w:rPr>
          <w:rFonts w:ascii="Times" w:hAnsi="Times" w:cs="Times"/>
        </w:rPr>
        <w:t>.</w:t>
      </w:r>
      <w:r>
        <w:rPr>
          <w:rFonts w:ascii="Cambria" w:hAnsi="Cambria" w:cs="Cambria"/>
        </w:rPr>
        <w:t xml:space="preserve"> </w:t>
      </w:r>
    </w:p>
    <w:p w:rsidR="001E2BB3" w:rsidRDefault="00E83CAF">
      <w:pPr>
        <w:widowControl w:val="0"/>
        <w:numPr>
          <w:ilvl w:val="0"/>
          <w:numId w:val="36"/>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 </w:t>
      </w:r>
    </w:p>
    <w:p w:rsidR="001E2BB3" w:rsidRDefault="00E83CAF">
      <w:pPr>
        <w:widowControl w:val="0"/>
        <w:numPr>
          <w:ilvl w:val="0"/>
          <w:numId w:val="36"/>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 </w:t>
      </w:r>
    </w:p>
    <w:p w:rsidR="001E2BB3" w:rsidRDefault="00E83CAF">
      <w:pPr>
        <w:widowControl w:val="0"/>
        <w:numPr>
          <w:ilvl w:val="0"/>
          <w:numId w:val="36"/>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Smluvní strany jsou povinnosti zachovávat mlčenlivost zproštěny,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36"/>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pokud se obsah informací, které jim byly poskytnuty jako důvěrné, stane veřejně přístupným, a to na základě jiných činností prováděných mimo rámec Smlouvy nebo na základě opatření, která nesouvisí s řešením projektu, nebo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36"/>
        </w:numPr>
        <w:tabs>
          <w:tab w:val="clear" w:pos="1440"/>
          <w:tab w:val="num" w:pos="664"/>
        </w:tabs>
        <w:overflowPunct w:val="0"/>
        <w:autoSpaceDE w:val="0"/>
        <w:autoSpaceDN w:val="0"/>
        <w:adjustRightInd w:val="0"/>
        <w:spacing w:after="0" w:line="438" w:lineRule="auto"/>
        <w:ind w:left="664" w:hanging="370"/>
        <w:jc w:val="both"/>
        <w:rPr>
          <w:rFonts w:ascii="Cambria" w:hAnsi="Cambria" w:cs="Cambria"/>
        </w:rPr>
      </w:pPr>
      <w:r>
        <w:rPr>
          <w:rFonts w:ascii="Cambria" w:hAnsi="Cambria" w:cs="Cambria"/>
        </w:rPr>
        <w:t xml:space="preserve">pokud byl požadavek zachovávat mlčenlivost odvolán těmi, v jejichž prospěch byla tato povinnost stanovena. </w:t>
      </w: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11</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124"/>
        <w:rPr>
          <w:rFonts w:ascii="Times New Roman" w:hAnsi="Times New Roman" w:cs="Times New Roman"/>
          <w:sz w:val="24"/>
          <w:szCs w:val="24"/>
        </w:rPr>
      </w:pPr>
      <w:r>
        <w:rPr>
          <w:rFonts w:ascii="Cambria" w:hAnsi="Cambria" w:cs="Cambria"/>
          <w:b/>
          <w:bCs/>
          <w:i/>
          <w:iCs/>
        </w:rPr>
        <w:t>Předkládání zpráv</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7"/>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Hlavní příjemce předkládá v průběhu řešení projektu a po jeho skončení tyto zprávy: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37"/>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průběžnou zprávu o postupu řešení projektu za každý rok řešení do 15. ledna následujícího kalendářního roku anebo do 15. dne následujícího měsíce po ukončení jiného období či etapy řešení projektu, nestanoví-li poskytovatel jinak,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37"/>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mimořádnou zprávu na základě písemné žádosti poskytovatele, zejména v případě jeho podezření porušování výše uvedených povinností příjemcem, a to ve lhůtě, která nesmí být kratší 30 kalendářní dní, v rozsahu a způsobu předložení stanoveném poskytovatelem,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37"/>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závěrečnou zprávu o řešení projektu spolu s implementačním plánem do 30 dnů ode dne ukončení řešení projektu uvedeném v Závazných parametrech řešení projektu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37"/>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zprávu o implementaci výsledků.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37"/>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Závěrečná zpráva nahrazuje průběžnou zprávu za poslední rok či poslední etapu řešení projektu.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13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2" w:name="page51"/>
      <w:bookmarkEnd w:id="22"/>
      <w:r>
        <w:rPr>
          <w:noProof/>
        </w:rPr>
        <w:drawing>
          <wp:anchor distT="0" distB="0" distL="114300" distR="114300" simplePos="0" relativeHeight="25171046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38"/>
        </w:numPr>
        <w:tabs>
          <w:tab w:val="clear" w:pos="720"/>
          <w:tab w:val="num" w:pos="364"/>
        </w:tabs>
        <w:overflowPunct w:val="0"/>
        <w:autoSpaceDE w:val="0"/>
        <w:autoSpaceDN w:val="0"/>
        <w:adjustRightInd w:val="0"/>
        <w:spacing w:after="0" w:line="311" w:lineRule="auto"/>
        <w:ind w:left="364" w:hanging="364"/>
        <w:jc w:val="both"/>
        <w:rPr>
          <w:rFonts w:ascii="Cambria" w:hAnsi="Cambria" w:cs="Cambria"/>
          <w:b/>
          <w:bCs/>
        </w:rPr>
      </w:pPr>
      <w:r>
        <w:rPr>
          <w:rFonts w:ascii="Cambria" w:hAnsi="Cambria" w:cs="Cambria"/>
        </w:rPr>
        <w:t xml:space="preserve">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 </w:t>
      </w:r>
    </w:p>
    <w:p w:rsidR="001E2BB3" w:rsidRDefault="001E2BB3">
      <w:pPr>
        <w:widowControl w:val="0"/>
        <w:autoSpaceDE w:val="0"/>
        <w:autoSpaceDN w:val="0"/>
        <w:adjustRightInd w:val="0"/>
        <w:spacing w:after="0" w:line="4" w:lineRule="exact"/>
        <w:rPr>
          <w:rFonts w:ascii="Cambria" w:hAnsi="Cambria" w:cs="Cambria"/>
          <w:b/>
          <w:bCs/>
        </w:rPr>
      </w:pPr>
    </w:p>
    <w:p w:rsidR="001E2BB3" w:rsidRDefault="00E83CAF">
      <w:pPr>
        <w:widowControl w:val="0"/>
        <w:numPr>
          <w:ilvl w:val="0"/>
          <w:numId w:val="38"/>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Zpráva se považuje za předloženou, pokud je doručena na adresu poskytovatele a obsahuje veškeré povinné náležitosti a jsou k ní přiloženy další povinné dokumenty, zejména je k průběžné (pokud býti má) nebo závěrečné zprávě přiložen implementační plán.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38"/>
        </w:numPr>
        <w:tabs>
          <w:tab w:val="clear" w:pos="720"/>
          <w:tab w:val="num" w:pos="364"/>
        </w:tabs>
        <w:overflowPunct w:val="0"/>
        <w:autoSpaceDE w:val="0"/>
        <w:autoSpaceDN w:val="0"/>
        <w:adjustRightInd w:val="0"/>
        <w:spacing w:after="0" w:line="387" w:lineRule="auto"/>
        <w:ind w:left="364" w:hanging="364"/>
        <w:jc w:val="both"/>
        <w:rPr>
          <w:rFonts w:ascii="Cambria" w:hAnsi="Cambria" w:cs="Cambria"/>
          <w:b/>
          <w:bCs/>
        </w:rPr>
      </w:pPr>
      <w:r>
        <w:rPr>
          <w:rFonts w:ascii="Cambria" w:hAnsi="Cambria" w:cs="Cambria"/>
        </w:rPr>
        <w:t xml:space="preserve">Způsob, forma a další podmínky vypracování a předkládání zpráv a dalších podkladů příjemcem jsou stanoveny v příslušném hodnotícím procesu, zejména směrnice SME-12 Směrnice pro předkládání a zpracování zpráv.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1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804"/>
        <w:rPr>
          <w:rFonts w:ascii="Times New Roman" w:hAnsi="Times New Roman" w:cs="Times New Roman"/>
          <w:sz w:val="24"/>
          <w:szCs w:val="24"/>
        </w:rPr>
      </w:pPr>
      <w:r>
        <w:rPr>
          <w:rFonts w:ascii="Cambria" w:hAnsi="Cambria" w:cs="Cambria"/>
          <w:b/>
          <w:bCs/>
          <w:sz w:val="28"/>
          <w:szCs w:val="28"/>
        </w:rPr>
        <w:t>Část D – Vlastnictví majetku, práva k výsledkům a využití výsledků</w:t>
      </w:r>
    </w:p>
    <w:p w:rsidR="001E2BB3" w:rsidRDefault="001E2BB3">
      <w:pPr>
        <w:widowControl w:val="0"/>
        <w:autoSpaceDE w:val="0"/>
        <w:autoSpaceDN w:val="0"/>
        <w:adjustRightInd w:val="0"/>
        <w:spacing w:after="0" w:line="31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12</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084"/>
        <w:rPr>
          <w:rFonts w:ascii="Times New Roman" w:hAnsi="Times New Roman" w:cs="Times New Roman"/>
          <w:sz w:val="24"/>
          <w:szCs w:val="24"/>
        </w:rPr>
      </w:pPr>
      <w:r>
        <w:rPr>
          <w:rFonts w:ascii="Cambria" w:hAnsi="Cambria" w:cs="Cambria"/>
          <w:b/>
          <w:bCs/>
          <w:i/>
          <w:iCs/>
        </w:rPr>
        <w:t>Vlastnictví majetku</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39"/>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Vlastníky majetku potřebného k řešení projektu jsou ve smyslu § 15 ZPVV hlavní příjemce a další účastníci, kteří si uvedený majetek pořídili nebo ho při řešení projektu vytvořili.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39"/>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Je-li příjemcem organizační složka státu nebo organizační jednotka ministerstva, je vlastníkem takového majetku Česká republika.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39"/>
        </w:numPr>
        <w:tabs>
          <w:tab w:val="clear" w:pos="720"/>
          <w:tab w:val="num" w:pos="364"/>
        </w:tabs>
        <w:overflowPunct w:val="0"/>
        <w:autoSpaceDE w:val="0"/>
        <w:autoSpaceDN w:val="0"/>
        <w:adjustRightInd w:val="0"/>
        <w:spacing w:after="0" w:line="419" w:lineRule="auto"/>
        <w:ind w:left="364" w:hanging="364"/>
        <w:jc w:val="both"/>
        <w:rPr>
          <w:rFonts w:ascii="Cambria" w:hAnsi="Cambria" w:cs="Cambria"/>
          <w:b/>
          <w:bCs/>
        </w:rPr>
      </w:pPr>
      <w:r>
        <w:rPr>
          <w:rFonts w:ascii="Cambria" w:hAnsi="Cambria" w:cs="Cambria"/>
        </w:rPr>
        <w:t xml:space="preserve">Je-li příjemcem organizační složka územního samosprávného celku, je vlastníkem takového majetku územní samosprávný celek. </w:t>
      </w: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13</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1724"/>
        <w:rPr>
          <w:rFonts w:ascii="Times New Roman" w:hAnsi="Times New Roman" w:cs="Times New Roman"/>
          <w:sz w:val="24"/>
          <w:szCs w:val="24"/>
        </w:rPr>
      </w:pPr>
      <w:r>
        <w:rPr>
          <w:rFonts w:ascii="Cambria" w:hAnsi="Cambria" w:cs="Cambria"/>
          <w:b/>
          <w:bCs/>
          <w:i/>
          <w:iCs/>
        </w:rPr>
        <w:t>Implementační plán výsledků projektu a smlouva o využití výsledků</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tabs>
          <w:tab w:val="left" w:pos="343"/>
        </w:tabs>
        <w:overflowPunct w:val="0"/>
        <w:autoSpaceDE w:val="0"/>
        <w:autoSpaceDN w:val="0"/>
        <w:adjustRightInd w:val="0"/>
        <w:spacing w:after="0" w:line="293" w:lineRule="auto"/>
        <w:ind w:left="364" w:hanging="360"/>
        <w:jc w:val="both"/>
        <w:rPr>
          <w:rFonts w:ascii="Times New Roman" w:hAnsi="Times New Roman" w:cs="Times New Roman"/>
          <w:sz w:val="24"/>
          <w:szCs w:val="24"/>
        </w:rPr>
      </w:pPr>
      <w:r>
        <w:rPr>
          <w:rFonts w:ascii="Cambria" w:hAnsi="Cambria" w:cs="Cambria"/>
          <w:b/>
          <w:bCs/>
          <w:sz w:val="21"/>
          <w:szCs w:val="21"/>
        </w:rPr>
        <w:t>1.</w:t>
      </w:r>
      <w:r>
        <w:rPr>
          <w:rFonts w:ascii="Times New Roman" w:hAnsi="Times New Roman" w:cs="Times New Roman"/>
          <w:sz w:val="24"/>
          <w:szCs w:val="24"/>
        </w:rPr>
        <w:tab/>
      </w:r>
      <w:r>
        <w:rPr>
          <w:rFonts w:ascii="Cambria" w:hAnsi="Cambria" w:cs="Cambria"/>
          <w:sz w:val="21"/>
          <w:szCs w:val="21"/>
        </w:rPr>
        <w:t xml:space="preserve">Návrh implementačního plánu výsledků projektu s výjimkou plnění veřejné zakázky ve výzkumu, vývoji a inovacích předkládá příjemce společně se závěrečnou zprávou jako její přílohu, popř. i společně s průběžnou zprávou jako její přílohu, pokud bylo výsledku dosaženo během řešení projektu. Návrh implementačního plánu výsledků projektu musí zahrnovat zejména všechny nároky na práva k výsledkům projektu a návrhy na využití výsledků projektu v časovém harmonogramu a shrnout veškeré skutečnosti z předchozích zpráv včetně těch, kterými se příjemce nehodlá dále komerčně ani výzkumně zabývat, a další povinné náležitosti uvedené ve formuláři pro implementační plán, který je součástí směrnice </w:t>
      </w:r>
      <w:r>
        <w:rPr>
          <w:rFonts w:ascii="Cambria" w:hAnsi="Cambria" w:cs="Cambria"/>
          <w:b/>
          <w:bCs/>
          <w:sz w:val="21"/>
          <w:szCs w:val="21"/>
        </w:rPr>
        <w:t>SME-12</w:t>
      </w:r>
      <w:r>
        <w:rPr>
          <w:rFonts w:ascii="Cambria" w:hAnsi="Cambria" w:cs="Cambria"/>
          <w:sz w:val="21"/>
          <w:szCs w:val="21"/>
        </w:rPr>
        <w:t xml:space="preserve"> </w:t>
      </w:r>
      <w:r>
        <w:rPr>
          <w:rFonts w:ascii="Cambria" w:hAnsi="Cambria" w:cs="Cambria"/>
          <w:b/>
          <w:bCs/>
          <w:sz w:val="21"/>
          <w:szCs w:val="21"/>
        </w:rPr>
        <w:t>Směrnice pro předkládání a zpracování zpráv</w:t>
      </w:r>
      <w:r>
        <w:rPr>
          <w:rFonts w:ascii="Cambria" w:hAnsi="Cambria" w:cs="Cambria"/>
          <w:sz w:val="21"/>
          <w:szCs w:val="21"/>
        </w:rPr>
        <w:t>. Návrh implementačního plánu výsledků projektu musí</w:t>
      </w:r>
      <w:r>
        <w:rPr>
          <w:rFonts w:ascii="Cambria" w:hAnsi="Cambria" w:cs="Cambria"/>
          <w:b/>
          <w:bCs/>
          <w:sz w:val="21"/>
          <w:szCs w:val="21"/>
        </w:rPr>
        <w:t xml:space="preserve"> </w:t>
      </w:r>
      <w:r>
        <w:rPr>
          <w:rFonts w:ascii="Cambria" w:hAnsi="Cambria" w:cs="Cambria"/>
          <w:sz w:val="21"/>
          <w:szCs w:val="21"/>
        </w:rPr>
        <w:t>být vypracován v souladu s podmínkami Smlouvy a se Závaznými parametry řešení projektu.</w:t>
      </w:r>
    </w:p>
    <w:p w:rsidR="001E2BB3" w:rsidRDefault="001E2BB3">
      <w:pPr>
        <w:widowControl w:val="0"/>
        <w:autoSpaceDE w:val="0"/>
        <w:autoSpaceDN w:val="0"/>
        <w:adjustRightInd w:val="0"/>
        <w:spacing w:after="0" w:line="7" w:lineRule="exact"/>
        <w:rPr>
          <w:rFonts w:ascii="Times New Roman" w:hAnsi="Times New Roman" w:cs="Times New Roman"/>
          <w:sz w:val="24"/>
          <w:szCs w:val="24"/>
        </w:rPr>
      </w:pPr>
    </w:p>
    <w:p w:rsidR="001E2BB3" w:rsidRDefault="00E83CAF">
      <w:pPr>
        <w:widowControl w:val="0"/>
        <w:numPr>
          <w:ilvl w:val="0"/>
          <w:numId w:val="40"/>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Poskytovatel si vyhrazuje právo sledovat plnění implementačního plánu výsledků po celou dobu jeho platnosti, min. však po dobu 3 let od dosažení výsledku, nejpozději však do 3 let po ukončení řešení projektu, a to zejména na základě příjemcem předkládaných zpráv o implementaci v souladu s příslušným hodnotícím procesem.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40"/>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Smlouva o využití výsledků obsahuje zejména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14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3" w:name="page53"/>
      <w:bookmarkEnd w:id="23"/>
      <w:r>
        <w:rPr>
          <w:noProof/>
        </w:rPr>
        <w:drawing>
          <wp:anchor distT="0" distB="0" distL="114300" distR="114300" simplePos="0" relativeHeight="25171148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název a identifikační údaje projektu,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vymezení výsledků a jejich srovnání s cíli projektu,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úprava vlastnických a užívacích práv k výsledkům podle § 16 ZPVV,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způsob využití výsledků a doba, ve které budou výsledky využity, nejdéle však do 5 let od ukončení řešení projektu,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rozsah stupně důvěrnosti údajů a způsob nakládání s nimi podle zvláštních právních předpisů,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sankce za porušení smlouvy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1"/>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datum nabytí a ukončení účinnosti smlouvy.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42"/>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Smlouva o využití výsledků musí být uzavřena v souladu s podmínkami Smlouvy. </w:t>
      </w:r>
    </w:p>
    <w:p w:rsidR="001E2BB3" w:rsidRDefault="001E2BB3">
      <w:pPr>
        <w:widowControl w:val="0"/>
        <w:autoSpaceDE w:val="0"/>
        <w:autoSpaceDN w:val="0"/>
        <w:adjustRightInd w:val="0"/>
        <w:spacing w:after="0" w:line="177" w:lineRule="exact"/>
        <w:rPr>
          <w:rFonts w:ascii="Cambria" w:hAnsi="Cambria" w:cs="Cambria"/>
          <w:b/>
          <w:bCs/>
        </w:rPr>
      </w:pPr>
    </w:p>
    <w:p w:rsidR="001E2BB3" w:rsidRDefault="00E83CAF">
      <w:pPr>
        <w:widowControl w:val="0"/>
        <w:numPr>
          <w:ilvl w:val="0"/>
          <w:numId w:val="42"/>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Poskytovatel si vyhrazuje právo kontroly obsahu smlouvy o využití výsledků a kontrolu její úplnosti. </w:t>
      </w:r>
    </w:p>
    <w:p w:rsidR="001E2BB3" w:rsidRDefault="001E2BB3">
      <w:pPr>
        <w:widowControl w:val="0"/>
        <w:autoSpaceDE w:val="0"/>
        <w:autoSpaceDN w:val="0"/>
        <w:adjustRightInd w:val="0"/>
        <w:spacing w:after="0" w:line="369"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14</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864"/>
        <w:rPr>
          <w:rFonts w:ascii="Times New Roman" w:hAnsi="Times New Roman" w:cs="Times New Roman"/>
          <w:sz w:val="24"/>
          <w:szCs w:val="24"/>
        </w:rPr>
      </w:pPr>
      <w:r>
        <w:rPr>
          <w:rFonts w:ascii="Cambria" w:hAnsi="Cambria" w:cs="Cambria"/>
          <w:b/>
          <w:bCs/>
          <w:i/>
          <w:iCs/>
        </w:rPr>
        <w:t>Práva k výsledkům projektu a jejich ochrana</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43"/>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43"/>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43"/>
        </w:numPr>
        <w:tabs>
          <w:tab w:val="clear" w:pos="720"/>
          <w:tab w:val="num" w:pos="364"/>
        </w:tabs>
        <w:overflowPunct w:val="0"/>
        <w:autoSpaceDE w:val="0"/>
        <w:autoSpaceDN w:val="0"/>
        <w:adjustRightInd w:val="0"/>
        <w:spacing w:after="0" w:line="300" w:lineRule="auto"/>
        <w:ind w:left="364" w:hanging="364"/>
        <w:jc w:val="both"/>
        <w:rPr>
          <w:rFonts w:ascii="Cambria" w:hAnsi="Cambria" w:cs="Cambria"/>
          <w:b/>
          <w:bCs/>
          <w:sz w:val="21"/>
          <w:szCs w:val="21"/>
        </w:rPr>
      </w:pPr>
      <w:r>
        <w:rPr>
          <w:rFonts w:ascii="Cambria" w:hAnsi="Cambria" w:cs="Cambria"/>
          <w:sz w:val="21"/>
          <w:szCs w:val="21"/>
        </w:rPr>
        <w:t xml:space="preserve">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 </w:t>
      </w:r>
    </w:p>
    <w:p w:rsidR="001E2BB3" w:rsidRDefault="001E2BB3">
      <w:pPr>
        <w:widowControl w:val="0"/>
        <w:autoSpaceDE w:val="0"/>
        <w:autoSpaceDN w:val="0"/>
        <w:adjustRightInd w:val="0"/>
        <w:spacing w:after="0" w:line="1" w:lineRule="exact"/>
        <w:rPr>
          <w:rFonts w:ascii="Cambria" w:hAnsi="Cambria" w:cs="Cambria"/>
          <w:b/>
          <w:bCs/>
          <w:sz w:val="21"/>
          <w:szCs w:val="21"/>
        </w:rPr>
      </w:pPr>
    </w:p>
    <w:p w:rsidR="001E2BB3" w:rsidRDefault="00E83CAF">
      <w:pPr>
        <w:widowControl w:val="0"/>
        <w:numPr>
          <w:ilvl w:val="0"/>
          <w:numId w:val="43"/>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w:t>
      </w:r>
    </w:p>
    <w:p w:rsidR="001E2BB3" w:rsidRDefault="00E83CAF">
      <w:pPr>
        <w:widowControl w:val="0"/>
        <w:numPr>
          <w:ilvl w:val="0"/>
          <w:numId w:val="43"/>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Hlavní příjemce může zveřejnit informace o výsledcích projektu, ke kterým má majetková práva, pokud jejich zveřejněním není dotčena jejich ochrana, postupuje podle </w:t>
      </w:r>
      <w:r>
        <w:rPr>
          <w:rFonts w:ascii="Cambria" w:hAnsi="Cambria" w:cs="Cambria"/>
          <w:b/>
          <w:bCs/>
        </w:rPr>
        <w:t>Pravidel pro publicitu projektů</w:t>
      </w:r>
      <w:r>
        <w:rPr>
          <w:rFonts w:ascii="Cambria" w:hAnsi="Cambria" w:cs="Cambria"/>
        </w:rPr>
        <w:t xml:space="preserve"> </w:t>
      </w:r>
      <w:r>
        <w:rPr>
          <w:rFonts w:ascii="Cambria" w:hAnsi="Cambria" w:cs="Cambria"/>
          <w:b/>
          <w:bCs/>
        </w:rPr>
        <w:t xml:space="preserve">podpořených z prostředků TA ČR </w:t>
      </w:r>
      <w:r>
        <w:rPr>
          <w:rFonts w:ascii="Cambria" w:hAnsi="Cambria" w:cs="Cambria"/>
        </w:rPr>
        <w:t>a pokud o svém záměru zveřejnění v dostatečném předstihu</w:t>
      </w:r>
      <w:r>
        <w:rPr>
          <w:rFonts w:ascii="Cambria" w:hAnsi="Cambria" w:cs="Cambria"/>
          <w:b/>
          <w:bCs/>
        </w:rPr>
        <w:t xml:space="preserve"> </w:t>
      </w:r>
      <w:r>
        <w:rPr>
          <w:rFonts w:ascii="Cambria" w:hAnsi="Cambria" w:cs="Cambria"/>
        </w:rPr>
        <w:t xml:space="preserve">informoval další účastníky. </w:t>
      </w:r>
    </w:p>
    <w:p w:rsidR="001E2BB3" w:rsidRDefault="001E2BB3">
      <w:pPr>
        <w:widowControl w:val="0"/>
        <w:autoSpaceDE w:val="0"/>
        <w:autoSpaceDN w:val="0"/>
        <w:adjustRightInd w:val="0"/>
        <w:spacing w:after="0" w:line="58"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15</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524"/>
        <w:rPr>
          <w:rFonts w:ascii="Times New Roman" w:hAnsi="Times New Roman" w:cs="Times New Roman"/>
          <w:sz w:val="24"/>
          <w:szCs w:val="24"/>
        </w:rPr>
      </w:pPr>
      <w:r>
        <w:rPr>
          <w:rFonts w:ascii="Cambria" w:hAnsi="Cambria" w:cs="Cambria"/>
          <w:b/>
          <w:bCs/>
          <w:i/>
          <w:iCs/>
        </w:rPr>
        <w:t>Využití a poskytování výsledků</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44"/>
        </w:numPr>
        <w:tabs>
          <w:tab w:val="clear" w:pos="720"/>
          <w:tab w:val="num" w:pos="364"/>
        </w:tabs>
        <w:overflowPunct w:val="0"/>
        <w:autoSpaceDE w:val="0"/>
        <w:autoSpaceDN w:val="0"/>
        <w:adjustRightInd w:val="0"/>
        <w:spacing w:after="0" w:line="457" w:lineRule="auto"/>
        <w:ind w:left="364" w:hanging="364"/>
        <w:jc w:val="both"/>
        <w:rPr>
          <w:rFonts w:ascii="Cambria" w:hAnsi="Cambria" w:cs="Cambria"/>
          <w:b/>
          <w:bCs/>
        </w:rPr>
      </w:pPr>
      <w:r>
        <w:rPr>
          <w:rFonts w:ascii="Cambria" w:hAnsi="Cambria" w:cs="Cambria"/>
        </w:rPr>
        <w:t xml:space="preserve">Podrobnosti využití výsledků projektu budou stanoveny ve schváleném implementačním plánu výsledků projektu a ve smlouvě o využití výsledků.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15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4" w:name="page55"/>
      <w:bookmarkEnd w:id="24"/>
      <w:r>
        <w:rPr>
          <w:noProof/>
        </w:rPr>
        <w:drawing>
          <wp:anchor distT="0" distB="0" distL="114300" distR="114300" simplePos="0" relativeHeight="25171251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71" w:lineRule="exact"/>
        <w:rPr>
          <w:rFonts w:ascii="Times New Roman" w:hAnsi="Times New Roman" w:cs="Times New Roman"/>
          <w:sz w:val="24"/>
          <w:szCs w:val="24"/>
        </w:rPr>
      </w:pPr>
    </w:p>
    <w:p w:rsidR="001E2BB3" w:rsidRDefault="00E83CAF">
      <w:pPr>
        <w:widowControl w:val="0"/>
        <w:numPr>
          <w:ilvl w:val="0"/>
          <w:numId w:val="45"/>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V případě výsledku plně financovaného z veřejných prostředků, který není výsledkem veřejné zakázky ve výzkumu, vývoji a inovacích, je hlavní příjemce povinen zpřístupnit výsledky za stejných podmínek, stanovených ve smlouvě o využití výsledků, všem zájemcům o využití výsledků. </w:t>
      </w:r>
    </w:p>
    <w:p w:rsidR="001E2BB3" w:rsidRDefault="00E83CAF">
      <w:pPr>
        <w:widowControl w:val="0"/>
        <w:numPr>
          <w:ilvl w:val="0"/>
          <w:numId w:val="45"/>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V případě výsledku, který není výsledek veřejné zakázky ve výzkumu, vývoji a inovacích, financovaného z veřejných prostředků, ve výši přesahující 50 % a nižší než 100 % výše nákladů projektu je hlavní příjemce povinen za podmínek stanovených ve smlouvě o využití výsledků přednostně poskytnout výsledky těm subjektům, které se na podpoře z neveřejných zdrojů podílely.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45"/>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V případě výsledku, který není výsledek veřejné zakázky ve výzkumu, vývoji a inovacích, podílově financovaného z veřejných prostředků ve výši dosahující 50 % nebo méně nákladů projektu musí být součástí smlouvy o využití výsledků dohoda o způsobu a termínech využití výsledků s těmi subjekty, které se na podpoře z neveřejných zdrojů podílely.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45"/>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V případě nevyužití výsledku podle odstavce 3 nebo 4 způsobem a v době stanovené ve smlouvě o využití výsledků, je hlavní příjemce povinen poskytnout dosažené výsledky k využití výsledků za nediskriminujících podmínek všem zájemcům. </w:t>
      </w:r>
    </w:p>
    <w:p w:rsidR="001E2BB3" w:rsidRDefault="00E83CAF">
      <w:pPr>
        <w:widowControl w:val="0"/>
        <w:numPr>
          <w:ilvl w:val="0"/>
          <w:numId w:val="45"/>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Příjemce je oprávněn poskytnout výsledky, které nejsou výsledkem veřejné zakázky ve výzkumu, vývoji a inovacích, pouze 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88"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304"/>
        <w:rPr>
          <w:rFonts w:ascii="Times New Roman" w:hAnsi="Times New Roman" w:cs="Times New Roman"/>
          <w:sz w:val="24"/>
          <w:szCs w:val="24"/>
        </w:rPr>
      </w:pPr>
      <w:r>
        <w:rPr>
          <w:rFonts w:ascii="Cambria" w:hAnsi="Cambria" w:cs="Cambria"/>
          <w:b/>
          <w:bCs/>
          <w:sz w:val="28"/>
          <w:szCs w:val="28"/>
        </w:rPr>
        <w:t>Část E – Náklady a kontroly</w:t>
      </w:r>
    </w:p>
    <w:p w:rsidR="001E2BB3" w:rsidRDefault="001E2BB3">
      <w:pPr>
        <w:widowControl w:val="0"/>
        <w:autoSpaceDE w:val="0"/>
        <w:autoSpaceDN w:val="0"/>
        <w:adjustRightInd w:val="0"/>
        <w:spacing w:after="0" w:line="31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16</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804"/>
        <w:rPr>
          <w:rFonts w:ascii="Times New Roman" w:hAnsi="Times New Roman" w:cs="Times New Roman"/>
          <w:sz w:val="24"/>
          <w:szCs w:val="24"/>
        </w:rPr>
      </w:pPr>
      <w:r>
        <w:rPr>
          <w:rFonts w:ascii="Cambria" w:hAnsi="Cambria" w:cs="Cambria"/>
          <w:b/>
          <w:bCs/>
          <w:i/>
          <w:iCs/>
        </w:rPr>
        <w:t>Uznané náklady projektu</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46"/>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Všechny finanční prostředky poskytnuté poskytovatelem jako podpora na řešení projektu výzkumu a vývoje mají charakter účelově určených finančních prostředků.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46"/>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Uznané náklady musí být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46"/>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vynaloženy v souladu s cíli programu a musí bezprostředně souviset s řešením projektu,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6"/>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způsobilými náklady,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6"/>
        </w:numPr>
        <w:tabs>
          <w:tab w:val="clear" w:pos="144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prokazatelně zaplaceny příjemcem v maximálně době splatnosti do 30 dnů (tato podmínka se nevztahuje na vyúčtování odpisů), bez ohledu na dobu splatnosti stanovenou mezi příjemcem a dodavatelem,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1"/>
          <w:numId w:val="46"/>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doloženy průkaznými doklady,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6"/>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přiměřené (musí odpovídat cenám v místě a čase obvyklým)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46"/>
        </w:numPr>
        <w:tabs>
          <w:tab w:val="clear" w:pos="1440"/>
          <w:tab w:val="num" w:pos="664"/>
        </w:tabs>
        <w:overflowPunct w:val="0"/>
        <w:autoSpaceDE w:val="0"/>
        <w:autoSpaceDN w:val="0"/>
        <w:adjustRightInd w:val="0"/>
        <w:spacing w:after="0" w:line="387" w:lineRule="auto"/>
        <w:ind w:left="664" w:hanging="370"/>
        <w:jc w:val="both"/>
        <w:rPr>
          <w:rFonts w:ascii="Cambria" w:hAnsi="Cambria" w:cs="Cambria"/>
        </w:rPr>
      </w:pPr>
      <w:r>
        <w:rPr>
          <w:rFonts w:ascii="Cambria" w:hAnsi="Cambria" w:cs="Cambria"/>
        </w:rPr>
        <w:t xml:space="preserve">vynaloženy v souladu s principy hospodárnosti (minimalizace výdajů při respektování cílů projektu), účelnosti (přímá vazba na projekt a nezbytnost pro řešení projektu) a efektivnosti (maximalizace poměru mezi výstupy a vstupy projektu),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16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5" w:name="page57"/>
      <w:bookmarkEnd w:id="25"/>
      <w:r>
        <w:rPr>
          <w:noProof/>
        </w:rPr>
        <w:drawing>
          <wp:anchor distT="0" distB="0" distL="114300" distR="114300" simplePos="0" relativeHeight="251713536"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48" w:lineRule="auto"/>
        <w:ind w:left="420"/>
        <w:rPr>
          <w:rFonts w:ascii="Times New Roman" w:hAnsi="Times New Roman" w:cs="Times New Roman"/>
          <w:sz w:val="24"/>
          <w:szCs w:val="24"/>
        </w:rPr>
      </w:pPr>
      <w:r>
        <w:rPr>
          <w:rFonts w:ascii="Cambria" w:hAnsi="Cambria" w:cs="Cambria"/>
        </w:rPr>
        <w:t>přičemž splnění těchto podmínek se prokazuje v rámci hodnotících a kontrolních procesů popř. na žádost poskytovatele.</w:t>
      </w:r>
    </w:p>
    <w:p w:rsidR="001E2BB3" w:rsidRDefault="001E2BB3">
      <w:pPr>
        <w:widowControl w:val="0"/>
        <w:autoSpaceDE w:val="0"/>
        <w:autoSpaceDN w:val="0"/>
        <w:adjustRightInd w:val="0"/>
        <w:spacing w:after="0" w:line="2" w:lineRule="exact"/>
        <w:rPr>
          <w:rFonts w:ascii="Times New Roman" w:hAnsi="Times New Roman" w:cs="Times New Roman"/>
          <w:sz w:val="24"/>
          <w:szCs w:val="24"/>
        </w:rPr>
      </w:pPr>
    </w:p>
    <w:p w:rsidR="001E2BB3" w:rsidRDefault="00E83CAF">
      <w:pPr>
        <w:widowControl w:val="0"/>
        <w:numPr>
          <w:ilvl w:val="0"/>
          <w:numId w:val="47"/>
        </w:numPr>
        <w:tabs>
          <w:tab w:val="clear" w:pos="720"/>
          <w:tab w:val="num" w:pos="420"/>
        </w:tabs>
        <w:overflowPunct w:val="0"/>
        <w:autoSpaceDE w:val="0"/>
        <w:autoSpaceDN w:val="0"/>
        <w:adjustRightInd w:val="0"/>
        <w:spacing w:after="0" w:line="307" w:lineRule="auto"/>
        <w:ind w:left="420" w:hanging="364"/>
        <w:jc w:val="both"/>
        <w:rPr>
          <w:rFonts w:ascii="Cambria" w:hAnsi="Cambria" w:cs="Cambria"/>
          <w:b/>
          <w:bCs/>
          <w:sz w:val="21"/>
          <w:szCs w:val="21"/>
        </w:rPr>
      </w:pPr>
      <w:r>
        <w:rPr>
          <w:rFonts w:ascii="Cambria" w:hAnsi="Cambria" w:cs="Cambria"/>
          <w:sz w:val="21"/>
          <w:szCs w:val="21"/>
        </w:rPr>
        <w:t xml:space="preserve">Za uznaný náklad se nepovažuje poskytnuté plnění mezi hlavním příjemcem a dalšími účastníky navzájem. Za uznaný náklad se nepovažují rovněž náklady se zdanitelným plněním mezi dnem, ve kterém nastanou účinky fúze, rozdělení nebo převodu jmění na společníka, a mezi dnem, ve kterém dojde v souladu se </w:t>
      </w:r>
      <w:r>
        <w:rPr>
          <w:rFonts w:ascii="Cambria" w:hAnsi="Cambria" w:cs="Cambria"/>
          <w:b/>
          <w:bCs/>
          <w:sz w:val="21"/>
          <w:szCs w:val="21"/>
        </w:rPr>
        <w:t xml:space="preserve">SME-07 Změnová řízení projektů </w:t>
      </w:r>
      <w:r>
        <w:rPr>
          <w:rFonts w:ascii="Cambria" w:hAnsi="Cambria" w:cs="Cambria"/>
          <w:sz w:val="21"/>
          <w:szCs w:val="21"/>
        </w:rPr>
        <w:t>ke schválení takové přeměny, ledaže příjemce požádal včas o souhlas</w:t>
      </w:r>
      <w:r>
        <w:rPr>
          <w:rFonts w:ascii="Cambria" w:hAnsi="Cambria" w:cs="Cambria"/>
          <w:b/>
          <w:bCs/>
          <w:sz w:val="21"/>
          <w:szCs w:val="21"/>
        </w:rPr>
        <w:t xml:space="preserve"> </w:t>
      </w:r>
    </w:p>
    <w:p w:rsidR="001E2BB3" w:rsidRDefault="00E83CAF">
      <w:pPr>
        <w:widowControl w:val="0"/>
        <w:numPr>
          <w:ilvl w:val="1"/>
          <w:numId w:val="47"/>
        </w:numPr>
        <w:tabs>
          <w:tab w:val="clear" w:pos="1440"/>
          <w:tab w:val="num" w:pos="568"/>
        </w:tabs>
        <w:overflowPunct w:val="0"/>
        <w:autoSpaceDE w:val="0"/>
        <w:autoSpaceDN w:val="0"/>
        <w:adjustRightInd w:val="0"/>
        <w:spacing w:after="0" w:line="330" w:lineRule="auto"/>
        <w:ind w:left="420" w:hanging="4"/>
        <w:jc w:val="both"/>
        <w:rPr>
          <w:rFonts w:ascii="Cambria" w:hAnsi="Cambria" w:cs="Cambria"/>
        </w:rPr>
      </w:pPr>
      <w:r>
        <w:rPr>
          <w:rFonts w:ascii="Cambria" w:hAnsi="Cambria" w:cs="Cambria"/>
        </w:rPr>
        <w:t xml:space="preserve">přechodem práv a povinností při takové přeměně podle § 14a zákona č. 218/2000 Sb., o rozpočtových pravidlech a o změně některých souvisejících zákonů (rozpočtová pravidla) a pozdní schválení bylo zapříčiněno výhradně z důvodů na straně poskytovatele.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0"/>
          <w:numId w:val="47"/>
        </w:numPr>
        <w:tabs>
          <w:tab w:val="clear" w:pos="720"/>
          <w:tab w:val="num" w:pos="420"/>
        </w:tabs>
        <w:overflowPunct w:val="0"/>
        <w:autoSpaceDE w:val="0"/>
        <w:autoSpaceDN w:val="0"/>
        <w:adjustRightInd w:val="0"/>
        <w:spacing w:after="0" w:line="330" w:lineRule="auto"/>
        <w:ind w:left="420" w:hanging="364"/>
        <w:jc w:val="both"/>
        <w:rPr>
          <w:rFonts w:ascii="Cambria" w:hAnsi="Cambria" w:cs="Cambria"/>
          <w:b/>
          <w:bCs/>
        </w:rPr>
      </w:pPr>
      <w:r>
        <w:rPr>
          <w:rFonts w:ascii="Cambria" w:hAnsi="Cambria" w:cs="Cambria"/>
        </w:rPr>
        <w:t xml:space="preserve">Pokud dojde k nabytí účinnosti Smlouvy ke dni pozdějšímu, než je den uvedený jako začátek řešení projektu v Závazných parametrech řešení projektu, bude na náklady spotřebované na řešení projektu mezi těmito dny pohlíženo, jako by se jednalo o náklady spotřebované po nabytí účinnosti Smlouvy.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47"/>
        </w:numPr>
        <w:tabs>
          <w:tab w:val="clear" w:pos="720"/>
          <w:tab w:val="num" w:pos="420"/>
        </w:tabs>
        <w:overflowPunct w:val="0"/>
        <w:autoSpaceDE w:val="0"/>
        <w:autoSpaceDN w:val="0"/>
        <w:adjustRightInd w:val="0"/>
        <w:spacing w:after="0" w:line="348" w:lineRule="auto"/>
        <w:ind w:left="420" w:hanging="364"/>
        <w:jc w:val="both"/>
        <w:rPr>
          <w:rFonts w:ascii="Cambria" w:hAnsi="Cambria" w:cs="Cambria"/>
          <w:b/>
          <w:bCs/>
        </w:rPr>
      </w:pPr>
      <w:r>
        <w:rPr>
          <w:rFonts w:ascii="Cambria" w:hAnsi="Cambria" w:cs="Cambria"/>
        </w:rPr>
        <w:t xml:space="preserve">Na každý náklad se pohlíží tak, jakoby byl financován z poskytnuté podpory a neveřejného zdroje v poměru podle míry poskytnuté podpory daného účastníka v daném roce.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47"/>
        </w:numPr>
        <w:tabs>
          <w:tab w:val="clear" w:pos="720"/>
          <w:tab w:val="num" w:pos="420"/>
        </w:tabs>
        <w:overflowPunct w:val="0"/>
        <w:autoSpaceDE w:val="0"/>
        <w:autoSpaceDN w:val="0"/>
        <w:adjustRightInd w:val="0"/>
        <w:spacing w:after="0" w:line="240" w:lineRule="auto"/>
        <w:ind w:left="420" w:hanging="364"/>
        <w:jc w:val="both"/>
        <w:rPr>
          <w:rFonts w:ascii="Cambria" w:hAnsi="Cambria" w:cs="Cambria"/>
          <w:b/>
          <w:bCs/>
        </w:rPr>
      </w:pPr>
      <w:r>
        <w:rPr>
          <w:rFonts w:ascii="Cambria" w:hAnsi="Cambria" w:cs="Cambria"/>
        </w:rPr>
        <w:t xml:space="preserve">V případě, že ze Závazných parametrů řešení projektu vyplývá závazek dosažení dvou a více výsledků </w:t>
      </w:r>
    </w:p>
    <w:p w:rsidR="001E2BB3" w:rsidRDefault="001E2BB3">
      <w:pPr>
        <w:widowControl w:val="0"/>
        <w:autoSpaceDE w:val="0"/>
        <w:autoSpaceDN w:val="0"/>
        <w:adjustRightInd w:val="0"/>
        <w:spacing w:after="0" w:line="57" w:lineRule="exact"/>
        <w:rPr>
          <w:rFonts w:ascii="Cambria" w:hAnsi="Cambria" w:cs="Cambria"/>
          <w:b/>
          <w:bCs/>
        </w:rPr>
      </w:pPr>
    </w:p>
    <w:p w:rsidR="001E2BB3" w:rsidRDefault="00E83CAF">
      <w:pPr>
        <w:widowControl w:val="0"/>
        <w:numPr>
          <w:ilvl w:val="1"/>
          <w:numId w:val="48"/>
        </w:numPr>
        <w:tabs>
          <w:tab w:val="clear" w:pos="1440"/>
          <w:tab w:val="num" w:pos="596"/>
        </w:tabs>
        <w:overflowPunct w:val="0"/>
        <w:autoSpaceDE w:val="0"/>
        <w:autoSpaceDN w:val="0"/>
        <w:adjustRightInd w:val="0"/>
        <w:spacing w:after="0" w:line="306" w:lineRule="auto"/>
        <w:ind w:left="420" w:hanging="4"/>
        <w:jc w:val="both"/>
        <w:rPr>
          <w:rFonts w:ascii="Cambria" w:hAnsi="Cambria" w:cs="Cambria"/>
        </w:rPr>
      </w:pPr>
      <w:r>
        <w:rPr>
          <w:rFonts w:ascii="Cambria" w:hAnsi="Cambria" w:cs="Cambria"/>
        </w:rPr>
        <w:t>rámci řešení projektu, pro účely Smlouvy se považuje výše poskytnuté podpory potřebná k dosažení každého jednotlivého výsledku podpora vypočtená podle vzorce, kde hodnota výsledku je rovna hodnotě bodů</w:t>
      </w:r>
      <w:r>
        <w:rPr>
          <w:rFonts w:ascii="Times" w:hAnsi="Times" w:cs="Times"/>
          <w:sz w:val="28"/>
          <w:szCs w:val="28"/>
          <w:vertAlign w:val="superscript"/>
        </w:rPr>
        <w:t>2</w:t>
      </w:r>
      <w:r>
        <w:rPr>
          <w:rFonts w:ascii="Cambria" w:hAnsi="Cambria" w:cs="Cambria"/>
        </w:rPr>
        <w:t xml:space="preserve"> tohoto výsledku vynásobeného podílem celkové podpory ku celkovým bodům všech deklarovaných výsledků. </w:t>
      </w:r>
    </w:p>
    <w:p w:rsidR="001E2BB3" w:rsidRDefault="00E83CAF">
      <w:pPr>
        <w:widowControl w:val="0"/>
        <w:numPr>
          <w:ilvl w:val="0"/>
          <w:numId w:val="49"/>
        </w:numPr>
        <w:tabs>
          <w:tab w:val="clear" w:pos="720"/>
          <w:tab w:val="num" w:pos="420"/>
        </w:tabs>
        <w:overflowPunct w:val="0"/>
        <w:autoSpaceDE w:val="0"/>
        <w:autoSpaceDN w:val="0"/>
        <w:adjustRightInd w:val="0"/>
        <w:spacing w:after="0" w:line="348" w:lineRule="auto"/>
        <w:ind w:left="420" w:hanging="364"/>
        <w:jc w:val="both"/>
        <w:rPr>
          <w:rFonts w:ascii="Cambria" w:hAnsi="Cambria" w:cs="Cambria"/>
          <w:b/>
          <w:bCs/>
        </w:rPr>
      </w:pPr>
      <w:r>
        <w:rPr>
          <w:rFonts w:ascii="Cambria" w:hAnsi="Cambria" w:cs="Cambria"/>
        </w:rPr>
        <w:t xml:space="preserve">O všech vynaložených nákladech projektu je příjemce povinen vést oddělenou účetní evidenci v souladu se zákonem č. 563/1991 Sb., o účetnictví, v platném znění.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49"/>
        </w:numPr>
        <w:tabs>
          <w:tab w:val="clear" w:pos="720"/>
          <w:tab w:val="num" w:pos="420"/>
        </w:tabs>
        <w:overflowPunct w:val="0"/>
        <w:autoSpaceDE w:val="0"/>
        <w:autoSpaceDN w:val="0"/>
        <w:adjustRightInd w:val="0"/>
        <w:spacing w:after="0" w:line="348" w:lineRule="auto"/>
        <w:ind w:left="420" w:hanging="364"/>
        <w:jc w:val="both"/>
        <w:rPr>
          <w:rFonts w:ascii="Cambria" w:hAnsi="Cambria" w:cs="Cambria"/>
          <w:b/>
          <w:bCs/>
        </w:rPr>
      </w:pPr>
      <w:r>
        <w:rPr>
          <w:rFonts w:ascii="Cambria" w:hAnsi="Cambria" w:cs="Cambria"/>
        </w:rPr>
        <w:t xml:space="preserve">V případě, že příjemce je plátcem daně z přidané hodnoty a tuto daň si uplatňuje u finančního úřadu, nelze ji považovat za uznaný náklad.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49"/>
        </w:numPr>
        <w:tabs>
          <w:tab w:val="clear" w:pos="720"/>
          <w:tab w:val="num" w:pos="420"/>
        </w:tabs>
        <w:overflowPunct w:val="0"/>
        <w:autoSpaceDE w:val="0"/>
        <w:autoSpaceDN w:val="0"/>
        <w:adjustRightInd w:val="0"/>
        <w:spacing w:after="0" w:line="330" w:lineRule="auto"/>
        <w:ind w:left="420" w:hanging="364"/>
        <w:jc w:val="both"/>
        <w:rPr>
          <w:rFonts w:ascii="Cambria" w:hAnsi="Cambria" w:cs="Cambria"/>
          <w:b/>
          <w:bCs/>
        </w:rPr>
      </w:pPr>
      <w:r>
        <w:rPr>
          <w:rFonts w:ascii="Cambria" w:hAnsi="Cambria" w:cs="Cambria"/>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poskytovatele doloženy.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49"/>
        </w:numPr>
        <w:tabs>
          <w:tab w:val="clear" w:pos="720"/>
          <w:tab w:val="num" w:pos="420"/>
        </w:tabs>
        <w:overflowPunct w:val="0"/>
        <w:autoSpaceDE w:val="0"/>
        <w:autoSpaceDN w:val="0"/>
        <w:adjustRightInd w:val="0"/>
        <w:spacing w:after="0" w:line="348" w:lineRule="auto"/>
        <w:ind w:left="420" w:hanging="364"/>
        <w:jc w:val="both"/>
        <w:rPr>
          <w:rFonts w:ascii="Cambria" w:hAnsi="Cambria" w:cs="Cambria"/>
          <w:b/>
          <w:bCs/>
        </w:rPr>
      </w:pPr>
      <w:r>
        <w:rPr>
          <w:rFonts w:ascii="Cambria" w:hAnsi="Cambria" w:cs="Cambria"/>
        </w:rPr>
        <w:t xml:space="preserve">Sníží-li se výše uznaných nákladů, sníží se úměrně i maximální výše podpory při zachování stanovené míry podpory. </w:t>
      </w:r>
    </w:p>
    <w:p w:rsidR="001E2BB3" w:rsidRDefault="001E2BB3">
      <w:pPr>
        <w:widowControl w:val="0"/>
        <w:autoSpaceDE w:val="0"/>
        <w:autoSpaceDN w:val="0"/>
        <w:adjustRightInd w:val="0"/>
        <w:spacing w:after="0" w:line="2" w:lineRule="exact"/>
        <w:rPr>
          <w:rFonts w:ascii="Cambria" w:hAnsi="Cambria" w:cs="Cambria"/>
          <w:b/>
          <w:bCs/>
        </w:rPr>
      </w:pPr>
    </w:p>
    <w:p w:rsidR="001E2BB3" w:rsidRDefault="00E83CAF">
      <w:pPr>
        <w:widowControl w:val="0"/>
        <w:numPr>
          <w:ilvl w:val="0"/>
          <w:numId w:val="49"/>
        </w:numPr>
        <w:tabs>
          <w:tab w:val="clear" w:pos="720"/>
          <w:tab w:val="num" w:pos="420"/>
        </w:tabs>
        <w:overflowPunct w:val="0"/>
        <w:autoSpaceDE w:val="0"/>
        <w:autoSpaceDN w:val="0"/>
        <w:adjustRightInd w:val="0"/>
        <w:spacing w:after="0" w:line="240" w:lineRule="auto"/>
        <w:ind w:left="420" w:hanging="364"/>
        <w:jc w:val="both"/>
        <w:rPr>
          <w:rFonts w:ascii="Cambria" w:hAnsi="Cambria" w:cs="Cambria"/>
          <w:b/>
          <w:bCs/>
        </w:rPr>
      </w:pPr>
      <w:r>
        <w:rPr>
          <w:rFonts w:ascii="Cambria" w:hAnsi="Cambria" w:cs="Cambria"/>
        </w:rPr>
        <w:t xml:space="preserve">V případě, že příjemce pořizuje pro účely řešení projektu hmotný či nehmotný majetek nebo služby </w:t>
      </w:r>
    </w:p>
    <w:p w:rsidR="001E2BB3" w:rsidRDefault="001E2BB3">
      <w:pPr>
        <w:widowControl w:val="0"/>
        <w:autoSpaceDE w:val="0"/>
        <w:autoSpaceDN w:val="0"/>
        <w:adjustRightInd w:val="0"/>
        <w:spacing w:after="0" w:line="57" w:lineRule="exact"/>
        <w:rPr>
          <w:rFonts w:ascii="Cambria" w:hAnsi="Cambria" w:cs="Cambria"/>
          <w:b/>
          <w:bCs/>
        </w:rPr>
      </w:pPr>
    </w:p>
    <w:p w:rsidR="001E2BB3" w:rsidRDefault="00E83CAF">
      <w:pPr>
        <w:widowControl w:val="0"/>
        <w:numPr>
          <w:ilvl w:val="1"/>
          <w:numId w:val="49"/>
        </w:numPr>
        <w:tabs>
          <w:tab w:val="clear" w:pos="1440"/>
          <w:tab w:val="num" w:pos="601"/>
        </w:tabs>
        <w:overflowPunct w:val="0"/>
        <w:autoSpaceDE w:val="0"/>
        <w:autoSpaceDN w:val="0"/>
        <w:adjustRightInd w:val="0"/>
        <w:spacing w:after="0" w:line="356" w:lineRule="auto"/>
        <w:ind w:left="420" w:hanging="4"/>
        <w:jc w:val="both"/>
        <w:rPr>
          <w:rFonts w:ascii="Cambria" w:hAnsi="Cambria" w:cs="Cambria"/>
        </w:rPr>
      </w:pPr>
      <w:r>
        <w:rPr>
          <w:rFonts w:ascii="Cambria" w:hAnsi="Cambria" w:cs="Cambria"/>
        </w:rPr>
        <w:t xml:space="preserve">zároveň nelze aplikovat výjimku podle § 8 odst. 5 ZPVV (specifikace v návrhu projektu), je povinen postupovat podle příslušných ustanovení ZVZ platných pro dotovaného zadavatele, pokud sám není sektorovým nebo veřejným zadavatelem, s výjimkou ustanovení § 2 odst. 3 ZVZ, tzn. vždy bez ohledu na míru či výši poskytnuté podpory.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66"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09" w:lineRule="auto"/>
        <w:jc w:val="both"/>
        <w:rPr>
          <w:rFonts w:ascii="Times New Roman" w:hAnsi="Times New Roman" w:cs="Times New Roman"/>
          <w:sz w:val="24"/>
          <w:szCs w:val="24"/>
        </w:rPr>
      </w:pPr>
      <w:r>
        <w:rPr>
          <w:rFonts w:ascii="Times" w:hAnsi="Times" w:cs="Times"/>
          <w:sz w:val="28"/>
          <w:szCs w:val="28"/>
          <w:vertAlign w:val="superscript"/>
        </w:rPr>
        <w:t>2</w:t>
      </w:r>
      <w:r>
        <w:rPr>
          <w:rFonts w:ascii="Cambria" w:hAnsi="Cambria" w:cs="Cambria"/>
          <w:b/>
          <w:bCs/>
          <w:sz w:val="20"/>
          <w:szCs w:val="20"/>
        </w:rPr>
        <w:t xml:space="preserve">P (evropský patent EPO, patent USA USPTO a Japonska) </w:t>
      </w:r>
      <w:r>
        <w:rPr>
          <w:rFonts w:ascii="Cambria" w:hAnsi="Cambria" w:cs="Cambria"/>
          <w:sz w:val="20"/>
          <w:szCs w:val="20"/>
        </w:rPr>
        <w:t>– 500 b,</w:t>
      </w:r>
      <w:r>
        <w:rPr>
          <w:rFonts w:ascii="Cambria" w:hAnsi="Cambria" w:cs="Cambria"/>
          <w:b/>
          <w:bCs/>
          <w:sz w:val="20"/>
          <w:szCs w:val="20"/>
        </w:rPr>
        <w:t xml:space="preserve"> P (český nebo národní patent s výjimkou patentu USA a Japonska) </w:t>
      </w:r>
      <w:r>
        <w:rPr>
          <w:rFonts w:ascii="Cambria" w:hAnsi="Cambria" w:cs="Cambria"/>
          <w:sz w:val="20"/>
          <w:szCs w:val="20"/>
        </w:rPr>
        <w:t>– 200 b.,</w:t>
      </w:r>
      <w:r>
        <w:rPr>
          <w:rFonts w:ascii="Cambria" w:hAnsi="Cambria" w:cs="Cambria"/>
          <w:b/>
          <w:bCs/>
          <w:sz w:val="20"/>
          <w:szCs w:val="20"/>
        </w:rPr>
        <w:t xml:space="preserve"> Patent (ostatní patenty) </w:t>
      </w:r>
      <w:r>
        <w:rPr>
          <w:rFonts w:ascii="Cambria" w:hAnsi="Cambria" w:cs="Cambria"/>
          <w:sz w:val="20"/>
          <w:szCs w:val="20"/>
        </w:rPr>
        <w:t>– 40 b.,</w:t>
      </w:r>
      <w:r>
        <w:rPr>
          <w:rFonts w:ascii="Cambria" w:hAnsi="Cambria" w:cs="Cambria"/>
          <w:b/>
          <w:bCs/>
          <w:sz w:val="20"/>
          <w:szCs w:val="20"/>
        </w:rPr>
        <w:t xml:space="preserve"> N </w:t>
      </w:r>
      <w:r>
        <w:rPr>
          <w:rFonts w:ascii="Cambria" w:hAnsi="Cambria" w:cs="Cambria"/>
          <w:sz w:val="20"/>
          <w:szCs w:val="20"/>
        </w:rPr>
        <w:t>- 40 b, Z – 100 b.,</w:t>
      </w:r>
      <w:r>
        <w:rPr>
          <w:rFonts w:ascii="Cambria" w:hAnsi="Cambria" w:cs="Cambria"/>
          <w:b/>
          <w:bCs/>
          <w:sz w:val="20"/>
          <w:szCs w:val="20"/>
        </w:rPr>
        <w:t xml:space="preserve"> F </w:t>
      </w:r>
      <w:r>
        <w:rPr>
          <w:rFonts w:ascii="Cambria" w:hAnsi="Cambria" w:cs="Cambria"/>
          <w:sz w:val="20"/>
          <w:szCs w:val="20"/>
        </w:rPr>
        <w:t>– 40 b.,</w:t>
      </w:r>
      <w:r>
        <w:rPr>
          <w:rFonts w:ascii="Cambria" w:hAnsi="Cambria" w:cs="Cambria"/>
          <w:b/>
          <w:bCs/>
          <w:sz w:val="20"/>
          <w:szCs w:val="20"/>
        </w:rPr>
        <w:t xml:space="preserve"> G </w:t>
      </w:r>
      <w:r>
        <w:rPr>
          <w:rFonts w:ascii="Cambria" w:hAnsi="Cambria" w:cs="Cambria"/>
          <w:sz w:val="20"/>
          <w:szCs w:val="20"/>
        </w:rPr>
        <w:t>– 40 b.,</w:t>
      </w:r>
      <w:r>
        <w:rPr>
          <w:rFonts w:ascii="Cambria" w:hAnsi="Cambria" w:cs="Cambria"/>
          <w:b/>
          <w:bCs/>
          <w:sz w:val="20"/>
          <w:szCs w:val="20"/>
        </w:rPr>
        <w:t xml:space="preserve"> H </w:t>
      </w:r>
      <w:r>
        <w:rPr>
          <w:rFonts w:ascii="Cambria" w:hAnsi="Cambria" w:cs="Cambria"/>
          <w:sz w:val="20"/>
          <w:szCs w:val="20"/>
        </w:rPr>
        <w:t>– 40 b.,</w:t>
      </w:r>
      <w:r>
        <w:rPr>
          <w:rFonts w:ascii="Cambria" w:hAnsi="Cambria" w:cs="Cambria"/>
          <w:b/>
          <w:bCs/>
          <w:sz w:val="20"/>
          <w:szCs w:val="20"/>
        </w:rPr>
        <w:t xml:space="preserve"> R </w:t>
      </w:r>
      <w:r>
        <w:rPr>
          <w:rFonts w:ascii="Cambria" w:hAnsi="Cambria" w:cs="Cambria"/>
          <w:sz w:val="20"/>
          <w:szCs w:val="20"/>
        </w:rPr>
        <w:t>– 40</w:t>
      </w:r>
      <w:r>
        <w:rPr>
          <w:rFonts w:ascii="Cambria" w:hAnsi="Cambria" w:cs="Cambria"/>
          <w:b/>
          <w:bCs/>
          <w:sz w:val="20"/>
          <w:szCs w:val="20"/>
        </w:rPr>
        <w:t xml:space="preserve"> </w:t>
      </w:r>
      <w:r>
        <w:rPr>
          <w:rFonts w:ascii="Cambria" w:hAnsi="Cambria" w:cs="Cambria"/>
          <w:sz w:val="20"/>
          <w:szCs w:val="20"/>
        </w:rPr>
        <w:t xml:space="preserve">b., </w:t>
      </w:r>
      <w:r>
        <w:rPr>
          <w:rFonts w:ascii="Cambria" w:hAnsi="Cambria" w:cs="Cambria"/>
          <w:b/>
          <w:bCs/>
          <w:sz w:val="20"/>
          <w:szCs w:val="20"/>
        </w:rPr>
        <w:t>V</w:t>
      </w:r>
      <w:r>
        <w:rPr>
          <w:rFonts w:ascii="Cambria" w:hAnsi="Cambria" w:cs="Cambria"/>
          <w:sz w:val="20"/>
          <w:szCs w:val="20"/>
        </w:rPr>
        <w:t xml:space="preserve"> – 50 b.</w:t>
      </w:r>
    </w:p>
    <w:p w:rsidR="001E2BB3" w:rsidRDefault="001E2BB3">
      <w:pPr>
        <w:widowControl w:val="0"/>
        <w:autoSpaceDE w:val="0"/>
        <w:autoSpaceDN w:val="0"/>
        <w:adjustRightInd w:val="0"/>
        <w:spacing w:after="0" w:line="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17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860" w:header="720" w:footer="720" w:gutter="0"/>
          <w:cols w:space="720" w:equalWidth="0">
            <w:col w:w="1020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6" w:name="page59"/>
      <w:bookmarkEnd w:id="26"/>
      <w:r>
        <w:rPr>
          <w:noProof/>
        </w:rPr>
        <w:drawing>
          <wp:anchor distT="0" distB="0" distL="114300" distR="114300" simplePos="0" relativeHeight="25171456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55"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17</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004"/>
        <w:rPr>
          <w:rFonts w:ascii="Times New Roman" w:hAnsi="Times New Roman" w:cs="Times New Roman"/>
          <w:sz w:val="24"/>
          <w:szCs w:val="24"/>
        </w:rPr>
      </w:pPr>
      <w:r>
        <w:rPr>
          <w:rFonts w:ascii="Cambria" w:hAnsi="Cambria" w:cs="Cambria"/>
          <w:b/>
          <w:bCs/>
          <w:i/>
          <w:iCs/>
        </w:rPr>
        <w:t>Jednotlivé kategorie způsobilých nákladů</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0"/>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Veškeré jednotlivé typové náklady neuvedené v tomto článku se považují za nezpůsobilé a nemohou být tudíž ani uznané.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50"/>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Způsobilé náklady se vykazují v těchto položkách: </w:t>
      </w:r>
    </w:p>
    <w:p w:rsidR="001E2BB3" w:rsidRDefault="001E2BB3">
      <w:pPr>
        <w:widowControl w:val="0"/>
        <w:autoSpaceDE w:val="0"/>
        <w:autoSpaceDN w:val="0"/>
        <w:adjustRightInd w:val="0"/>
        <w:spacing w:after="0" w:line="163" w:lineRule="exact"/>
        <w:rPr>
          <w:rFonts w:ascii="Cambria" w:hAnsi="Cambria" w:cs="Cambria"/>
          <w:b/>
          <w:bCs/>
        </w:rPr>
      </w:pPr>
    </w:p>
    <w:p w:rsidR="001E2BB3" w:rsidRDefault="00E83CAF">
      <w:pPr>
        <w:widowControl w:val="0"/>
        <w:numPr>
          <w:ilvl w:val="1"/>
          <w:numId w:val="5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osobní náklady,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5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investice,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5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náklady na subdodávky,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5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ostatní přímé náklady a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1"/>
          <w:numId w:val="50"/>
        </w:numPr>
        <w:tabs>
          <w:tab w:val="clear" w:pos="1440"/>
          <w:tab w:val="num" w:pos="664"/>
        </w:tabs>
        <w:overflowPunct w:val="0"/>
        <w:autoSpaceDE w:val="0"/>
        <w:autoSpaceDN w:val="0"/>
        <w:adjustRightInd w:val="0"/>
        <w:spacing w:after="0" w:line="240" w:lineRule="auto"/>
        <w:ind w:left="664" w:hanging="370"/>
        <w:jc w:val="both"/>
        <w:rPr>
          <w:rFonts w:ascii="Cambria" w:hAnsi="Cambria" w:cs="Cambria"/>
        </w:rPr>
      </w:pPr>
      <w:r>
        <w:rPr>
          <w:rFonts w:ascii="Cambria" w:hAnsi="Cambria" w:cs="Cambria"/>
        </w:rPr>
        <w:t xml:space="preserve">ostatní nepřímé náklady. </w:t>
      </w:r>
    </w:p>
    <w:p w:rsidR="001E2BB3" w:rsidRDefault="001E2BB3">
      <w:pPr>
        <w:widowControl w:val="0"/>
        <w:autoSpaceDE w:val="0"/>
        <w:autoSpaceDN w:val="0"/>
        <w:adjustRightInd w:val="0"/>
        <w:spacing w:after="0" w:line="177" w:lineRule="exact"/>
        <w:rPr>
          <w:rFonts w:ascii="Cambria" w:hAnsi="Cambria" w:cs="Cambria"/>
        </w:rPr>
      </w:pPr>
    </w:p>
    <w:p w:rsidR="001E2BB3" w:rsidRDefault="00E83CAF">
      <w:pPr>
        <w:widowControl w:val="0"/>
        <w:numPr>
          <w:ilvl w:val="0"/>
          <w:numId w:val="50"/>
        </w:numPr>
        <w:tabs>
          <w:tab w:val="clear" w:pos="720"/>
          <w:tab w:val="num" w:pos="364"/>
        </w:tabs>
        <w:overflowPunct w:val="0"/>
        <w:autoSpaceDE w:val="0"/>
        <w:autoSpaceDN w:val="0"/>
        <w:adjustRightInd w:val="0"/>
        <w:spacing w:after="0" w:line="302" w:lineRule="auto"/>
        <w:ind w:left="364" w:hanging="364"/>
        <w:jc w:val="both"/>
        <w:rPr>
          <w:rFonts w:ascii="Cambria" w:hAnsi="Cambria" w:cs="Cambria"/>
          <w:b/>
          <w:bCs/>
        </w:rPr>
      </w:pPr>
      <w:r>
        <w:rPr>
          <w:rFonts w:ascii="Cambria" w:hAnsi="Cambria" w:cs="Cambria"/>
          <w:b/>
          <w:bCs/>
        </w:rPr>
        <w:t xml:space="preserve">Osobní náklady </w:t>
      </w:r>
      <w:r>
        <w:rPr>
          <w:rFonts w:ascii="Cambria" w:hAnsi="Cambria" w:cs="Cambria"/>
        </w:rPr>
        <w:t>zahrnují náklady na mzdy nebo platy a povinné odvody na pojistné na všeobecné</w:t>
      </w:r>
      <w:r>
        <w:rPr>
          <w:rFonts w:ascii="Cambria" w:hAnsi="Cambria" w:cs="Cambria"/>
          <w:b/>
          <w:bCs/>
        </w:rPr>
        <w:t xml:space="preserve"> </w:t>
      </w:r>
      <w:r>
        <w:rPr>
          <w:rFonts w:ascii="Cambria" w:hAnsi="Cambria" w:cs="Cambria"/>
        </w:rPr>
        <w:t xml:space="preserve">zdravotní pojištění, pojistné na sociální zabezpečení a příspěvek na státní politiku zaměstnanosti a další zákonné povinnosti zaměstnavatele nebo povinnosti zaměstnavatele vyplývající z platných vnitřních předpisů (např. fond kulturních a sociálních potřeb, sociální fond, zákonné pojištění odpovědnosti zaměstnavatele, apod.). Odměny mohou být vypláceny jen pracovníkům, kteří jsou zaměstnanci podle zákona 262/2006 Sb., zákoník práce a podílí se na řešení předmětného projektu, a </w:t>
      </w:r>
      <w:r>
        <w:rPr>
          <w:rFonts w:ascii="Cambria" w:hAnsi="Cambria" w:cs="Cambria"/>
          <w:b/>
          <w:bCs/>
        </w:rPr>
        <w:t>nepřevyšují</w:t>
      </w:r>
      <w:r>
        <w:rPr>
          <w:rFonts w:ascii="Cambria" w:hAnsi="Cambria" w:cs="Cambria"/>
        </w:rPr>
        <w:t xml:space="preserve"> </w:t>
      </w:r>
      <w:r>
        <w:rPr>
          <w:rFonts w:ascii="Cambria" w:hAnsi="Cambria" w:cs="Cambria"/>
          <w:b/>
          <w:bCs/>
        </w:rPr>
        <w:t>maximální roční součet dvou měsíčních platů</w:t>
      </w:r>
      <w:r>
        <w:rPr>
          <w:rFonts w:ascii="Cambria" w:hAnsi="Cambria" w:cs="Cambria"/>
        </w:rPr>
        <w:t>. Mzdy nebo platy, odměny z dohod o pracovní</w:t>
      </w:r>
      <w:r>
        <w:rPr>
          <w:rFonts w:ascii="Cambria" w:hAnsi="Cambria" w:cs="Cambria"/>
          <w:b/>
          <w:bCs/>
        </w:rPr>
        <w:t xml:space="preserve"> </w:t>
      </w:r>
      <w:r>
        <w:rPr>
          <w:rFonts w:ascii="Cambria" w:hAnsi="Cambria" w:cs="Cambria"/>
        </w:rPr>
        <w:t xml:space="preserve">činnosti či dohod o provedení práce musí odpovídat schválenému mzdovému, platovému nebo jinému předpisu příjemce. V případě náhrad jsou způsobilými náklady náhrady za dovolenou a nemoc (a to u pracovníka s pevně stanoveným pracovním úvazkem v projektu). Osobě samostatně výdělečně činné jako samostatnému příjemci náleží odměna za činnost při řešení návrhu projektu, pokud odpovídá hodinové sazbě zaměstnanců s obdobnou kvalifikací či zkušeností (je v místě a čase obvyklá). </w:t>
      </w:r>
    </w:p>
    <w:p w:rsidR="001E2BB3" w:rsidRDefault="001E2BB3">
      <w:pPr>
        <w:widowControl w:val="0"/>
        <w:autoSpaceDE w:val="0"/>
        <w:autoSpaceDN w:val="0"/>
        <w:adjustRightInd w:val="0"/>
        <w:spacing w:after="0" w:line="5" w:lineRule="exact"/>
        <w:rPr>
          <w:rFonts w:ascii="Cambria" w:hAnsi="Cambria" w:cs="Cambria"/>
          <w:b/>
          <w:bCs/>
        </w:rPr>
      </w:pPr>
    </w:p>
    <w:p w:rsidR="001E2BB3" w:rsidRDefault="00E83CAF">
      <w:pPr>
        <w:widowControl w:val="0"/>
        <w:numPr>
          <w:ilvl w:val="0"/>
          <w:numId w:val="50"/>
        </w:numPr>
        <w:tabs>
          <w:tab w:val="clear" w:pos="720"/>
          <w:tab w:val="num" w:pos="364"/>
        </w:tabs>
        <w:overflowPunct w:val="0"/>
        <w:autoSpaceDE w:val="0"/>
        <w:autoSpaceDN w:val="0"/>
        <w:adjustRightInd w:val="0"/>
        <w:spacing w:after="0" w:line="309" w:lineRule="auto"/>
        <w:ind w:left="364" w:hanging="364"/>
        <w:jc w:val="both"/>
        <w:rPr>
          <w:rFonts w:ascii="Cambria" w:hAnsi="Cambria" w:cs="Cambria"/>
          <w:b/>
          <w:bCs/>
        </w:rPr>
      </w:pPr>
      <w:r>
        <w:rPr>
          <w:rFonts w:ascii="Cambria" w:hAnsi="Cambria" w:cs="Cambria"/>
          <w:b/>
          <w:bCs/>
        </w:rPr>
        <w:t xml:space="preserve">Investice </w:t>
      </w:r>
      <w:r>
        <w:rPr>
          <w:rFonts w:ascii="Cambria" w:hAnsi="Cambria" w:cs="Cambria"/>
        </w:rPr>
        <w:t>zahrnují výdaje na pořízení dlouhodobého hmotného a nehmotného majetku. Za způsobilé</w:t>
      </w:r>
      <w:r>
        <w:rPr>
          <w:rFonts w:ascii="Cambria" w:hAnsi="Cambria" w:cs="Cambria"/>
          <w:b/>
          <w:bCs/>
        </w:rPr>
        <w:t xml:space="preserve"> </w:t>
      </w:r>
      <w:r>
        <w:rPr>
          <w:rFonts w:ascii="Cambria" w:hAnsi="Cambria" w:cs="Cambria"/>
        </w:rPr>
        <w:t xml:space="preserve">výdaje na pořízení dlouhodobého hmotného a nehmotného majetku potřebného pro řešení projektu je považována pouze ta část pořizovací ceny investice, která je rovna výši odpisů odpovídající délce trvání projektu, v rozsahu jeho využívání a době využívání pro potřeby řešení projektu vypočtené pomocí zavedených účetních postupů. Při odepisování lze použít účetní nebo daňové odpisy. V případě, že budou využity účetní odpisy, délka odepisování nesmí být kratší než doba stanovená u daňových odpisů (dle zákona č. 563/1991 Sb., o účetnictví). </w:t>
      </w:r>
    </w:p>
    <w:p w:rsidR="001E2BB3" w:rsidRDefault="00E83CAF">
      <w:pPr>
        <w:widowControl w:val="0"/>
        <w:numPr>
          <w:ilvl w:val="0"/>
          <w:numId w:val="50"/>
        </w:numPr>
        <w:tabs>
          <w:tab w:val="clear" w:pos="720"/>
          <w:tab w:val="num" w:pos="364"/>
        </w:tabs>
        <w:overflowPunct w:val="0"/>
        <w:autoSpaceDE w:val="0"/>
        <w:autoSpaceDN w:val="0"/>
        <w:adjustRightInd w:val="0"/>
        <w:spacing w:after="0" w:line="326" w:lineRule="auto"/>
        <w:ind w:left="364" w:hanging="364"/>
        <w:jc w:val="both"/>
        <w:rPr>
          <w:rFonts w:ascii="Cambria" w:hAnsi="Cambria" w:cs="Cambria"/>
          <w:b/>
          <w:bCs/>
          <w:sz w:val="21"/>
          <w:szCs w:val="21"/>
        </w:rPr>
      </w:pPr>
      <w:r>
        <w:rPr>
          <w:rFonts w:ascii="Cambria" w:hAnsi="Cambria" w:cs="Cambria"/>
          <w:b/>
          <w:bCs/>
          <w:sz w:val="21"/>
          <w:szCs w:val="21"/>
        </w:rPr>
        <w:t xml:space="preserve">Náklady na subdodávky </w:t>
      </w:r>
      <w:r>
        <w:rPr>
          <w:rFonts w:ascii="Cambria" w:hAnsi="Cambria" w:cs="Cambria"/>
          <w:sz w:val="21"/>
          <w:szCs w:val="21"/>
        </w:rPr>
        <w:t>představují náklady vzniklé v přímé souvislosti s řešením projektu, tj. přenesení</w:t>
      </w:r>
      <w:r>
        <w:rPr>
          <w:rFonts w:ascii="Cambria" w:hAnsi="Cambria" w:cs="Cambria"/>
          <w:b/>
          <w:bCs/>
          <w:sz w:val="21"/>
          <w:szCs w:val="21"/>
        </w:rPr>
        <w:t xml:space="preserve"> </w:t>
      </w:r>
      <w:r>
        <w:rPr>
          <w:rFonts w:ascii="Cambria" w:hAnsi="Cambria" w:cs="Cambria"/>
          <w:sz w:val="21"/>
          <w:szCs w:val="21"/>
        </w:rPr>
        <w:t xml:space="preserve">části výzkumné činnosti projektu na dodavatele. Dodavatelem subdodávek nesmí být člen řešitelského týmu ani jiný zaměstnanec příjemce nebo osoba spojená (ve smyslu § 23 odst. 7 zákona č. 586/1992 Sb.,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ZVZ omezit věcně v zadávacích podmínkách. </w:t>
      </w:r>
    </w:p>
    <w:p w:rsidR="001E2BB3" w:rsidRDefault="001E2BB3">
      <w:pPr>
        <w:widowControl w:val="0"/>
        <w:autoSpaceDE w:val="0"/>
        <w:autoSpaceDN w:val="0"/>
        <w:adjustRightInd w:val="0"/>
        <w:spacing w:after="0" w:line="3" w:lineRule="exact"/>
        <w:rPr>
          <w:rFonts w:ascii="Cambria" w:hAnsi="Cambria" w:cs="Cambria"/>
          <w:b/>
          <w:bCs/>
          <w:sz w:val="21"/>
          <w:szCs w:val="21"/>
        </w:rPr>
      </w:pPr>
    </w:p>
    <w:p w:rsidR="001E2BB3" w:rsidRDefault="00E83CAF">
      <w:pPr>
        <w:widowControl w:val="0"/>
        <w:numPr>
          <w:ilvl w:val="0"/>
          <w:numId w:val="50"/>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b/>
          <w:bCs/>
        </w:rPr>
        <w:t xml:space="preserve">Ostatní přímé náklady </w:t>
      </w:r>
      <w:r>
        <w:rPr>
          <w:rFonts w:ascii="Cambria" w:hAnsi="Cambria" w:cs="Cambria"/>
        </w:rPr>
        <w:t>zahrnují</w:t>
      </w:r>
      <w:r>
        <w:rPr>
          <w:rFonts w:ascii="Cambria" w:hAnsi="Cambria" w:cs="Cambria"/>
          <w:b/>
          <w:bCs/>
        </w:rPr>
        <w:t xml:space="preserve">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6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18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7" w:name="page61"/>
      <w:bookmarkEnd w:id="27"/>
      <w:r>
        <w:rPr>
          <w:noProof/>
        </w:rPr>
        <w:drawing>
          <wp:anchor distT="0" distB="0" distL="114300" distR="114300" simplePos="0" relativeHeight="25171558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84" w:lineRule="exact"/>
        <w:rPr>
          <w:rFonts w:ascii="Times New Roman" w:hAnsi="Times New Roman" w:cs="Times New Roman"/>
          <w:sz w:val="24"/>
          <w:szCs w:val="24"/>
        </w:rPr>
      </w:pPr>
    </w:p>
    <w:p w:rsidR="001E2BB3" w:rsidRDefault="00E83CAF">
      <w:pPr>
        <w:widowControl w:val="0"/>
        <w:numPr>
          <w:ilvl w:val="0"/>
          <w:numId w:val="51"/>
        </w:numPr>
        <w:tabs>
          <w:tab w:val="clear" w:pos="72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náklady na ochranu práv duševního vlastnictví, která jsou výsledkem projektu (zejména související poplatky, překlady, rešerše, náklady na patentového zástupce) a náklady na ochranu již vznesených práv k duševnímu vlastnictví potřebného k řešení projektu,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0"/>
          <w:numId w:val="51"/>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další provozní náklady vzniklé v přímé souvislosti s řešením projektu, kterými jsou materiál, zásoby, služby a drobný hmotný a nehmotný majetek,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51"/>
        </w:numPr>
        <w:tabs>
          <w:tab w:val="clear" w:pos="720"/>
          <w:tab w:val="num" w:pos="664"/>
        </w:tabs>
        <w:overflowPunct w:val="0"/>
        <w:autoSpaceDE w:val="0"/>
        <w:autoSpaceDN w:val="0"/>
        <w:adjustRightInd w:val="0"/>
        <w:spacing w:after="0" w:line="348" w:lineRule="auto"/>
        <w:ind w:left="664" w:hanging="370"/>
        <w:jc w:val="both"/>
        <w:rPr>
          <w:rFonts w:ascii="Cambria" w:hAnsi="Cambria" w:cs="Cambria"/>
        </w:rPr>
      </w:pPr>
      <w:r>
        <w:rPr>
          <w:rFonts w:ascii="Cambria" w:hAnsi="Cambria" w:cs="Cambria"/>
        </w:rPr>
        <w:t xml:space="preserve">náklady na provoz, opravy a údržbu dlouhodobého hmotného a nehmotného majetku využívaného při řešení projektu, a to ve výši odpovídající délce období a podílu předpokládaného užití,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51"/>
        </w:numPr>
        <w:tabs>
          <w:tab w:val="clear" w:pos="72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část odpisů dlouhodobého hmotného a nehmotného majetku ve výši odpovídající délce období a podílu předpokládaného užití tohoto majetku pro řešení projektu, který nebyl pořízen z veřejných prostředků a není zahrnut do kategorie investice tohoto projektu, </w:t>
      </w:r>
    </w:p>
    <w:p w:rsidR="001E2BB3" w:rsidRDefault="001E2BB3">
      <w:pPr>
        <w:widowControl w:val="0"/>
        <w:autoSpaceDE w:val="0"/>
        <w:autoSpaceDN w:val="0"/>
        <w:adjustRightInd w:val="0"/>
        <w:spacing w:after="0" w:line="1" w:lineRule="exact"/>
        <w:rPr>
          <w:rFonts w:ascii="Cambria" w:hAnsi="Cambria" w:cs="Cambria"/>
        </w:rPr>
      </w:pPr>
    </w:p>
    <w:p w:rsidR="001E2BB3" w:rsidRDefault="00E83CAF">
      <w:pPr>
        <w:widowControl w:val="0"/>
        <w:numPr>
          <w:ilvl w:val="0"/>
          <w:numId w:val="51"/>
        </w:numPr>
        <w:tabs>
          <w:tab w:val="clear" w:pos="720"/>
          <w:tab w:val="num" w:pos="664"/>
        </w:tabs>
        <w:overflowPunct w:val="0"/>
        <w:autoSpaceDE w:val="0"/>
        <w:autoSpaceDN w:val="0"/>
        <w:adjustRightInd w:val="0"/>
        <w:spacing w:after="0" w:line="315" w:lineRule="auto"/>
        <w:ind w:left="664" w:hanging="370"/>
        <w:jc w:val="both"/>
        <w:rPr>
          <w:rFonts w:ascii="Cambria" w:hAnsi="Cambria" w:cs="Cambria"/>
        </w:rPr>
      </w:pPr>
      <w:r>
        <w:rPr>
          <w:rFonts w:ascii="Cambria" w:hAnsi="Cambria" w:cs="Cambria"/>
        </w:rPr>
        <w:t xml:space="preserve">cestovní náklady vzniklé v přímé souvislosti s řešením projektu (náklady na pracovní pobyty, konferenční poplatky), a s tím spojené cestovní náhrady podle zákona č. 262/2006 Sb., zákoník práce, přičemž musí být prokazatelný přínos cesty pro řešení projektu, tj. zejména je naplněna podmínka aktivní účasti na pracovní cestě, anebo pracovní cesta je již deklarována ve schváleném návrhu projektu, a </w:t>
      </w:r>
    </w:p>
    <w:p w:rsidR="001E2BB3" w:rsidRDefault="001E2BB3">
      <w:pPr>
        <w:widowControl w:val="0"/>
        <w:autoSpaceDE w:val="0"/>
        <w:autoSpaceDN w:val="0"/>
        <w:adjustRightInd w:val="0"/>
        <w:spacing w:after="0" w:line="2" w:lineRule="exact"/>
        <w:rPr>
          <w:rFonts w:ascii="Cambria" w:hAnsi="Cambria" w:cs="Cambria"/>
        </w:rPr>
      </w:pPr>
    </w:p>
    <w:p w:rsidR="001E2BB3" w:rsidRDefault="00E83CAF">
      <w:pPr>
        <w:widowControl w:val="0"/>
        <w:numPr>
          <w:ilvl w:val="0"/>
          <w:numId w:val="51"/>
        </w:numPr>
        <w:tabs>
          <w:tab w:val="clear" w:pos="720"/>
          <w:tab w:val="num" w:pos="664"/>
        </w:tabs>
        <w:overflowPunct w:val="0"/>
        <w:autoSpaceDE w:val="0"/>
        <w:autoSpaceDN w:val="0"/>
        <w:adjustRightInd w:val="0"/>
        <w:spacing w:after="0" w:line="330" w:lineRule="auto"/>
        <w:ind w:left="664" w:hanging="370"/>
        <w:jc w:val="both"/>
        <w:rPr>
          <w:rFonts w:ascii="Cambria" w:hAnsi="Cambria" w:cs="Cambria"/>
        </w:rPr>
      </w:pPr>
      <w:r>
        <w:rPr>
          <w:rFonts w:ascii="Cambria" w:hAnsi="Cambria" w:cs="Cambria"/>
        </w:rPr>
        <w:t xml:space="preserve">stipendia uvedená v § 91 odst. 2 písm. c) zákona č. 111/1998 Sb., o vysokých školách a o změně a doplnění dalších zákonů (zákon o vysokých školách), resp. jeho poměrnou část, pokud student provádí činnost podle tohoto ustanovení i mimo příslušný projekt. </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30" w:lineRule="auto"/>
        <w:ind w:left="364"/>
        <w:jc w:val="both"/>
        <w:rPr>
          <w:rFonts w:ascii="Times New Roman" w:hAnsi="Times New Roman" w:cs="Times New Roman"/>
          <w:sz w:val="24"/>
          <w:szCs w:val="24"/>
        </w:rPr>
      </w:pPr>
      <w:r>
        <w:rPr>
          <w:rFonts w:ascii="Cambria" w:hAnsi="Cambria" w:cs="Cambria"/>
        </w:rPr>
        <w:t>Za podmínek existence vnitřního předpisu, prokázání prvotními účetními doklady, bez započtení zisku a dodržení všech principů uvedených v této části, lze uznat rovněž plnění mezi organizačními složkami příjemce (tzv. vnitrofaktury).</w:t>
      </w:r>
    </w:p>
    <w:p w:rsidR="001E2BB3" w:rsidRDefault="001E2BB3">
      <w:pPr>
        <w:widowControl w:val="0"/>
        <w:autoSpaceDE w:val="0"/>
        <w:autoSpaceDN w:val="0"/>
        <w:adjustRightInd w:val="0"/>
        <w:spacing w:after="0" w:line="1" w:lineRule="exact"/>
        <w:rPr>
          <w:rFonts w:ascii="Times New Roman" w:hAnsi="Times New Roman" w:cs="Times New Roman"/>
          <w:sz w:val="24"/>
          <w:szCs w:val="24"/>
        </w:rPr>
      </w:pPr>
    </w:p>
    <w:p w:rsidR="001E2BB3" w:rsidRDefault="00E83CAF">
      <w:pPr>
        <w:widowControl w:val="0"/>
        <w:overflowPunct w:val="0"/>
        <w:autoSpaceDE w:val="0"/>
        <w:autoSpaceDN w:val="0"/>
        <w:adjustRightInd w:val="0"/>
        <w:spacing w:after="0" w:line="321" w:lineRule="auto"/>
        <w:ind w:left="364" w:hanging="360"/>
        <w:jc w:val="both"/>
        <w:rPr>
          <w:rFonts w:ascii="Times New Roman" w:hAnsi="Times New Roman" w:cs="Times New Roman"/>
          <w:sz w:val="24"/>
          <w:szCs w:val="24"/>
        </w:rPr>
      </w:pPr>
      <w:r>
        <w:rPr>
          <w:rFonts w:ascii="Cambria" w:hAnsi="Cambria" w:cs="Cambria"/>
          <w:b/>
          <w:bCs/>
        </w:rPr>
        <w:t xml:space="preserve">7. Nepřímé náklady </w:t>
      </w:r>
      <w:r>
        <w:rPr>
          <w:rFonts w:ascii="Cambria" w:hAnsi="Cambria" w:cs="Cambria"/>
        </w:rPr>
        <w:t>jsou náklady vzniklé v přímé souvislosti s řešením projektu, resp. pouze jejich část</w:t>
      </w:r>
      <w:r>
        <w:rPr>
          <w:rFonts w:ascii="Cambria" w:hAnsi="Cambria" w:cs="Cambria"/>
          <w:b/>
          <w:bCs/>
        </w:rPr>
        <w:t xml:space="preserve"> </w:t>
      </w:r>
      <w:r>
        <w:rPr>
          <w:rFonts w:ascii="Cambria" w:hAnsi="Cambria" w:cs="Cambria"/>
        </w:rPr>
        <w:t>určená podle některé z následujících metod, např. administrativní náklady, nájemné, náklady na pomocný personál a infrastrukturu, energii a služby, pokud již nejsou uvedené v jiných kategoriích. Nepřímé náklady se musí vztahovat k projektu a musí být vykazovány v souladu</w:t>
      </w:r>
    </w:p>
    <w:p w:rsidR="001E2BB3" w:rsidRDefault="00E83CAF">
      <w:pPr>
        <w:widowControl w:val="0"/>
        <w:numPr>
          <w:ilvl w:val="0"/>
          <w:numId w:val="52"/>
        </w:numPr>
        <w:tabs>
          <w:tab w:val="clear" w:pos="720"/>
          <w:tab w:val="num" w:pos="664"/>
        </w:tabs>
        <w:overflowPunct w:val="0"/>
        <w:autoSpaceDE w:val="0"/>
        <w:autoSpaceDN w:val="0"/>
        <w:adjustRightInd w:val="0"/>
        <w:spacing w:after="0" w:line="321" w:lineRule="auto"/>
        <w:ind w:left="664" w:hanging="370"/>
        <w:jc w:val="both"/>
        <w:rPr>
          <w:rFonts w:ascii="Cambria" w:hAnsi="Cambria" w:cs="Cambria"/>
        </w:rPr>
      </w:pPr>
      <w:r>
        <w:rPr>
          <w:rFonts w:ascii="Cambria" w:hAnsi="Cambria" w:cs="Cambria"/>
        </w:rPr>
        <w:t xml:space="preserve">s metodou vykazování skutečných nepřímých nákladů, tzv. metodou </w:t>
      </w:r>
      <w:r>
        <w:rPr>
          <w:rFonts w:ascii="Cambria" w:hAnsi="Cambria" w:cs="Cambria"/>
          <w:b/>
          <w:bCs/>
        </w:rPr>
        <w:t>„full cost“</w:t>
      </w:r>
      <w:r>
        <w:rPr>
          <w:rFonts w:ascii="Cambria" w:hAnsi="Cambria" w:cs="Cambria"/>
        </w:rPr>
        <w:t xml:space="preserve">, kdy organizace má již existující systém a vnitřní předpis, na jejichž základě přiřazuje jednotlivé nepřímé náklady danému projektu, takto vykázané nepřímé náklady musí být podloženy patřičnými účetními doklady a výše nepřímých nákladů není limitována, nebo </w:t>
      </w:r>
    </w:p>
    <w:p w:rsidR="001E2BB3" w:rsidRDefault="00E83CAF">
      <w:pPr>
        <w:widowControl w:val="0"/>
        <w:numPr>
          <w:ilvl w:val="0"/>
          <w:numId w:val="52"/>
        </w:numPr>
        <w:tabs>
          <w:tab w:val="clear" w:pos="720"/>
          <w:tab w:val="num" w:pos="664"/>
        </w:tabs>
        <w:overflowPunct w:val="0"/>
        <w:autoSpaceDE w:val="0"/>
        <w:autoSpaceDN w:val="0"/>
        <w:adjustRightInd w:val="0"/>
        <w:spacing w:after="0" w:line="356" w:lineRule="auto"/>
        <w:ind w:left="664" w:hanging="370"/>
        <w:jc w:val="both"/>
        <w:rPr>
          <w:rFonts w:ascii="Cambria" w:hAnsi="Cambria" w:cs="Cambria"/>
        </w:rPr>
      </w:pPr>
      <w:r>
        <w:rPr>
          <w:rFonts w:ascii="Cambria" w:hAnsi="Cambria" w:cs="Cambria"/>
        </w:rPr>
        <w:t xml:space="preserve">metodou vykazování nepřímých nákladů na základě pevné sazby, tzv. metodou </w:t>
      </w:r>
      <w:r>
        <w:rPr>
          <w:rFonts w:ascii="Cambria" w:hAnsi="Cambria" w:cs="Cambria"/>
          <w:b/>
          <w:bCs/>
        </w:rPr>
        <w:t>„flat rate“</w:t>
      </w:r>
      <w:r>
        <w:rPr>
          <w:rFonts w:ascii="Cambria" w:hAnsi="Cambria" w:cs="Cambria"/>
        </w:rPr>
        <w:t xml:space="preserve">, do výše 20 % ze součtu skutečně vykázaných osobních nákladů a ostatních přímých nákladů příjemce v příslušném roce, kdy takto vykázané nepřímé náklady se nemusí dokládat patřičnými účetními doklady. </w:t>
      </w:r>
    </w:p>
    <w:p w:rsidR="001E2BB3" w:rsidRDefault="001E2BB3">
      <w:pPr>
        <w:widowControl w:val="0"/>
        <w:autoSpaceDE w:val="0"/>
        <w:autoSpaceDN w:val="0"/>
        <w:adjustRightInd w:val="0"/>
        <w:spacing w:after="0" w:line="41"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18</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344"/>
        <w:rPr>
          <w:rFonts w:ascii="Times New Roman" w:hAnsi="Times New Roman" w:cs="Times New Roman"/>
          <w:sz w:val="24"/>
          <w:szCs w:val="24"/>
        </w:rPr>
      </w:pPr>
      <w:r>
        <w:rPr>
          <w:rFonts w:ascii="Cambria" w:hAnsi="Cambria" w:cs="Cambria"/>
          <w:b/>
          <w:bCs/>
          <w:i/>
          <w:iCs/>
        </w:rPr>
        <w:t>Přesun a změna uznaných nákladů projektu a podpory</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3"/>
        </w:numPr>
        <w:tabs>
          <w:tab w:val="clear" w:pos="720"/>
          <w:tab w:val="num" w:pos="364"/>
        </w:tabs>
        <w:overflowPunct w:val="0"/>
        <w:autoSpaceDE w:val="0"/>
        <w:autoSpaceDN w:val="0"/>
        <w:adjustRightInd w:val="0"/>
        <w:spacing w:after="0" w:line="330" w:lineRule="auto"/>
        <w:ind w:left="364" w:hanging="364"/>
        <w:jc w:val="both"/>
        <w:rPr>
          <w:rFonts w:ascii="Cambria" w:hAnsi="Cambria" w:cs="Cambria"/>
          <w:b/>
          <w:bCs/>
        </w:rPr>
      </w:pPr>
      <w:r>
        <w:rPr>
          <w:rFonts w:ascii="Cambria" w:hAnsi="Cambria" w:cs="Cambria"/>
        </w:rPr>
        <w:t xml:space="preserve">Uznané náklady a s tím související výše podpory poskytnuté na řešení projektu na celou dobu řešení projektu mohou být změněny v průběhu řešení maximálně o 50 % výše uznaných nákladů nebo výše podpory z veřejných prostředků uvedených ve Smlouvě, jak o nich poskytovatel rozhodl při vyhodnocení veřejné soutěže ve výzkumu, vývoji a inovacích.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1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19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8" w:name="page63"/>
      <w:bookmarkEnd w:id="28"/>
      <w:r>
        <w:rPr>
          <w:noProof/>
        </w:rPr>
        <w:drawing>
          <wp:anchor distT="0" distB="0" distL="114300" distR="114300" simplePos="0" relativeHeight="25171660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71" w:lineRule="exact"/>
        <w:rPr>
          <w:rFonts w:ascii="Times New Roman" w:hAnsi="Times New Roman" w:cs="Times New Roman"/>
          <w:sz w:val="24"/>
          <w:szCs w:val="24"/>
        </w:rPr>
      </w:pPr>
    </w:p>
    <w:p w:rsidR="001E2BB3" w:rsidRDefault="00E83CAF">
      <w:pPr>
        <w:widowControl w:val="0"/>
        <w:numPr>
          <w:ilvl w:val="0"/>
          <w:numId w:val="54"/>
        </w:numPr>
        <w:tabs>
          <w:tab w:val="clear" w:pos="720"/>
          <w:tab w:val="num" w:pos="364"/>
        </w:tabs>
        <w:overflowPunct w:val="0"/>
        <w:autoSpaceDE w:val="0"/>
        <w:autoSpaceDN w:val="0"/>
        <w:adjustRightInd w:val="0"/>
        <w:spacing w:after="0" w:line="419" w:lineRule="auto"/>
        <w:ind w:left="364" w:hanging="364"/>
        <w:jc w:val="both"/>
        <w:rPr>
          <w:rFonts w:ascii="Cambria" w:hAnsi="Cambria" w:cs="Cambria"/>
          <w:b/>
          <w:bCs/>
        </w:rPr>
      </w:pPr>
      <w:r>
        <w:rPr>
          <w:rFonts w:ascii="Cambria" w:hAnsi="Cambria" w:cs="Cambria"/>
        </w:rPr>
        <w:t xml:space="preserve">SME-07 Změnová řízení projektů stanoví postup smluvních stran v případě žádosti hlavního příjemce o změnu ohledně přesunu nebo změny uznaných nákladů projektu a výše podpory. </w:t>
      </w: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19</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984"/>
        <w:rPr>
          <w:rFonts w:ascii="Times New Roman" w:hAnsi="Times New Roman" w:cs="Times New Roman"/>
          <w:sz w:val="24"/>
          <w:szCs w:val="24"/>
        </w:rPr>
      </w:pPr>
      <w:r>
        <w:rPr>
          <w:rFonts w:ascii="Cambria" w:hAnsi="Cambria" w:cs="Cambria"/>
          <w:b/>
          <w:bCs/>
          <w:i/>
          <w:iCs/>
        </w:rPr>
        <w:t>Kontroly a hodnocení</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5"/>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Poskytovatel je oprávněn provádět kdykoliv veřejnosprávní kontrolu v souladu se zákonem č. 320/2001 Sb., o finanční kontrole, postupem podle zákona č. 255/2012 Sb., o kontrole (kontrolní řád), a v minimálním rozsahu stanoveném § 13 ZPVV. Poskytovatel postupuje podle těchto předpisů a podle směrnice </w:t>
      </w:r>
      <w:r>
        <w:rPr>
          <w:rFonts w:ascii="Cambria" w:hAnsi="Cambria" w:cs="Cambria"/>
          <w:b/>
          <w:bCs/>
        </w:rPr>
        <w:t>SME-22 Veřejnosprávní finanční kontrola</w:t>
      </w:r>
      <w:r>
        <w:rPr>
          <w:rFonts w:ascii="Times" w:hAnsi="Times" w:cs="Times"/>
        </w:rPr>
        <w:t>.</w:t>
      </w:r>
      <w:r>
        <w:rPr>
          <w:rFonts w:ascii="Cambria" w:hAnsi="Cambria" w:cs="Cambria"/>
        </w:rPr>
        <w:t xml:space="preserve">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55"/>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Poskytovatel je dále oprávněn provádět hodnotící procesy během řešení projektu i po jeho ukončení. Smluvní strany za tímto účelem postupují podle příslušných vnitřních předpisů poskytovatele.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55"/>
        </w:numPr>
        <w:tabs>
          <w:tab w:val="clear" w:pos="720"/>
          <w:tab w:val="num" w:pos="364"/>
        </w:tabs>
        <w:overflowPunct w:val="0"/>
        <w:autoSpaceDE w:val="0"/>
        <w:autoSpaceDN w:val="0"/>
        <w:adjustRightInd w:val="0"/>
        <w:spacing w:after="0" w:line="290" w:lineRule="auto"/>
        <w:ind w:left="364" w:hanging="364"/>
        <w:jc w:val="both"/>
        <w:rPr>
          <w:rFonts w:ascii="Cambria" w:hAnsi="Cambria" w:cs="Cambria"/>
          <w:b/>
          <w:bCs/>
        </w:rPr>
      </w:pPr>
      <w:r>
        <w:rPr>
          <w:rFonts w:ascii="Cambria" w:hAnsi="Cambria" w:cs="Cambria"/>
        </w:rPr>
        <w:t xml:space="preserve">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deseti let od ukončení účinnosti této smlouvy a poskytnout mu při ní potřebnou součinnost. Tímto ujednáním nejsou dotčena ani omezena práva kontrolních a finančních orgánů státní správy České republiky.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55"/>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Pokud si tak poskytovatel vyžádá, předloží hlavní příjemce při kontrole či hodnocení výše uvedené doklady i za dalšího účastníka, které si od něj v dostatečném předstihu obstará.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55"/>
        </w:numPr>
        <w:tabs>
          <w:tab w:val="clear" w:pos="720"/>
          <w:tab w:val="num" w:pos="364"/>
        </w:tabs>
        <w:overflowPunct w:val="0"/>
        <w:autoSpaceDE w:val="0"/>
        <w:autoSpaceDN w:val="0"/>
        <w:adjustRightInd w:val="0"/>
        <w:spacing w:after="0" w:line="299" w:lineRule="auto"/>
        <w:ind w:left="364" w:hanging="364"/>
        <w:jc w:val="both"/>
        <w:rPr>
          <w:rFonts w:ascii="Cambria" w:hAnsi="Cambria" w:cs="Cambria"/>
          <w:b/>
          <w:bCs/>
        </w:rPr>
      </w:pPr>
      <w:r>
        <w:rPr>
          <w:rFonts w:ascii="Cambria" w:hAnsi="Cambria" w:cs="Cambria"/>
        </w:rPr>
        <w:t xml:space="preserve">Příjemce bere na vědomí, že v průběhu realizace veřejné zakázky ve výzkumu, vývoji a inovacích může docházet k hodnocení odborným garantem. Hodnocení odborným garantem není považováno za kontrolní ani hodnotící proces, nepodléhá jejich příslušným pravidlům a ani je nijak nenahrazuje. Příjemce se s odborným garantem může dohodnout na místě provedení hodnocení, přičemž platí to, že nemá povinnost hodnocení odborným garantem umožnit. Příjemce zároveň bere na vědomí, že poskytovatel bude po odborném garantovi vyžadovat veškeré dokumenty s jeho hodnocením spojené, včetně ročního plánu, který do 14 dnů po jeho obdržení zašle příjemci na vědomí.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39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2844"/>
        <w:rPr>
          <w:rFonts w:ascii="Times New Roman" w:hAnsi="Times New Roman" w:cs="Times New Roman"/>
          <w:sz w:val="24"/>
          <w:szCs w:val="24"/>
        </w:rPr>
      </w:pPr>
      <w:r>
        <w:rPr>
          <w:rFonts w:ascii="Cambria" w:hAnsi="Cambria" w:cs="Cambria"/>
          <w:b/>
          <w:bCs/>
          <w:sz w:val="28"/>
          <w:szCs w:val="28"/>
        </w:rPr>
        <w:t>ČÁST F – ZÁVĚREČNÁ USTANOVENÍ</w:t>
      </w:r>
    </w:p>
    <w:p w:rsidR="001E2BB3" w:rsidRDefault="001E2BB3">
      <w:pPr>
        <w:widowControl w:val="0"/>
        <w:autoSpaceDE w:val="0"/>
        <w:autoSpaceDN w:val="0"/>
        <w:adjustRightInd w:val="0"/>
        <w:spacing w:after="0" w:line="314"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20</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944"/>
        <w:rPr>
          <w:rFonts w:ascii="Times New Roman" w:hAnsi="Times New Roman" w:cs="Times New Roman"/>
          <w:sz w:val="24"/>
          <w:szCs w:val="24"/>
        </w:rPr>
      </w:pPr>
      <w:r>
        <w:rPr>
          <w:rFonts w:ascii="Cambria" w:hAnsi="Cambria" w:cs="Cambria"/>
          <w:b/>
          <w:bCs/>
          <w:i/>
          <w:iCs/>
        </w:rPr>
        <w:t>Spory smluvních stran</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6"/>
        </w:numPr>
        <w:tabs>
          <w:tab w:val="clear" w:pos="720"/>
          <w:tab w:val="num" w:pos="364"/>
        </w:tabs>
        <w:overflowPunct w:val="0"/>
        <w:autoSpaceDE w:val="0"/>
        <w:autoSpaceDN w:val="0"/>
        <w:adjustRightInd w:val="0"/>
        <w:spacing w:after="0" w:line="419" w:lineRule="auto"/>
        <w:ind w:left="364" w:hanging="364"/>
        <w:jc w:val="both"/>
        <w:rPr>
          <w:rFonts w:ascii="Cambria" w:hAnsi="Cambria" w:cs="Cambria"/>
          <w:b/>
          <w:bCs/>
        </w:rPr>
      </w:pPr>
      <w:r>
        <w:rPr>
          <w:rFonts w:ascii="Cambria" w:hAnsi="Cambria" w:cs="Cambria"/>
        </w:rPr>
        <w:t xml:space="preserve">Spory smluvních stran, vznikající z této Smlouvy a v souvislosti s ní, budou rozhodovány příslušným orgánem, resp. soudem. </w:t>
      </w: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21</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284"/>
        <w:rPr>
          <w:rFonts w:ascii="Times New Roman" w:hAnsi="Times New Roman" w:cs="Times New Roman"/>
          <w:sz w:val="24"/>
          <w:szCs w:val="24"/>
        </w:rPr>
      </w:pPr>
      <w:r>
        <w:rPr>
          <w:rFonts w:ascii="Cambria" w:hAnsi="Cambria" w:cs="Cambria"/>
          <w:b/>
          <w:bCs/>
          <w:i/>
          <w:iCs/>
        </w:rPr>
        <w:t>Změny smlouvy</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7"/>
        </w:numPr>
        <w:tabs>
          <w:tab w:val="clear" w:pos="720"/>
          <w:tab w:val="num" w:pos="364"/>
        </w:tabs>
        <w:overflowPunct w:val="0"/>
        <w:autoSpaceDE w:val="0"/>
        <w:autoSpaceDN w:val="0"/>
        <w:adjustRightInd w:val="0"/>
        <w:spacing w:after="0" w:line="305" w:lineRule="auto"/>
        <w:ind w:left="364" w:hanging="364"/>
        <w:jc w:val="both"/>
        <w:rPr>
          <w:rFonts w:ascii="Cambria" w:hAnsi="Cambria" w:cs="Cambria"/>
          <w:b/>
          <w:bCs/>
        </w:rPr>
      </w:pPr>
      <w:r>
        <w:rPr>
          <w:rFonts w:ascii="Cambria" w:hAnsi="Cambria" w:cs="Cambria"/>
        </w:rPr>
        <w:t xml:space="preserve">Smlouva, včetně jejích příloh, může být doplňována, upravována a měněna pouze písemnými, po sobě číslovanými dodatky ke Smlouvě, podepsanými smluvními stranami, s výjimkou těch případů, které jsou uvedeny ve směrnici </w:t>
      </w:r>
      <w:r>
        <w:rPr>
          <w:rFonts w:ascii="Cambria" w:hAnsi="Cambria" w:cs="Cambria"/>
          <w:b/>
          <w:bCs/>
        </w:rPr>
        <w:t>SME-07 Změnová řízení projektů</w:t>
      </w:r>
      <w:r>
        <w:rPr>
          <w:rFonts w:ascii="Cambria" w:hAnsi="Cambria" w:cs="Cambria"/>
        </w:rPr>
        <w:t xml:space="preserve"> (v příloze č. 2 této směrnice s názvem Typy změn u realizovaných projektů - způsob jejich posouzení hodnotícími orgány TA ČR) jako případy změn nevyžadující vyhotovení dodatku ke Smlouvě, kde změna nabývá platnosti a účinnosti zasláním schválení změny hlavnímu příjemci. Ústní dohody nejsou pro smluvní strany závazné. </w:t>
      </w:r>
    </w:p>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pgSz w:w="11906" w:h="16838"/>
          <w:pgMar w:top="723" w:right="840" w:bottom="0" w:left="916" w:header="720" w:footer="720" w:gutter="0"/>
          <w:cols w:space="720" w:equalWidth="0">
            <w:col w:w="10144"/>
          </w:cols>
          <w:noEndnote/>
        </w:sectPr>
      </w:pPr>
    </w:p>
    <w:p w:rsidR="001E2BB3" w:rsidRDefault="001E2BB3">
      <w:pPr>
        <w:widowControl w:val="0"/>
        <w:autoSpaceDE w:val="0"/>
        <w:autoSpaceDN w:val="0"/>
        <w:adjustRightInd w:val="0"/>
        <w:spacing w:after="0" w:line="15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20 / 21</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sectPr w:rsidR="001E2BB3">
          <w:type w:val="continuous"/>
          <w:pgSz w:w="11906" w:h="16838"/>
          <w:pgMar w:top="723" w:right="960" w:bottom="0" w:left="860" w:header="720" w:footer="720" w:gutter="0"/>
          <w:cols w:space="720" w:equalWidth="0">
            <w:col w:w="10080"/>
          </w:cols>
          <w:noEndnote/>
        </w:sectPr>
      </w:pPr>
    </w:p>
    <w:p w:rsidR="001E2BB3" w:rsidRDefault="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29" w:name="page65"/>
      <w:bookmarkEnd w:id="29"/>
      <w:r>
        <w:rPr>
          <w:noProof/>
        </w:rPr>
        <w:drawing>
          <wp:anchor distT="0" distB="0" distL="114300" distR="114300" simplePos="0" relativeHeight="25171763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sidR="00E83CAF">
        <w:rPr>
          <w:rFonts w:ascii="Cambria" w:hAnsi="Cambria" w:cs="Cambria"/>
          <w:b/>
          <w:bCs/>
          <w:sz w:val="24"/>
          <w:szCs w:val="24"/>
        </w:rPr>
        <w:t>VŠEOBECNÉ PODMÍNKY</w:t>
      </w:r>
    </w:p>
    <w:p w:rsidR="001E2BB3" w:rsidRDefault="00E83CAF">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projektu: TH02030766</w:t>
      </w:r>
    </w:p>
    <w:p w:rsidR="001E2BB3" w:rsidRDefault="001E2BB3">
      <w:pPr>
        <w:widowControl w:val="0"/>
        <w:autoSpaceDE w:val="0"/>
        <w:autoSpaceDN w:val="0"/>
        <w:adjustRightInd w:val="0"/>
        <w:spacing w:after="0" w:line="371" w:lineRule="exact"/>
        <w:rPr>
          <w:rFonts w:ascii="Times New Roman" w:hAnsi="Times New Roman" w:cs="Times New Roman"/>
          <w:sz w:val="24"/>
          <w:szCs w:val="24"/>
        </w:rPr>
      </w:pPr>
    </w:p>
    <w:p w:rsidR="001E2BB3" w:rsidRDefault="00E83CAF">
      <w:pPr>
        <w:widowControl w:val="0"/>
        <w:numPr>
          <w:ilvl w:val="0"/>
          <w:numId w:val="58"/>
        </w:numPr>
        <w:tabs>
          <w:tab w:val="clear" w:pos="720"/>
          <w:tab w:val="num" w:pos="364"/>
        </w:tabs>
        <w:overflowPunct w:val="0"/>
        <w:autoSpaceDE w:val="0"/>
        <w:autoSpaceDN w:val="0"/>
        <w:adjustRightInd w:val="0"/>
        <w:spacing w:after="0" w:line="295" w:lineRule="auto"/>
        <w:ind w:left="364" w:hanging="364"/>
        <w:jc w:val="both"/>
        <w:rPr>
          <w:rFonts w:ascii="Cambria" w:hAnsi="Cambria" w:cs="Cambria"/>
          <w:b/>
          <w:bCs/>
        </w:rPr>
      </w:pPr>
      <w:r>
        <w:rPr>
          <w:rFonts w:ascii="Cambria" w:hAnsi="Cambria" w:cs="Cambria"/>
        </w:rPr>
        <w:t xml:space="preserve">Pokud dochází k jakýmkoliv změnám v návrhu projektu, které nejsou zároveň Závaznými parametry řešení projektu, příjemce o nich informuje poskytovatele až v následující průběžné či závěrečné zprávě a nepodává o nich oznámení či žádost o změnu ve smyslu článku 4 odst. 2 písm. d). Součástí informace o takové změně je i doba, kdy nastala, a odůvodnění. </w:t>
      </w:r>
    </w:p>
    <w:p w:rsidR="001E2BB3" w:rsidRDefault="001E2BB3">
      <w:pPr>
        <w:widowControl w:val="0"/>
        <w:autoSpaceDE w:val="0"/>
        <w:autoSpaceDN w:val="0"/>
        <w:adjustRightInd w:val="0"/>
        <w:spacing w:after="0" w:line="3" w:lineRule="exact"/>
        <w:rPr>
          <w:rFonts w:ascii="Cambria" w:hAnsi="Cambria" w:cs="Cambria"/>
          <w:b/>
          <w:bCs/>
        </w:rPr>
      </w:pPr>
    </w:p>
    <w:p w:rsidR="001E2BB3" w:rsidRDefault="00E83CAF">
      <w:pPr>
        <w:widowControl w:val="0"/>
        <w:numPr>
          <w:ilvl w:val="0"/>
          <w:numId w:val="58"/>
        </w:numPr>
        <w:tabs>
          <w:tab w:val="clear" w:pos="720"/>
          <w:tab w:val="num" w:pos="364"/>
        </w:tabs>
        <w:overflowPunct w:val="0"/>
        <w:autoSpaceDE w:val="0"/>
        <w:autoSpaceDN w:val="0"/>
        <w:adjustRightInd w:val="0"/>
        <w:spacing w:after="0" w:line="362" w:lineRule="auto"/>
        <w:ind w:left="364" w:hanging="364"/>
        <w:jc w:val="both"/>
        <w:rPr>
          <w:rFonts w:ascii="Cambria" w:hAnsi="Cambria" w:cs="Cambria"/>
          <w:b/>
          <w:bCs/>
        </w:rPr>
      </w:pPr>
      <w:r>
        <w:rPr>
          <w:rFonts w:ascii="Cambria" w:hAnsi="Cambria" w:cs="Cambria"/>
        </w:rPr>
        <w:t xml:space="preserve">Předchozí odstavec dopadá i na případy, kdy dojde ke vzniku výsledků, které nejsou uvedeny jako deklarované v Závazných parametrech řešení projektu, nicméně vznikají během řešení projektu za účelem dosažení těchto deklarovaných výsledků. </w:t>
      </w:r>
    </w:p>
    <w:p w:rsidR="001E2BB3" w:rsidRDefault="001E2BB3">
      <w:pPr>
        <w:widowControl w:val="0"/>
        <w:autoSpaceDE w:val="0"/>
        <w:autoSpaceDN w:val="0"/>
        <w:adjustRightInd w:val="0"/>
        <w:spacing w:after="0" w:line="22"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4544"/>
        <w:rPr>
          <w:rFonts w:ascii="Times New Roman" w:hAnsi="Times New Roman" w:cs="Times New Roman"/>
          <w:sz w:val="24"/>
          <w:szCs w:val="24"/>
        </w:rPr>
      </w:pPr>
      <w:r>
        <w:rPr>
          <w:rFonts w:ascii="Cambria" w:hAnsi="Cambria" w:cs="Cambria"/>
          <w:b/>
          <w:bCs/>
          <w:i/>
          <w:iCs/>
        </w:rPr>
        <w:t>Článek 22</w:t>
      </w:r>
    </w:p>
    <w:p w:rsidR="001E2BB3" w:rsidRDefault="001E2BB3">
      <w:pPr>
        <w:widowControl w:val="0"/>
        <w:autoSpaceDE w:val="0"/>
        <w:autoSpaceDN w:val="0"/>
        <w:adjustRightInd w:val="0"/>
        <w:spacing w:after="0" w:line="270" w:lineRule="exact"/>
        <w:rPr>
          <w:rFonts w:ascii="Times New Roman" w:hAnsi="Times New Roman" w:cs="Times New Roman"/>
          <w:sz w:val="24"/>
          <w:szCs w:val="24"/>
        </w:rPr>
      </w:pPr>
    </w:p>
    <w:p w:rsidR="001E2BB3" w:rsidRDefault="00E83CAF">
      <w:pPr>
        <w:widowControl w:val="0"/>
        <w:autoSpaceDE w:val="0"/>
        <w:autoSpaceDN w:val="0"/>
        <w:adjustRightInd w:val="0"/>
        <w:spacing w:after="0" w:line="240" w:lineRule="auto"/>
        <w:ind w:left="3684"/>
        <w:rPr>
          <w:rFonts w:ascii="Times New Roman" w:hAnsi="Times New Roman" w:cs="Times New Roman"/>
          <w:sz w:val="24"/>
          <w:szCs w:val="24"/>
        </w:rPr>
      </w:pPr>
      <w:r>
        <w:rPr>
          <w:rFonts w:ascii="Cambria" w:hAnsi="Cambria" w:cs="Cambria"/>
          <w:b/>
          <w:bCs/>
          <w:i/>
          <w:iCs/>
        </w:rPr>
        <w:t>Ukončení platnosti Smlouvy</w:t>
      </w:r>
    </w:p>
    <w:p w:rsidR="001E2BB3" w:rsidRDefault="001E2BB3">
      <w:pPr>
        <w:widowControl w:val="0"/>
        <w:autoSpaceDE w:val="0"/>
        <w:autoSpaceDN w:val="0"/>
        <w:adjustRightInd w:val="0"/>
        <w:spacing w:after="0" w:line="65" w:lineRule="exact"/>
        <w:rPr>
          <w:rFonts w:ascii="Times New Roman" w:hAnsi="Times New Roman" w:cs="Times New Roman"/>
          <w:sz w:val="24"/>
          <w:szCs w:val="24"/>
        </w:rPr>
      </w:pPr>
    </w:p>
    <w:p w:rsidR="001E2BB3" w:rsidRDefault="00E83CAF">
      <w:pPr>
        <w:widowControl w:val="0"/>
        <w:numPr>
          <w:ilvl w:val="0"/>
          <w:numId w:val="59"/>
        </w:numPr>
        <w:tabs>
          <w:tab w:val="clear" w:pos="720"/>
          <w:tab w:val="num" w:pos="364"/>
        </w:tabs>
        <w:overflowPunct w:val="0"/>
        <w:autoSpaceDE w:val="0"/>
        <w:autoSpaceDN w:val="0"/>
        <w:adjustRightInd w:val="0"/>
        <w:spacing w:after="0" w:line="323" w:lineRule="auto"/>
        <w:ind w:left="364" w:hanging="364"/>
        <w:jc w:val="both"/>
        <w:rPr>
          <w:rFonts w:ascii="Cambria" w:hAnsi="Cambria" w:cs="Cambria"/>
          <w:b/>
          <w:bCs/>
        </w:rPr>
      </w:pPr>
      <w:r>
        <w:rPr>
          <w:rFonts w:ascii="Cambria" w:hAnsi="Cambria" w:cs="Cambria"/>
        </w:rPr>
        <w:t xml:space="preserve">Platnost Smlouvy je ukončena po 3 letech ode dne ukončení řešení projektu, pokud se smluvní strany nedohodnou na jejím prodloužení. </w:t>
      </w:r>
    </w:p>
    <w:p w:rsidR="001E2BB3" w:rsidRDefault="001E2BB3">
      <w:pPr>
        <w:widowControl w:val="0"/>
        <w:autoSpaceDE w:val="0"/>
        <w:autoSpaceDN w:val="0"/>
        <w:adjustRightInd w:val="0"/>
        <w:spacing w:after="0" w:line="1" w:lineRule="exact"/>
        <w:rPr>
          <w:rFonts w:ascii="Cambria" w:hAnsi="Cambria" w:cs="Cambria"/>
          <w:b/>
          <w:bCs/>
        </w:rPr>
      </w:pPr>
    </w:p>
    <w:p w:rsidR="001E2BB3" w:rsidRDefault="00E83CAF">
      <w:pPr>
        <w:widowControl w:val="0"/>
        <w:numPr>
          <w:ilvl w:val="0"/>
          <w:numId w:val="59"/>
        </w:numPr>
        <w:tabs>
          <w:tab w:val="clear" w:pos="720"/>
          <w:tab w:val="num" w:pos="364"/>
        </w:tabs>
        <w:overflowPunct w:val="0"/>
        <w:autoSpaceDE w:val="0"/>
        <w:autoSpaceDN w:val="0"/>
        <w:adjustRightInd w:val="0"/>
        <w:spacing w:after="0" w:line="240" w:lineRule="auto"/>
        <w:ind w:left="364" w:hanging="364"/>
        <w:jc w:val="both"/>
        <w:rPr>
          <w:rFonts w:ascii="Cambria" w:hAnsi="Cambria" w:cs="Cambria"/>
          <w:b/>
          <w:bCs/>
        </w:rPr>
      </w:pPr>
      <w:r>
        <w:rPr>
          <w:rFonts w:ascii="Cambria" w:hAnsi="Cambria" w:cs="Cambria"/>
        </w:rPr>
        <w:t xml:space="preserve">Platnost Smlouvy je ukončena rovněž výpovědí nebo odstoupením. </w:t>
      </w:r>
    </w:p>
    <w:p w:rsidR="001E2BB3" w:rsidRDefault="001E2BB3">
      <w:pPr>
        <w:widowControl w:val="0"/>
        <w:autoSpaceDE w:val="0"/>
        <w:autoSpaceDN w:val="0"/>
        <w:adjustRightInd w:val="0"/>
        <w:spacing w:after="0" w:line="150" w:lineRule="exact"/>
        <w:rPr>
          <w:rFonts w:ascii="Cambria" w:hAnsi="Cambria" w:cs="Cambria"/>
          <w:b/>
          <w:bCs/>
        </w:rPr>
      </w:pPr>
    </w:p>
    <w:p w:rsidR="00347D3A" w:rsidRPr="00347D3A" w:rsidRDefault="00E83CAF" w:rsidP="00347D3A">
      <w:pPr>
        <w:widowControl w:val="0"/>
        <w:numPr>
          <w:ilvl w:val="0"/>
          <w:numId w:val="59"/>
        </w:numPr>
        <w:tabs>
          <w:tab w:val="clear" w:pos="720"/>
          <w:tab w:val="num" w:pos="364"/>
        </w:tabs>
        <w:overflowPunct w:val="0"/>
        <w:autoSpaceDE w:val="0"/>
        <w:autoSpaceDN w:val="0"/>
        <w:adjustRightInd w:val="0"/>
        <w:spacing w:after="0" w:line="200" w:lineRule="exact"/>
        <w:ind w:left="364" w:hanging="364"/>
        <w:jc w:val="both"/>
        <w:rPr>
          <w:rFonts w:ascii="Times New Roman" w:hAnsi="Times New Roman" w:cs="Times New Roman"/>
          <w:sz w:val="24"/>
          <w:szCs w:val="24"/>
        </w:rPr>
      </w:pPr>
      <w:r w:rsidRPr="00347D3A">
        <w:rPr>
          <w:rFonts w:ascii="Cambria" w:hAnsi="Cambria" w:cs="Cambria"/>
        </w:rPr>
        <w:t xml:space="preserve">Doba platnosti Smlouvy zahrnuje dobu řešení projektu a následující období potřebné pro vyhodnocení výsledků řešení projektu, včetně vypořádání poskytnuté podpory podle rozpočtových pravidel, které není delší než 180 dnů ode dne ukončení řešení projektu. Doba platnosti smlouvy však nezahrnuje dobu řešení projektu, která předchází podpisu obou smluvních stran. Článek 16 odst. 4 není zněním tohoto odstavce dotčen. </w:t>
      </w: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pPr>
        <w:widowControl w:val="0"/>
        <w:autoSpaceDE w:val="0"/>
        <w:autoSpaceDN w:val="0"/>
        <w:adjustRightInd w:val="0"/>
        <w:spacing w:after="0" w:line="200" w:lineRule="exact"/>
        <w:rPr>
          <w:rFonts w:ascii="Times New Roman" w:hAnsi="Times New Roman" w:cs="Times New Roman"/>
          <w:sz w:val="24"/>
          <w:szCs w:val="24"/>
        </w:rPr>
      </w:pPr>
    </w:p>
    <w:p w:rsidR="001E2BB3" w:rsidRDefault="001E2BB3">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1E2BB3">
        <w:trPr>
          <w:trHeight w:val="229"/>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F-211, verze: 3</w:t>
            </w:r>
          </w:p>
        </w:tc>
      </w:tr>
      <w:tr w:rsidR="001E2BB3">
        <w:trPr>
          <w:trHeight w:val="192"/>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1E2BB3">
        <w:trPr>
          <w:trHeight w:val="418"/>
        </w:trPr>
        <w:tc>
          <w:tcPr>
            <w:tcW w:w="14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1E2BB3" w:rsidRDefault="00E83CAF">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21 / 21</w:t>
            </w:r>
          </w:p>
        </w:tc>
      </w:tr>
    </w:tbl>
    <w:p w:rsidR="00347D3A" w:rsidRDefault="00347D3A" w:rsidP="00347D3A">
      <w:pPr>
        <w:widowControl w:val="0"/>
        <w:overflowPunct w:val="0"/>
        <w:autoSpaceDE w:val="0"/>
        <w:autoSpaceDN w:val="0"/>
        <w:adjustRightInd w:val="0"/>
        <w:spacing w:after="0" w:line="240" w:lineRule="auto"/>
        <w:ind w:right="120"/>
        <w:jc w:val="right"/>
        <w:rPr>
          <w:rFonts w:ascii="Cambria" w:hAnsi="Cambria" w:cs="Cambria"/>
          <w:b/>
          <w:bCs/>
          <w:sz w:val="24"/>
          <w:szCs w:val="24"/>
        </w:rPr>
      </w:pPr>
      <w:bookmarkStart w:id="30" w:name="page1"/>
      <w:bookmarkEnd w:id="30"/>
    </w:p>
    <w:p w:rsidR="00347D3A" w:rsidRDefault="00347D3A" w:rsidP="00347D3A">
      <w:pPr>
        <w:widowControl w:val="0"/>
        <w:overflowPunct w:val="0"/>
        <w:autoSpaceDE w:val="0"/>
        <w:autoSpaceDN w:val="0"/>
        <w:adjustRightInd w:val="0"/>
        <w:spacing w:after="0" w:line="240" w:lineRule="auto"/>
        <w:ind w:right="120"/>
        <w:jc w:val="right"/>
        <w:rPr>
          <w:rFonts w:ascii="Cambria" w:hAnsi="Cambria" w:cs="Cambria"/>
          <w:b/>
          <w:bCs/>
          <w:sz w:val="24"/>
          <w:szCs w:val="24"/>
        </w:rPr>
      </w:pPr>
    </w:p>
    <w:p w:rsidR="00347D3A" w:rsidRDefault="00347D3A" w:rsidP="00347D3A">
      <w:pPr>
        <w:widowControl w:val="0"/>
        <w:overflowPunct w:val="0"/>
        <w:autoSpaceDE w:val="0"/>
        <w:autoSpaceDN w:val="0"/>
        <w:adjustRightInd w:val="0"/>
        <w:spacing w:after="0" w:line="240" w:lineRule="auto"/>
        <w:ind w:right="120"/>
        <w:jc w:val="right"/>
        <w:rPr>
          <w:rFonts w:ascii="Cambria" w:hAnsi="Cambria" w:cs="Cambria"/>
          <w:b/>
          <w:bCs/>
          <w:sz w:val="24"/>
          <w:szCs w:val="24"/>
        </w:rPr>
      </w:pPr>
    </w:p>
    <w:p w:rsidR="00347D3A" w:rsidRDefault="00347D3A" w:rsidP="00347D3A">
      <w:pPr>
        <w:widowControl w:val="0"/>
        <w:overflowPunct w:val="0"/>
        <w:autoSpaceDE w:val="0"/>
        <w:autoSpaceDN w:val="0"/>
        <w:adjustRightInd w:val="0"/>
        <w:spacing w:after="0" w:line="240" w:lineRule="auto"/>
        <w:ind w:right="120"/>
        <w:jc w:val="right"/>
        <w:rPr>
          <w:rFonts w:ascii="Cambria" w:hAnsi="Cambria" w:cs="Cambria"/>
          <w:b/>
          <w:bCs/>
          <w:sz w:val="24"/>
          <w:szCs w:val="24"/>
        </w:rPr>
      </w:pPr>
    </w:p>
    <w:p w:rsidR="00347D3A" w:rsidRDefault="00347D3A" w:rsidP="00347D3A">
      <w:pPr>
        <w:widowControl w:val="0"/>
        <w:overflowPunct w:val="0"/>
        <w:autoSpaceDE w:val="0"/>
        <w:autoSpaceDN w:val="0"/>
        <w:adjustRightInd w:val="0"/>
        <w:spacing w:after="0" w:line="240" w:lineRule="auto"/>
        <w:ind w:right="120"/>
        <w:jc w:val="right"/>
        <w:rPr>
          <w:rFonts w:ascii="Cambria" w:hAnsi="Cambria" w:cs="Cambria"/>
          <w:b/>
          <w:bCs/>
          <w:sz w:val="24"/>
          <w:szCs w:val="24"/>
        </w:rPr>
      </w:pP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smlouvy: 2016TH02030766</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D35ED8" w:rsidP="00347D3A">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36"/>
          <w:szCs w:val="36"/>
        </w:rPr>
        <w:t>P</w:t>
      </w:r>
      <w:r w:rsidR="00347D3A">
        <w:rPr>
          <w:rFonts w:ascii="Cambria" w:hAnsi="Cambria" w:cs="Cambria"/>
          <w:b/>
          <w:bCs/>
          <w:sz w:val="36"/>
          <w:szCs w:val="36"/>
        </w:rPr>
        <w:t>říloha č. 3 - Smlouva o poskytnutí podpory</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39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10"/>
        <w:rPr>
          <w:rFonts w:ascii="Times New Roman" w:hAnsi="Times New Roman" w:cs="Times New Roman"/>
          <w:sz w:val="24"/>
          <w:szCs w:val="24"/>
        </w:rPr>
      </w:pPr>
      <w:r>
        <w:rPr>
          <w:rFonts w:ascii="Cambria" w:hAnsi="Cambria" w:cs="Cambria"/>
        </w:rPr>
        <w:t>Smluvní strany:</w:t>
      </w:r>
    </w:p>
    <w:p w:rsidR="00347D3A" w:rsidRDefault="00347D3A" w:rsidP="00347D3A">
      <w:pPr>
        <w:widowControl w:val="0"/>
        <w:autoSpaceDE w:val="0"/>
        <w:autoSpaceDN w:val="0"/>
        <w:adjustRightInd w:val="0"/>
        <w:spacing w:after="0" w:line="218"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233" w:lineRule="auto"/>
        <w:ind w:left="10" w:right="4280"/>
        <w:rPr>
          <w:rFonts w:ascii="Times New Roman" w:hAnsi="Times New Roman" w:cs="Times New Roman"/>
          <w:sz w:val="24"/>
          <w:szCs w:val="24"/>
        </w:rPr>
      </w:pPr>
      <w:r>
        <w:rPr>
          <w:rFonts w:ascii="Cambria" w:hAnsi="Cambria" w:cs="Cambria"/>
          <w:b/>
          <w:bCs/>
        </w:rPr>
        <w:t xml:space="preserve">Česká republika – Technologická agentura České republiky </w:t>
      </w:r>
      <w:r>
        <w:rPr>
          <w:rFonts w:ascii="Cambria" w:hAnsi="Cambria" w:cs="Cambria"/>
        </w:rPr>
        <w:t xml:space="preserve">se sídlem </w:t>
      </w:r>
      <w:r>
        <w:rPr>
          <w:rFonts w:ascii="Cambria" w:hAnsi="Cambria" w:cs="Cambria"/>
          <w:b/>
          <w:bCs/>
        </w:rPr>
        <w:t>Evropská 1692/37, 160 00 Praha 6</w:t>
      </w:r>
    </w:p>
    <w:p w:rsidR="00347D3A" w:rsidRDefault="00347D3A" w:rsidP="00347D3A">
      <w:pPr>
        <w:widowControl w:val="0"/>
        <w:autoSpaceDE w:val="0"/>
        <w:autoSpaceDN w:val="0"/>
        <w:adjustRightInd w:val="0"/>
        <w:spacing w:after="0" w:line="211" w:lineRule="auto"/>
        <w:ind w:left="10"/>
        <w:rPr>
          <w:rFonts w:ascii="Times New Roman" w:hAnsi="Times New Roman" w:cs="Times New Roman"/>
          <w:sz w:val="24"/>
          <w:szCs w:val="24"/>
        </w:rPr>
      </w:pPr>
      <w:r>
        <w:rPr>
          <w:rFonts w:ascii="Cambria" w:hAnsi="Cambria" w:cs="Cambria"/>
        </w:rPr>
        <w:t xml:space="preserve">IČ: </w:t>
      </w:r>
      <w:r>
        <w:rPr>
          <w:rFonts w:ascii="Cambria" w:hAnsi="Cambria" w:cs="Cambria"/>
          <w:b/>
          <w:bCs/>
        </w:rPr>
        <w:t>72050365</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10"/>
        <w:rPr>
          <w:rFonts w:ascii="Times New Roman" w:hAnsi="Times New Roman" w:cs="Times New Roman"/>
          <w:sz w:val="24"/>
          <w:szCs w:val="24"/>
        </w:rPr>
      </w:pPr>
      <w:r>
        <w:rPr>
          <w:rFonts w:ascii="Cambria" w:hAnsi="Cambria" w:cs="Cambria"/>
        </w:rPr>
        <w:t xml:space="preserve">zastoupená </w:t>
      </w:r>
      <w:r w:rsidR="00D35ED8">
        <w:rPr>
          <w:rFonts w:ascii="Cambria" w:hAnsi="Cambria" w:cs="Cambria"/>
          <w:b/>
          <w:bCs/>
        </w:rPr>
        <w:t>xxx</w:t>
      </w:r>
    </w:p>
    <w:p w:rsidR="00347D3A" w:rsidRDefault="00347D3A" w:rsidP="00347D3A">
      <w:pPr>
        <w:widowControl w:val="0"/>
        <w:autoSpaceDE w:val="0"/>
        <w:autoSpaceDN w:val="0"/>
        <w:adjustRightInd w:val="0"/>
        <w:spacing w:after="0" w:line="13" w:lineRule="exact"/>
        <w:rPr>
          <w:rFonts w:ascii="Times New Roman" w:hAnsi="Times New Roman" w:cs="Times New Roman"/>
          <w:sz w:val="24"/>
          <w:szCs w:val="24"/>
        </w:rPr>
      </w:pPr>
    </w:p>
    <w:p w:rsidR="00D35ED8" w:rsidRDefault="00347D3A" w:rsidP="00347D3A">
      <w:pPr>
        <w:widowControl w:val="0"/>
        <w:overflowPunct w:val="0"/>
        <w:autoSpaceDE w:val="0"/>
        <w:autoSpaceDN w:val="0"/>
        <w:adjustRightInd w:val="0"/>
        <w:spacing w:after="0" w:line="373" w:lineRule="auto"/>
        <w:ind w:left="10" w:right="3960"/>
        <w:rPr>
          <w:rFonts w:ascii="Cambria" w:hAnsi="Cambria" w:cs="Cambria"/>
          <w:b/>
          <w:bCs/>
        </w:rPr>
      </w:pPr>
      <w:r>
        <w:rPr>
          <w:rFonts w:ascii="Cambria" w:hAnsi="Cambria" w:cs="Cambria"/>
        </w:rPr>
        <w:t xml:space="preserve">bankovní spojení: </w:t>
      </w:r>
      <w:r w:rsidR="00D35ED8">
        <w:rPr>
          <w:rFonts w:ascii="Cambria" w:hAnsi="Cambria" w:cs="Cambria"/>
          <w:b/>
          <w:bCs/>
        </w:rPr>
        <w:t>xxx</w:t>
      </w:r>
      <w:r>
        <w:rPr>
          <w:rFonts w:ascii="Cambria" w:hAnsi="Cambria" w:cs="Cambria"/>
          <w:b/>
          <w:bCs/>
        </w:rPr>
        <w:t xml:space="preserve"> </w:t>
      </w:r>
    </w:p>
    <w:p w:rsidR="00347D3A" w:rsidRDefault="00347D3A" w:rsidP="00347D3A">
      <w:pPr>
        <w:widowControl w:val="0"/>
        <w:overflowPunct w:val="0"/>
        <w:autoSpaceDE w:val="0"/>
        <w:autoSpaceDN w:val="0"/>
        <w:adjustRightInd w:val="0"/>
        <w:spacing w:after="0" w:line="373" w:lineRule="auto"/>
        <w:ind w:left="10" w:right="3960"/>
        <w:rPr>
          <w:rFonts w:ascii="Times New Roman" w:hAnsi="Times New Roman" w:cs="Times New Roman"/>
          <w:sz w:val="24"/>
          <w:szCs w:val="24"/>
        </w:rPr>
      </w:pPr>
      <w:r>
        <w:rPr>
          <w:rFonts w:ascii="Cambria" w:hAnsi="Cambria" w:cs="Cambria"/>
        </w:rPr>
        <w:t xml:space="preserve">běžný výdajový účet: </w:t>
      </w:r>
      <w:r w:rsidR="00D35ED8">
        <w:rPr>
          <w:rFonts w:ascii="Cambria" w:hAnsi="Cambria" w:cs="Cambria"/>
          <w:b/>
          <w:bCs/>
        </w:rPr>
        <w:t>xxx</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506" w:lineRule="auto"/>
        <w:ind w:left="10" w:right="6400"/>
        <w:rPr>
          <w:rFonts w:ascii="Times New Roman" w:hAnsi="Times New Roman" w:cs="Times New Roman"/>
          <w:sz w:val="24"/>
          <w:szCs w:val="24"/>
        </w:rPr>
      </w:pPr>
      <w:r>
        <w:rPr>
          <w:rFonts w:ascii="Cambria" w:hAnsi="Cambria" w:cs="Cambria"/>
        </w:rPr>
        <w:t>(dále jen „poskytovatel“) na straně jedné a</w:t>
      </w:r>
    </w:p>
    <w:p w:rsidR="00347D3A" w:rsidRDefault="00347D3A" w:rsidP="00347D3A">
      <w:pPr>
        <w:widowControl w:val="0"/>
        <w:autoSpaceDE w:val="0"/>
        <w:autoSpaceDN w:val="0"/>
        <w:adjustRightInd w:val="0"/>
        <w:spacing w:after="0" w:line="234" w:lineRule="auto"/>
        <w:ind w:left="10"/>
        <w:rPr>
          <w:rFonts w:ascii="Times New Roman" w:hAnsi="Times New Roman" w:cs="Times New Roman"/>
          <w:sz w:val="24"/>
          <w:szCs w:val="24"/>
        </w:rPr>
      </w:pPr>
      <w:r>
        <w:rPr>
          <w:rFonts w:ascii="Cambria" w:hAnsi="Cambria" w:cs="Cambria"/>
          <w:b/>
          <w:bCs/>
        </w:rPr>
        <w:t>Technická univerzita v Liberci - Ústav pro nanomateriály, pokročilé technologie a inovace</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223" w:lineRule="auto"/>
        <w:ind w:left="10" w:right="760"/>
        <w:rPr>
          <w:rFonts w:ascii="Times New Roman" w:hAnsi="Times New Roman" w:cs="Times New Roman"/>
          <w:sz w:val="24"/>
          <w:szCs w:val="24"/>
        </w:rPr>
      </w:pPr>
      <w:r>
        <w:rPr>
          <w:rFonts w:ascii="Cambria" w:hAnsi="Cambria" w:cs="Cambria"/>
          <w:b/>
          <w:bCs/>
        </w:rPr>
        <w:t>VVS - Veřejná nebo státní vysoká škola (zákon č. 111/1998 Sb., o vysokých školách a o změně a doplnění dalších zákonů</w:t>
      </w:r>
    </w:p>
    <w:p w:rsidR="00347D3A" w:rsidRDefault="00347D3A" w:rsidP="00347D3A">
      <w:pPr>
        <w:widowControl w:val="0"/>
        <w:autoSpaceDE w:val="0"/>
        <w:autoSpaceDN w:val="0"/>
        <w:adjustRightInd w:val="0"/>
        <w:spacing w:after="0" w:line="235" w:lineRule="auto"/>
        <w:ind w:left="10"/>
        <w:rPr>
          <w:rFonts w:ascii="Times New Roman" w:hAnsi="Times New Roman" w:cs="Times New Roman"/>
          <w:sz w:val="24"/>
          <w:szCs w:val="24"/>
        </w:rPr>
      </w:pPr>
      <w:r>
        <w:rPr>
          <w:rFonts w:ascii="Cambria" w:hAnsi="Cambria" w:cs="Cambria"/>
        </w:rPr>
        <w:t xml:space="preserve">se sídlem </w:t>
      </w:r>
      <w:r>
        <w:rPr>
          <w:rFonts w:ascii="Cambria" w:hAnsi="Cambria" w:cs="Cambria"/>
          <w:b/>
          <w:bCs/>
        </w:rPr>
        <w:t>Studentská 1402/2, 46001 Liberec</w:t>
      </w:r>
    </w:p>
    <w:p w:rsidR="00347D3A" w:rsidRDefault="00347D3A" w:rsidP="00347D3A">
      <w:pPr>
        <w:widowControl w:val="0"/>
        <w:overflowPunct w:val="0"/>
        <w:autoSpaceDE w:val="0"/>
        <w:autoSpaceDN w:val="0"/>
        <w:adjustRightInd w:val="0"/>
        <w:spacing w:after="0" w:line="213" w:lineRule="auto"/>
        <w:ind w:left="10" w:right="6560"/>
        <w:rPr>
          <w:rFonts w:ascii="Times New Roman" w:hAnsi="Times New Roman" w:cs="Times New Roman"/>
          <w:sz w:val="24"/>
          <w:szCs w:val="24"/>
        </w:rPr>
      </w:pPr>
      <w:r>
        <w:rPr>
          <w:rFonts w:ascii="Cambria" w:hAnsi="Cambria" w:cs="Cambria"/>
          <w:sz w:val="21"/>
          <w:szCs w:val="21"/>
        </w:rPr>
        <w:t xml:space="preserve">IČ: </w:t>
      </w:r>
      <w:r>
        <w:rPr>
          <w:rFonts w:ascii="Cambria" w:hAnsi="Cambria" w:cs="Cambria"/>
          <w:b/>
          <w:bCs/>
          <w:sz w:val="21"/>
          <w:szCs w:val="21"/>
        </w:rPr>
        <w:t>46747885</w:t>
      </w:r>
      <w:r>
        <w:rPr>
          <w:rFonts w:ascii="Cambria" w:hAnsi="Cambria" w:cs="Cambria"/>
          <w:sz w:val="21"/>
          <w:szCs w:val="21"/>
        </w:rPr>
        <w:t xml:space="preserve">, DIČ: </w:t>
      </w:r>
      <w:r>
        <w:rPr>
          <w:rFonts w:ascii="Cambria" w:hAnsi="Cambria" w:cs="Cambria"/>
          <w:b/>
          <w:bCs/>
          <w:sz w:val="21"/>
          <w:szCs w:val="21"/>
        </w:rPr>
        <w:t>CZ46747885</w:t>
      </w:r>
      <w:r>
        <w:rPr>
          <w:rFonts w:ascii="Cambria" w:hAnsi="Cambria" w:cs="Cambria"/>
          <w:sz w:val="21"/>
          <w:szCs w:val="21"/>
        </w:rPr>
        <w:t xml:space="preserve"> zastoupená: </w:t>
      </w:r>
      <w:r w:rsidR="00D35ED8">
        <w:rPr>
          <w:rFonts w:ascii="Cambria" w:hAnsi="Cambria" w:cs="Cambria"/>
          <w:b/>
          <w:bCs/>
          <w:sz w:val="21"/>
          <w:szCs w:val="21"/>
        </w:rPr>
        <w:t>xxx</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D35ED8" w:rsidRDefault="00347D3A" w:rsidP="00347D3A">
      <w:pPr>
        <w:widowControl w:val="0"/>
        <w:overflowPunct w:val="0"/>
        <w:autoSpaceDE w:val="0"/>
        <w:autoSpaceDN w:val="0"/>
        <w:adjustRightInd w:val="0"/>
        <w:spacing w:after="0" w:line="354" w:lineRule="auto"/>
        <w:ind w:left="10" w:right="3960"/>
        <w:rPr>
          <w:rFonts w:ascii="Cambria" w:hAnsi="Cambria" w:cs="Cambria"/>
          <w:b/>
          <w:bCs/>
        </w:rPr>
      </w:pPr>
      <w:r>
        <w:rPr>
          <w:rFonts w:ascii="Cambria" w:hAnsi="Cambria" w:cs="Cambria"/>
        </w:rPr>
        <w:t xml:space="preserve">bankovní spojení: </w:t>
      </w:r>
      <w:r w:rsidR="00D35ED8">
        <w:rPr>
          <w:rFonts w:ascii="Cambria" w:hAnsi="Cambria" w:cs="Cambria"/>
          <w:b/>
          <w:bCs/>
        </w:rPr>
        <w:t>xxx</w:t>
      </w:r>
    </w:p>
    <w:p w:rsidR="00347D3A" w:rsidRDefault="00347D3A" w:rsidP="00347D3A">
      <w:pPr>
        <w:widowControl w:val="0"/>
        <w:overflowPunct w:val="0"/>
        <w:autoSpaceDE w:val="0"/>
        <w:autoSpaceDN w:val="0"/>
        <w:adjustRightInd w:val="0"/>
        <w:spacing w:after="0" w:line="354" w:lineRule="auto"/>
        <w:ind w:left="10" w:right="3960"/>
        <w:rPr>
          <w:rFonts w:ascii="Times New Roman" w:hAnsi="Times New Roman" w:cs="Times New Roman"/>
          <w:sz w:val="24"/>
          <w:szCs w:val="24"/>
        </w:rPr>
      </w:pPr>
      <w:r>
        <w:rPr>
          <w:rFonts w:ascii="Cambria" w:hAnsi="Cambria" w:cs="Cambria"/>
        </w:rPr>
        <w:t xml:space="preserve"> číslo účtu: </w:t>
      </w:r>
      <w:r w:rsidR="00D35ED8">
        <w:rPr>
          <w:rFonts w:ascii="Cambria" w:hAnsi="Cambria" w:cs="Cambria"/>
          <w:b/>
          <w:bCs/>
        </w:rPr>
        <w:t>xxx</w:t>
      </w:r>
    </w:p>
    <w:p w:rsidR="00347D3A" w:rsidRDefault="00347D3A" w:rsidP="00347D3A">
      <w:pPr>
        <w:widowControl w:val="0"/>
        <w:autoSpaceDE w:val="0"/>
        <w:autoSpaceDN w:val="0"/>
        <w:adjustRightInd w:val="0"/>
        <w:spacing w:after="0" w:line="2"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569" w:lineRule="auto"/>
        <w:ind w:left="10" w:right="5660"/>
        <w:rPr>
          <w:rFonts w:ascii="Times New Roman" w:hAnsi="Times New Roman" w:cs="Times New Roman"/>
          <w:sz w:val="24"/>
          <w:szCs w:val="24"/>
        </w:rPr>
      </w:pPr>
      <w:r>
        <w:rPr>
          <w:rFonts w:ascii="Cambria" w:hAnsi="Cambria" w:cs="Cambria"/>
          <w:sz w:val="21"/>
          <w:szCs w:val="21"/>
        </w:rPr>
        <w:t>(dále jen „hlavní příjemce“) na straně druhé uzavřely níže uvedeného dne, měsíce a roku tuto</w:t>
      </w:r>
    </w:p>
    <w:p w:rsidR="00347D3A" w:rsidRDefault="00347D3A" w:rsidP="00347D3A">
      <w:pPr>
        <w:widowControl w:val="0"/>
        <w:autoSpaceDE w:val="0"/>
        <w:autoSpaceDN w:val="0"/>
        <w:adjustRightInd w:val="0"/>
        <w:spacing w:after="0" w:line="182" w:lineRule="auto"/>
        <w:ind w:left="3550"/>
        <w:rPr>
          <w:rFonts w:ascii="Times New Roman" w:hAnsi="Times New Roman" w:cs="Times New Roman"/>
          <w:sz w:val="24"/>
          <w:szCs w:val="24"/>
        </w:rPr>
      </w:pPr>
      <w:r>
        <w:rPr>
          <w:rFonts w:ascii="Cambria" w:hAnsi="Cambria" w:cs="Cambria"/>
          <w:b/>
          <w:bCs/>
          <w:sz w:val="21"/>
          <w:szCs w:val="21"/>
        </w:rPr>
        <w:t>Smlouvu o poskytnutí podpory</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150"/>
        <w:rPr>
          <w:rFonts w:ascii="Times New Roman" w:hAnsi="Times New Roman" w:cs="Times New Roman"/>
          <w:sz w:val="24"/>
          <w:szCs w:val="24"/>
        </w:rPr>
      </w:pPr>
      <w:r>
        <w:rPr>
          <w:rFonts w:ascii="Cambria" w:hAnsi="Cambria" w:cs="Cambria"/>
        </w:rPr>
        <w:t>(dále jen „Smlouva“)</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6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550"/>
        <w:rPr>
          <w:rFonts w:ascii="Times New Roman" w:hAnsi="Times New Roman" w:cs="Times New Roman"/>
          <w:sz w:val="24"/>
          <w:szCs w:val="24"/>
        </w:rPr>
      </w:pPr>
      <w:r>
        <w:rPr>
          <w:rFonts w:ascii="Cambria" w:hAnsi="Cambria" w:cs="Cambria"/>
          <w:b/>
          <w:bCs/>
        </w:rPr>
        <w:t>Preambule</w:t>
      </w:r>
    </w:p>
    <w:p w:rsidR="00347D3A" w:rsidRDefault="00347D3A" w:rsidP="00347D3A">
      <w:pPr>
        <w:widowControl w:val="0"/>
        <w:autoSpaceDE w:val="0"/>
        <w:autoSpaceDN w:val="0"/>
        <w:adjustRightInd w:val="0"/>
        <w:spacing w:after="0" w:line="79"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324" w:lineRule="auto"/>
        <w:ind w:left="10"/>
        <w:jc w:val="both"/>
        <w:rPr>
          <w:rFonts w:ascii="Times New Roman" w:hAnsi="Times New Roman" w:cs="Times New Roman"/>
          <w:sz w:val="24"/>
          <w:szCs w:val="24"/>
        </w:rPr>
      </w:pPr>
      <w:r>
        <w:rPr>
          <w:rFonts w:ascii="Cambria" w:hAnsi="Cambria" w:cs="Cambria"/>
        </w:rPr>
        <w:t xml:space="preserve">Hlavním příjemcem podaný návrh projektu č. </w:t>
      </w:r>
      <w:r>
        <w:rPr>
          <w:rFonts w:ascii="Cambria" w:hAnsi="Cambria" w:cs="Cambria"/>
          <w:b/>
          <w:bCs/>
        </w:rPr>
        <w:t>TH02030766</w:t>
      </w:r>
      <w:r>
        <w:rPr>
          <w:rFonts w:ascii="Cambria" w:hAnsi="Cambria" w:cs="Cambria"/>
        </w:rPr>
        <w:t xml:space="preserve"> s názvem Nízkonákladové systémy čištění vod byl poskytovatelem přijat do 2. veřejné soutěže vyhlášené poskytovatelem v Programu na podporu aplikovaného výzkumu a experimentálního vývoje EPSILON a hodnocen v souladu s § 21 ZPVV. Poskytovatel vydal rozhodnutí o výsledku veřejné soutěže v souladu s tímto ustanovením tak, že návrh projektu bude podpořen (dále jen “schválený návrh projektu”). V souladu s § 9 ZPVV se na základě rozhodnutí o výsledcích veřejné soutěže uzavírá tato Smlouva. Veškeré pojmy použité ve Smlouvě jsou definovány ve Všeobecných podmínkách.</w:t>
      </w:r>
    </w:p>
    <w:p w:rsidR="00347D3A" w:rsidRDefault="00347D3A" w:rsidP="00347D3A">
      <w:pPr>
        <w:widowControl w:val="0"/>
        <w:autoSpaceDE w:val="0"/>
        <w:autoSpaceDN w:val="0"/>
        <w:adjustRightInd w:val="0"/>
        <w:spacing w:after="0" w:line="213"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670"/>
        <w:rPr>
          <w:rFonts w:ascii="Times New Roman" w:hAnsi="Times New Roman" w:cs="Times New Roman"/>
          <w:sz w:val="24"/>
          <w:szCs w:val="24"/>
        </w:rPr>
      </w:pPr>
      <w:r>
        <w:rPr>
          <w:rFonts w:ascii="Cambria" w:hAnsi="Cambria" w:cs="Cambria"/>
          <w:b/>
          <w:bCs/>
        </w:rPr>
        <w:t>Článek 1</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210"/>
        <w:rPr>
          <w:rFonts w:ascii="Times New Roman" w:hAnsi="Times New Roman" w:cs="Times New Roman"/>
          <w:sz w:val="24"/>
          <w:szCs w:val="24"/>
        </w:rPr>
      </w:pPr>
      <w:r>
        <w:rPr>
          <w:rFonts w:ascii="Cambria" w:hAnsi="Cambria" w:cs="Cambria"/>
          <w:b/>
          <w:bCs/>
        </w:rPr>
        <w:t>Předmět smlouvy</w:t>
      </w:r>
    </w:p>
    <w:p w:rsidR="00347D3A" w:rsidRDefault="00347D3A" w:rsidP="00347D3A">
      <w:pPr>
        <w:widowControl w:val="0"/>
        <w:autoSpaceDE w:val="0"/>
        <w:autoSpaceDN w:val="0"/>
        <w:adjustRightInd w:val="0"/>
        <w:spacing w:after="0" w:line="92" w:lineRule="exact"/>
        <w:rPr>
          <w:rFonts w:ascii="Times New Roman" w:hAnsi="Times New Roman" w:cs="Times New Roman"/>
          <w:sz w:val="24"/>
          <w:szCs w:val="24"/>
        </w:rPr>
      </w:pPr>
    </w:p>
    <w:p w:rsidR="00347D3A" w:rsidRDefault="00347D3A" w:rsidP="00347D3A">
      <w:pPr>
        <w:widowControl w:val="0"/>
        <w:numPr>
          <w:ilvl w:val="0"/>
          <w:numId w:val="1"/>
        </w:numPr>
        <w:tabs>
          <w:tab w:val="clear" w:pos="720"/>
          <w:tab w:val="num" w:pos="430"/>
        </w:tabs>
        <w:overflowPunct w:val="0"/>
        <w:autoSpaceDE w:val="0"/>
        <w:autoSpaceDN w:val="0"/>
        <w:adjustRightInd w:val="0"/>
        <w:spacing w:after="0" w:line="467" w:lineRule="auto"/>
        <w:ind w:left="430" w:hanging="430"/>
        <w:jc w:val="both"/>
        <w:rPr>
          <w:rFonts w:ascii="Cambria" w:hAnsi="Cambria" w:cs="Cambria"/>
          <w:b/>
          <w:bCs/>
        </w:rPr>
      </w:pPr>
      <w:r>
        <w:rPr>
          <w:rFonts w:ascii="Cambria" w:hAnsi="Cambria" w:cs="Cambria"/>
        </w:rPr>
        <w:t xml:space="preserve">Předmětem Smlouvy je závazek poskytovatele poskytnout hlavnímu příjemci finanční podporu formou dotace za účelem jejího využití na dosažení deklarovaných výsledků a cílů projektu a současně závazek </w:t>
      </w: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rsidSect="00347D3A">
          <w:type w:val="continuous"/>
          <w:pgSz w:w="11900" w:h="16882"/>
          <w:pgMar w:top="723" w:right="840" w:bottom="0" w:left="850" w:header="720" w:footer="720" w:gutter="0"/>
          <w:cols w:space="720" w:equalWidth="0">
            <w:col w:w="10210"/>
          </w:cols>
          <w:noEndnote/>
        </w:sectPr>
      </w:pPr>
    </w:p>
    <w:p w:rsidR="00347D3A" w:rsidRDefault="00347D3A" w:rsidP="00347D3A">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347D3A" w:rsidTr="00424142">
        <w:trPr>
          <w:trHeight w:val="229"/>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F-052, verze: 4</w:t>
            </w:r>
          </w:p>
        </w:tc>
      </w:tr>
      <w:tr w:rsidR="00347D3A" w:rsidTr="00424142">
        <w:trPr>
          <w:trHeight w:val="192"/>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347D3A" w:rsidTr="00424142">
        <w:trPr>
          <w:trHeight w:val="418"/>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1 / 4</w:t>
            </w:r>
          </w:p>
        </w:tc>
      </w:tr>
    </w:tbl>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type w:val="continuous"/>
          <w:pgSz w:w="11900" w:h="16882"/>
          <w:pgMar w:top="723" w:right="960" w:bottom="0" w:left="860" w:header="720" w:footer="720" w:gutter="0"/>
          <w:cols w:space="720" w:equalWidth="0">
            <w:col w:w="10080"/>
          </w:cols>
          <w:noEndnote/>
        </w:sectPr>
      </w:pP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31" w:name="page3"/>
      <w:bookmarkEnd w:id="31"/>
      <w:r>
        <w:rPr>
          <w:noProof/>
        </w:rPr>
        <w:drawing>
          <wp:anchor distT="0" distB="0" distL="114300" distR="114300" simplePos="0" relativeHeight="251720704"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smlouvy: 2016TH02030766</w:t>
      </w:r>
    </w:p>
    <w:p w:rsidR="00347D3A" w:rsidRDefault="00347D3A" w:rsidP="00347D3A">
      <w:pPr>
        <w:widowControl w:val="0"/>
        <w:autoSpaceDE w:val="0"/>
        <w:autoSpaceDN w:val="0"/>
        <w:adjustRightInd w:val="0"/>
        <w:spacing w:after="0" w:line="384"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348" w:lineRule="auto"/>
        <w:ind w:left="430"/>
        <w:rPr>
          <w:rFonts w:ascii="Times New Roman" w:hAnsi="Times New Roman" w:cs="Times New Roman"/>
          <w:sz w:val="24"/>
          <w:szCs w:val="24"/>
        </w:rPr>
      </w:pPr>
      <w:r>
        <w:rPr>
          <w:rFonts w:ascii="Cambria" w:hAnsi="Cambria" w:cs="Cambria"/>
        </w:rPr>
        <w:t>hlavního příjemce použít tuto podporu a řešit projekt v souladu s pravidly poskytnutí podpory a přílohou Závazné parametry řešení projektu.</w:t>
      </w:r>
    </w:p>
    <w:p w:rsidR="00347D3A" w:rsidRDefault="00347D3A" w:rsidP="00347D3A">
      <w:pPr>
        <w:widowControl w:val="0"/>
        <w:autoSpaceDE w:val="0"/>
        <w:autoSpaceDN w:val="0"/>
        <w:adjustRightInd w:val="0"/>
        <w:spacing w:after="0" w:line="2" w:lineRule="exact"/>
        <w:rPr>
          <w:rFonts w:ascii="Times New Roman" w:hAnsi="Times New Roman" w:cs="Times New Roman"/>
          <w:sz w:val="24"/>
          <w:szCs w:val="24"/>
        </w:rPr>
      </w:pPr>
    </w:p>
    <w:p w:rsidR="00347D3A" w:rsidRDefault="00347D3A" w:rsidP="00347D3A">
      <w:pPr>
        <w:widowControl w:val="0"/>
        <w:numPr>
          <w:ilvl w:val="0"/>
          <w:numId w:val="2"/>
        </w:numPr>
        <w:tabs>
          <w:tab w:val="clear" w:pos="720"/>
          <w:tab w:val="num" w:pos="430"/>
        </w:tabs>
        <w:overflowPunct w:val="0"/>
        <w:autoSpaceDE w:val="0"/>
        <w:autoSpaceDN w:val="0"/>
        <w:adjustRightInd w:val="0"/>
        <w:spacing w:after="0" w:line="482" w:lineRule="auto"/>
        <w:ind w:left="430" w:hanging="430"/>
        <w:jc w:val="both"/>
        <w:rPr>
          <w:rFonts w:ascii="Cambria" w:hAnsi="Cambria" w:cs="Cambria"/>
          <w:b/>
          <w:bCs/>
        </w:rPr>
      </w:pPr>
      <w:r>
        <w:rPr>
          <w:rFonts w:ascii="Cambria" w:hAnsi="Cambria" w:cs="Cambria"/>
        </w:rPr>
        <w:t xml:space="preserve">Účelem podpory je dosažení stanovených cílů projektu, tj. cílů uvedených v příloze Závazné parametry řešení projektu. </w:t>
      </w:r>
    </w:p>
    <w:p w:rsidR="00347D3A" w:rsidRDefault="00347D3A" w:rsidP="00347D3A">
      <w:pPr>
        <w:widowControl w:val="0"/>
        <w:autoSpaceDE w:val="0"/>
        <w:autoSpaceDN w:val="0"/>
        <w:adjustRightInd w:val="0"/>
        <w:spacing w:after="0" w:line="39"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670"/>
        <w:rPr>
          <w:rFonts w:ascii="Times New Roman" w:hAnsi="Times New Roman" w:cs="Times New Roman"/>
          <w:sz w:val="24"/>
          <w:szCs w:val="24"/>
        </w:rPr>
      </w:pPr>
      <w:r>
        <w:rPr>
          <w:rFonts w:ascii="Cambria" w:hAnsi="Cambria" w:cs="Cambria"/>
          <w:b/>
          <w:bCs/>
        </w:rPr>
        <w:t>Článek 2</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2790"/>
        <w:rPr>
          <w:rFonts w:ascii="Times New Roman" w:hAnsi="Times New Roman" w:cs="Times New Roman"/>
          <w:sz w:val="24"/>
          <w:szCs w:val="24"/>
        </w:rPr>
      </w:pPr>
      <w:r>
        <w:rPr>
          <w:rFonts w:ascii="Cambria" w:hAnsi="Cambria" w:cs="Cambria"/>
          <w:b/>
          <w:bCs/>
        </w:rPr>
        <w:t>Výše poskytnuté podpory a uznaných nákladů</w:t>
      </w:r>
    </w:p>
    <w:p w:rsidR="00347D3A" w:rsidRDefault="00347D3A" w:rsidP="00347D3A">
      <w:pPr>
        <w:widowControl w:val="0"/>
        <w:autoSpaceDE w:val="0"/>
        <w:autoSpaceDN w:val="0"/>
        <w:adjustRightInd w:val="0"/>
        <w:spacing w:after="0" w:line="70" w:lineRule="exact"/>
        <w:rPr>
          <w:rFonts w:ascii="Times New Roman" w:hAnsi="Times New Roman" w:cs="Times New Roman"/>
          <w:sz w:val="24"/>
          <w:szCs w:val="24"/>
        </w:rPr>
      </w:pPr>
    </w:p>
    <w:p w:rsidR="00347D3A" w:rsidRDefault="00347D3A" w:rsidP="00347D3A">
      <w:pPr>
        <w:widowControl w:val="0"/>
        <w:numPr>
          <w:ilvl w:val="0"/>
          <w:numId w:val="3"/>
        </w:numPr>
        <w:tabs>
          <w:tab w:val="clear" w:pos="720"/>
          <w:tab w:val="num" w:pos="430"/>
        </w:tabs>
        <w:overflowPunct w:val="0"/>
        <w:autoSpaceDE w:val="0"/>
        <w:autoSpaceDN w:val="0"/>
        <w:adjustRightInd w:val="0"/>
        <w:spacing w:after="0" w:line="308" w:lineRule="auto"/>
        <w:ind w:left="430" w:right="160" w:hanging="430"/>
        <w:jc w:val="both"/>
        <w:rPr>
          <w:rFonts w:ascii="Cambria" w:hAnsi="Cambria" w:cs="Cambria"/>
          <w:b/>
          <w:bCs/>
        </w:rPr>
      </w:pPr>
      <w:r>
        <w:rPr>
          <w:rFonts w:ascii="Cambria" w:hAnsi="Cambria" w:cs="Cambria"/>
        </w:rPr>
        <w:t xml:space="preserve">Maximální výše podpory činí 10 587 500 Kč (slovy: desetmilionůpětsetosmdesátsedmtisícpětset korun českých), což je 75.36 % z maximální výše uznaných nákladů. </w:t>
      </w:r>
    </w:p>
    <w:p w:rsidR="00347D3A" w:rsidRDefault="00347D3A" w:rsidP="00347D3A">
      <w:pPr>
        <w:widowControl w:val="0"/>
        <w:numPr>
          <w:ilvl w:val="0"/>
          <w:numId w:val="3"/>
        </w:numPr>
        <w:tabs>
          <w:tab w:val="clear" w:pos="720"/>
          <w:tab w:val="num" w:pos="430"/>
        </w:tabs>
        <w:overflowPunct w:val="0"/>
        <w:autoSpaceDE w:val="0"/>
        <w:autoSpaceDN w:val="0"/>
        <w:adjustRightInd w:val="0"/>
        <w:spacing w:after="0" w:line="441" w:lineRule="auto"/>
        <w:ind w:left="430" w:hanging="430"/>
        <w:jc w:val="both"/>
        <w:rPr>
          <w:rFonts w:ascii="Cambria" w:hAnsi="Cambria" w:cs="Cambria"/>
          <w:b/>
          <w:bCs/>
        </w:rPr>
      </w:pPr>
      <w:r>
        <w:rPr>
          <w:rFonts w:ascii="Cambria" w:hAnsi="Cambria" w:cs="Cambria"/>
        </w:rPr>
        <w:t xml:space="preserve">Maximální výše uznaných nákladů projektu je stanovena ve výši 14 050 000 Kč (slovy: čtrnáct milionůpadesáttisíc korun českých). </w:t>
      </w:r>
    </w:p>
    <w:p w:rsidR="00347D3A" w:rsidRDefault="00347D3A" w:rsidP="00347D3A">
      <w:pPr>
        <w:widowControl w:val="0"/>
        <w:autoSpaceDE w:val="0"/>
        <w:autoSpaceDN w:val="0"/>
        <w:adjustRightInd w:val="0"/>
        <w:spacing w:after="0" w:line="61"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670"/>
        <w:rPr>
          <w:rFonts w:ascii="Times New Roman" w:hAnsi="Times New Roman" w:cs="Times New Roman"/>
          <w:sz w:val="24"/>
          <w:szCs w:val="24"/>
        </w:rPr>
      </w:pPr>
      <w:r>
        <w:rPr>
          <w:rFonts w:ascii="Cambria" w:hAnsi="Cambria" w:cs="Cambria"/>
          <w:b/>
          <w:bCs/>
        </w:rPr>
        <w:t>Článek 3</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3970"/>
        <w:rPr>
          <w:rFonts w:ascii="Times New Roman" w:hAnsi="Times New Roman" w:cs="Times New Roman"/>
          <w:sz w:val="24"/>
          <w:szCs w:val="24"/>
        </w:rPr>
      </w:pPr>
      <w:r>
        <w:rPr>
          <w:rFonts w:ascii="Cambria" w:hAnsi="Cambria" w:cs="Cambria"/>
          <w:b/>
          <w:bCs/>
        </w:rPr>
        <w:t>Související dokumenty</w:t>
      </w:r>
    </w:p>
    <w:p w:rsidR="00347D3A" w:rsidRDefault="00347D3A" w:rsidP="00347D3A">
      <w:pPr>
        <w:widowControl w:val="0"/>
        <w:autoSpaceDE w:val="0"/>
        <w:autoSpaceDN w:val="0"/>
        <w:adjustRightInd w:val="0"/>
        <w:spacing w:after="0" w:line="92" w:lineRule="exact"/>
        <w:rPr>
          <w:rFonts w:ascii="Times New Roman" w:hAnsi="Times New Roman" w:cs="Times New Roman"/>
          <w:sz w:val="24"/>
          <w:szCs w:val="24"/>
        </w:rPr>
      </w:pPr>
    </w:p>
    <w:p w:rsidR="00347D3A" w:rsidRDefault="00347D3A" w:rsidP="00347D3A">
      <w:pPr>
        <w:widowControl w:val="0"/>
        <w:numPr>
          <w:ilvl w:val="0"/>
          <w:numId w:val="4"/>
        </w:numPr>
        <w:tabs>
          <w:tab w:val="clear" w:pos="720"/>
          <w:tab w:val="num" w:pos="430"/>
        </w:tabs>
        <w:overflowPunct w:val="0"/>
        <w:autoSpaceDE w:val="0"/>
        <w:autoSpaceDN w:val="0"/>
        <w:adjustRightInd w:val="0"/>
        <w:spacing w:after="0" w:line="304" w:lineRule="auto"/>
        <w:ind w:left="430" w:hanging="430"/>
        <w:jc w:val="both"/>
        <w:rPr>
          <w:rFonts w:ascii="Cambria" w:hAnsi="Cambria" w:cs="Cambria"/>
          <w:b/>
          <w:bCs/>
        </w:rPr>
      </w:pPr>
      <w:r>
        <w:rPr>
          <w:rFonts w:ascii="Cambria" w:hAnsi="Cambria" w:cs="Cambria"/>
        </w:rPr>
        <w:t xml:space="preserve">Nedílnou součástí Smlouvy je příloha </w:t>
      </w:r>
      <w:r>
        <w:rPr>
          <w:rFonts w:ascii="Cambria" w:hAnsi="Cambria" w:cs="Cambria"/>
          <w:b/>
          <w:bCs/>
        </w:rPr>
        <w:t>Závazné parametry řešení projektu</w:t>
      </w:r>
      <w:r>
        <w:rPr>
          <w:rFonts w:ascii="Cambria" w:hAnsi="Cambria" w:cs="Cambria"/>
        </w:rPr>
        <w:t xml:space="preserve">,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účastníky projektu. </w:t>
      </w:r>
    </w:p>
    <w:p w:rsidR="00347D3A" w:rsidRDefault="00347D3A" w:rsidP="00347D3A">
      <w:pPr>
        <w:widowControl w:val="0"/>
        <w:autoSpaceDE w:val="0"/>
        <w:autoSpaceDN w:val="0"/>
        <w:adjustRightInd w:val="0"/>
        <w:spacing w:after="0" w:line="3" w:lineRule="exact"/>
        <w:rPr>
          <w:rFonts w:ascii="Cambria" w:hAnsi="Cambria" w:cs="Cambria"/>
          <w:b/>
          <w:bCs/>
        </w:rPr>
      </w:pPr>
    </w:p>
    <w:p w:rsidR="00347D3A" w:rsidRDefault="00347D3A" w:rsidP="00347D3A">
      <w:pPr>
        <w:widowControl w:val="0"/>
        <w:numPr>
          <w:ilvl w:val="0"/>
          <w:numId w:val="4"/>
        </w:numPr>
        <w:tabs>
          <w:tab w:val="clear" w:pos="720"/>
          <w:tab w:val="num" w:pos="430"/>
        </w:tabs>
        <w:overflowPunct w:val="0"/>
        <w:autoSpaceDE w:val="0"/>
        <w:autoSpaceDN w:val="0"/>
        <w:adjustRightInd w:val="0"/>
        <w:spacing w:after="0" w:line="348" w:lineRule="auto"/>
        <w:ind w:left="430" w:hanging="430"/>
        <w:jc w:val="both"/>
        <w:rPr>
          <w:rFonts w:ascii="Cambria" w:hAnsi="Cambria" w:cs="Cambria"/>
          <w:b/>
          <w:bCs/>
        </w:rPr>
      </w:pPr>
      <w:r>
        <w:rPr>
          <w:rFonts w:ascii="Cambria" w:hAnsi="Cambria" w:cs="Cambria"/>
        </w:rPr>
        <w:t xml:space="preserve">Další podmínky poskytnutí podpory a řešení projektu jsou uvedeny ve Všeobecných podmínkách (verze 3), které jsou dostupné na webových stránkách poskytovatele. </w:t>
      </w:r>
    </w:p>
    <w:p w:rsidR="00347D3A" w:rsidRDefault="00347D3A" w:rsidP="00347D3A">
      <w:pPr>
        <w:widowControl w:val="0"/>
        <w:autoSpaceDE w:val="0"/>
        <w:autoSpaceDN w:val="0"/>
        <w:adjustRightInd w:val="0"/>
        <w:spacing w:after="0" w:line="2" w:lineRule="exact"/>
        <w:rPr>
          <w:rFonts w:ascii="Cambria" w:hAnsi="Cambria" w:cs="Cambria"/>
          <w:b/>
          <w:bCs/>
        </w:rPr>
      </w:pPr>
    </w:p>
    <w:p w:rsidR="00347D3A" w:rsidRDefault="00347D3A" w:rsidP="00347D3A">
      <w:pPr>
        <w:widowControl w:val="0"/>
        <w:numPr>
          <w:ilvl w:val="0"/>
          <w:numId w:val="4"/>
        </w:numPr>
        <w:tabs>
          <w:tab w:val="clear" w:pos="720"/>
          <w:tab w:val="num" w:pos="430"/>
        </w:tabs>
        <w:overflowPunct w:val="0"/>
        <w:autoSpaceDE w:val="0"/>
        <w:autoSpaceDN w:val="0"/>
        <w:adjustRightInd w:val="0"/>
        <w:spacing w:after="0" w:line="387" w:lineRule="auto"/>
        <w:ind w:left="430" w:hanging="430"/>
        <w:jc w:val="both"/>
        <w:rPr>
          <w:rFonts w:ascii="Cambria" w:hAnsi="Cambria" w:cs="Cambria"/>
          <w:b/>
          <w:bCs/>
        </w:rPr>
      </w:pPr>
      <w:r>
        <w:rPr>
          <w:rFonts w:ascii="Cambria" w:hAnsi="Cambria" w:cs="Cambria"/>
        </w:rPr>
        <w:t xml:space="preserve">Obsahuje-li Smlouva úpravu odlišnou od Všeobecných podmínek či Závazných parametrů řešení projektu, použijí se přednostně ustanovení Smlouvy, dále ustanovení Všeobecných podmínek a dále Závazných parametrů řešení projektu. </w:t>
      </w:r>
    </w:p>
    <w:p w:rsidR="00347D3A" w:rsidRDefault="00347D3A" w:rsidP="00347D3A">
      <w:pPr>
        <w:widowControl w:val="0"/>
        <w:autoSpaceDE w:val="0"/>
        <w:autoSpaceDN w:val="0"/>
        <w:adjustRightInd w:val="0"/>
        <w:spacing w:after="0" w:line="142"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670"/>
        <w:rPr>
          <w:rFonts w:ascii="Times New Roman" w:hAnsi="Times New Roman" w:cs="Times New Roman"/>
          <w:sz w:val="24"/>
          <w:szCs w:val="24"/>
        </w:rPr>
      </w:pPr>
      <w:r>
        <w:rPr>
          <w:rFonts w:ascii="Cambria" w:hAnsi="Cambria" w:cs="Cambria"/>
          <w:b/>
          <w:bCs/>
        </w:rPr>
        <w:t>Článek 4</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050"/>
        <w:rPr>
          <w:rFonts w:ascii="Times New Roman" w:hAnsi="Times New Roman" w:cs="Times New Roman"/>
          <w:sz w:val="24"/>
          <w:szCs w:val="24"/>
        </w:rPr>
      </w:pPr>
      <w:r>
        <w:rPr>
          <w:rFonts w:ascii="Cambria" w:hAnsi="Cambria" w:cs="Cambria"/>
          <w:b/>
          <w:bCs/>
        </w:rPr>
        <w:t>Specifické podmínky</w:t>
      </w:r>
    </w:p>
    <w:p w:rsidR="00347D3A" w:rsidRDefault="00347D3A" w:rsidP="00347D3A">
      <w:pPr>
        <w:widowControl w:val="0"/>
        <w:autoSpaceDE w:val="0"/>
        <w:autoSpaceDN w:val="0"/>
        <w:adjustRightInd w:val="0"/>
        <w:spacing w:after="0" w:line="10" w:lineRule="exact"/>
        <w:rPr>
          <w:rFonts w:ascii="Times New Roman" w:hAnsi="Times New Roman" w:cs="Times New Roman"/>
          <w:sz w:val="24"/>
          <w:szCs w:val="24"/>
        </w:rPr>
      </w:pPr>
    </w:p>
    <w:p w:rsidR="00347D3A" w:rsidRDefault="00347D3A" w:rsidP="00347D3A">
      <w:pPr>
        <w:widowControl w:val="0"/>
        <w:numPr>
          <w:ilvl w:val="0"/>
          <w:numId w:val="5"/>
        </w:numPr>
        <w:tabs>
          <w:tab w:val="clear" w:pos="720"/>
          <w:tab w:val="num" w:pos="430"/>
        </w:tabs>
        <w:overflowPunct w:val="0"/>
        <w:autoSpaceDE w:val="0"/>
        <w:autoSpaceDN w:val="0"/>
        <w:adjustRightInd w:val="0"/>
        <w:spacing w:after="0" w:line="280" w:lineRule="auto"/>
        <w:ind w:left="430" w:hanging="430"/>
        <w:jc w:val="both"/>
        <w:rPr>
          <w:rFonts w:ascii="Cambria" w:hAnsi="Cambria" w:cs="Cambria"/>
          <w:b/>
          <w:bCs/>
        </w:rPr>
      </w:pPr>
      <w:r>
        <w:rPr>
          <w:rFonts w:ascii="Cambria" w:hAnsi="Cambria" w:cs="Cambria"/>
        </w:rPr>
        <w:t xml:space="preserve">Účelem tohoto článku je stanovit další podmínky, které jsou specifické pro výše uvedenou veřejnou soutěž, a to nad rámec Všeobecných podmínek. </w:t>
      </w:r>
    </w:p>
    <w:p w:rsidR="00347D3A" w:rsidRDefault="00347D3A" w:rsidP="00347D3A">
      <w:pPr>
        <w:widowControl w:val="0"/>
        <w:numPr>
          <w:ilvl w:val="0"/>
          <w:numId w:val="5"/>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sz w:val="21"/>
          <w:szCs w:val="21"/>
        </w:rPr>
      </w:pPr>
      <w:r>
        <w:rPr>
          <w:rFonts w:ascii="Cambria" w:hAnsi="Cambria" w:cs="Cambria"/>
          <w:sz w:val="21"/>
          <w:szCs w:val="21"/>
        </w:rPr>
        <w:t xml:space="preserve">Pro účely výše uvedené veřejné soutěže, na základě jejíchž výsledků se Smlouva uzavírá, se článek 17 odst. </w:t>
      </w:r>
    </w:p>
    <w:p w:rsidR="00347D3A" w:rsidRDefault="00347D3A" w:rsidP="00347D3A">
      <w:pPr>
        <w:widowControl w:val="0"/>
        <w:autoSpaceDE w:val="0"/>
        <w:autoSpaceDN w:val="0"/>
        <w:adjustRightInd w:val="0"/>
        <w:spacing w:after="0" w:line="24" w:lineRule="exact"/>
        <w:rPr>
          <w:rFonts w:ascii="Cambria" w:hAnsi="Cambria" w:cs="Cambria"/>
          <w:b/>
          <w:bCs/>
          <w:sz w:val="21"/>
          <w:szCs w:val="21"/>
        </w:rPr>
      </w:pPr>
    </w:p>
    <w:p w:rsidR="00347D3A" w:rsidRDefault="00347D3A" w:rsidP="00347D3A">
      <w:pPr>
        <w:widowControl w:val="0"/>
        <w:numPr>
          <w:ilvl w:val="1"/>
          <w:numId w:val="5"/>
        </w:numPr>
        <w:tabs>
          <w:tab w:val="clear" w:pos="1440"/>
          <w:tab w:val="num" w:pos="590"/>
        </w:tabs>
        <w:overflowPunct w:val="0"/>
        <w:autoSpaceDE w:val="0"/>
        <w:autoSpaceDN w:val="0"/>
        <w:adjustRightInd w:val="0"/>
        <w:spacing w:after="0" w:line="240" w:lineRule="auto"/>
        <w:ind w:left="590" w:hanging="165"/>
        <w:jc w:val="both"/>
        <w:rPr>
          <w:rFonts w:ascii="Cambria" w:hAnsi="Cambria" w:cs="Cambria"/>
        </w:rPr>
      </w:pPr>
      <w:r>
        <w:rPr>
          <w:rFonts w:ascii="Cambria" w:hAnsi="Cambria" w:cs="Cambria"/>
        </w:rPr>
        <w:t xml:space="preserve">písm. b) Všeobecných podmínek neuplatňuje, tedy z poskytnuté podpory není možné hradit investice. </w:t>
      </w:r>
    </w:p>
    <w:p w:rsidR="00347D3A" w:rsidRDefault="00347D3A" w:rsidP="00347D3A">
      <w:pPr>
        <w:widowControl w:val="0"/>
        <w:autoSpaceDE w:val="0"/>
        <w:autoSpaceDN w:val="0"/>
        <w:adjustRightInd w:val="0"/>
        <w:spacing w:after="0" w:line="73" w:lineRule="exact"/>
        <w:rPr>
          <w:rFonts w:ascii="Cambria" w:hAnsi="Cambria" w:cs="Cambria"/>
        </w:rPr>
      </w:pPr>
    </w:p>
    <w:p w:rsidR="00347D3A" w:rsidRDefault="00347D3A" w:rsidP="00347D3A">
      <w:pPr>
        <w:widowControl w:val="0"/>
        <w:numPr>
          <w:ilvl w:val="0"/>
          <w:numId w:val="5"/>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sz w:val="21"/>
          <w:szCs w:val="21"/>
        </w:rPr>
      </w:pPr>
      <w:r>
        <w:rPr>
          <w:rFonts w:ascii="Cambria" w:hAnsi="Cambria" w:cs="Cambria"/>
          <w:sz w:val="21"/>
          <w:szCs w:val="21"/>
        </w:rPr>
        <w:t xml:space="preserve">Pro účely výše uvedené veřejné soutěže, na základě jejíchž výsledků se Smlouva uzavírá, se článek 17 odst. </w:t>
      </w:r>
    </w:p>
    <w:p w:rsidR="00347D3A" w:rsidRDefault="00347D3A" w:rsidP="00347D3A">
      <w:pPr>
        <w:widowControl w:val="0"/>
        <w:autoSpaceDE w:val="0"/>
        <w:autoSpaceDN w:val="0"/>
        <w:adjustRightInd w:val="0"/>
        <w:spacing w:after="0" w:line="24" w:lineRule="exact"/>
        <w:rPr>
          <w:rFonts w:ascii="Cambria" w:hAnsi="Cambria" w:cs="Cambria"/>
          <w:b/>
          <w:bCs/>
          <w:sz w:val="21"/>
          <w:szCs w:val="21"/>
        </w:rPr>
      </w:pPr>
    </w:p>
    <w:p w:rsidR="00347D3A" w:rsidRDefault="00347D3A" w:rsidP="00347D3A">
      <w:pPr>
        <w:widowControl w:val="0"/>
        <w:numPr>
          <w:ilvl w:val="1"/>
          <w:numId w:val="6"/>
        </w:numPr>
        <w:tabs>
          <w:tab w:val="clear" w:pos="1440"/>
          <w:tab w:val="num" w:pos="590"/>
        </w:tabs>
        <w:overflowPunct w:val="0"/>
        <w:autoSpaceDE w:val="0"/>
        <w:autoSpaceDN w:val="0"/>
        <w:adjustRightInd w:val="0"/>
        <w:spacing w:after="0" w:line="240" w:lineRule="auto"/>
        <w:ind w:left="590" w:hanging="165"/>
        <w:jc w:val="both"/>
        <w:rPr>
          <w:rFonts w:ascii="Cambria" w:hAnsi="Cambria" w:cs="Cambria"/>
        </w:rPr>
      </w:pPr>
      <w:r>
        <w:rPr>
          <w:rFonts w:ascii="Cambria" w:hAnsi="Cambria" w:cs="Cambria"/>
        </w:rPr>
        <w:t xml:space="preserve">písm. f) Všeobecných podmínek neuplatňuje, tedy z poskytnuté podpory není možné hradit stipendia. </w:t>
      </w: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pgSz w:w="11906" w:h="16838"/>
          <w:pgMar w:top="723" w:right="840" w:bottom="0" w:left="850" w:header="720" w:footer="720" w:gutter="0"/>
          <w:cols w:space="720" w:equalWidth="0">
            <w:col w:w="10210"/>
          </w:cols>
          <w:noEndnote/>
        </w:sect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3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347D3A" w:rsidTr="00424142">
        <w:trPr>
          <w:trHeight w:val="229"/>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F-052, verze: 4</w:t>
            </w:r>
          </w:p>
        </w:tc>
      </w:tr>
      <w:tr w:rsidR="00347D3A" w:rsidTr="00424142">
        <w:trPr>
          <w:trHeight w:val="192"/>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347D3A" w:rsidTr="00424142">
        <w:trPr>
          <w:trHeight w:val="418"/>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2 / 4</w:t>
            </w:r>
          </w:p>
        </w:tc>
      </w:tr>
    </w:tbl>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type w:val="continuous"/>
          <w:pgSz w:w="11906" w:h="16838"/>
          <w:pgMar w:top="723" w:right="960" w:bottom="0" w:left="860" w:header="720" w:footer="720" w:gutter="0"/>
          <w:cols w:space="720" w:equalWidth="0">
            <w:col w:w="10080"/>
          </w:cols>
          <w:noEndnote/>
        </w:sectPr>
      </w:pP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32" w:name="page5"/>
      <w:bookmarkEnd w:id="32"/>
      <w:r>
        <w:rPr>
          <w:noProof/>
        </w:rPr>
        <w:drawing>
          <wp:anchor distT="0" distB="0" distL="114300" distR="114300" simplePos="0" relativeHeight="251721728"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347D3A" w:rsidRDefault="00347D3A" w:rsidP="00347D3A">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Cambria" w:hAnsi="Cambria" w:cs="Cambria"/>
          <w:sz w:val="24"/>
          <w:szCs w:val="24"/>
        </w:rPr>
        <w:t>Číslo smlouvy: 2016TH02030766</w:t>
      </w:r>
    </w:p>
    <w:p w:rsidR="00347D3A" w:rsidRDefault="00347D3A" w:rsidP="00347D3A">
      <w:pPr>
        <w:widowControl w:val="0"/>
        <w:autoSpaceDE w:val="0"/>
        <w:autoSpaceDN w:val="0"/>
        <w:adjustRightInd w:val="0"/>
        <w:spacing w:after="0" w:line="362" w:lineRule="exact"/>
        <w:rPr>
          <w:rFonts w:ascii="Times New Roman" w:hAnsi="Times New Roman" w:cs="Times New Roman"/>
          <w:sz w:val="24"/>
          <w:szCs w:val="24"/>
        </w:rPr>
      </w:pPr>
    </w:p>
    <w:p w:rsidR="00347D3A" w:rsidRDefault="00347D3A" w:rsidP="00347D3A">
      <w:pPr>
        <w:widowControl w:val="0"/>
        <w:numPr>
          <w:ilvl w:val="0"/>
          <w:numId w:val="7"/>
        </w:numPr>
        <w:tabs>
          <w:tab w:val="clear" w:pos="720"/>
          <w:tab w:val="num" w:pos="430"/>
        </w:tabs>
        <w:overflowPunct w:val="0"/>
        <w:autoSpaceDE w:val="0"/>
        <w:autoSpaceDN w:val="0"/>
        <w:adjustRightInd w:val="0"/>
        <w:spacing w:after="0" w:line="280" w:lineRule="auto"/>
        <w:ind w:left="430" w:hanging="430"/>
        <w:jc w:val="both"/>
        <w:rPr>
          <w:rFonts w:ascii="Cambria" w:hAnsi="Cambria" w:cs="Cambria"/>
          <w:b/>
          <w:bCs/>
        </w:rPr>
      </w:pPr>
      <w:r>
        <w:rPr>
          <w:rFonts w:ascii="Cambria" w:hAnsi="Cambria" w:cs="Cambria"/>
        </w:rPr>
        <w:t xml:space="preserve">Vzniknou-li příjemci způsobilé náklady v roce 2016 (v případě zahájení řešení již v roce 2016, nejdříve však k 1. 11. 2016), zahrne tyto náklady do vyúčtování podpory za rok 2017. </w:t>
      </w:r>
    </w:p>
    <w:p w:rsidR="00347D3A" w:rsidRDefault="00347D3A" w:rsidP="00347D3A">
      <w:pPr>
        <w:widowControl w:val="0"/>
        <w:numPr>
          <w:ilvl w:val="0"/>
          <w:numId w:val="7"/>
        </w:numPr>
        <w:tabs>
          <w:tab w:val="clear" w:pos="720"/>
          <w:tab w:val="num" w:pos="430"/>
        </w:tabs>
        <w:overflowPunct w:val="0"/>
        <w:autoSpaceDE w:val="0"/>
        <w:autoSpaceDN w:val="0"/>
        <w:adjustRightInd w:val="0"/>
        <w:spacing w:after="0" w:line="266" w:lineRule="auto"/>
        <w:ind w:left="430" w:hanging="430"/>
        <w:jc w:val="both"/>
        <w:rPr>
          <w:rFonts w:ascii="Cambria" w:hAnsi="Cambria" w:cs="Cambria"/>
          <w:b/>
          <w:bCs/>
        </w:rPr>
      </w:pPr>
      <w:r>
        <w:rPr>
          <w:rFonts w:ascii="Cambria" w:hAnsi="Cambria" w:cs="Cambria"/>
        </w:rPr>
        <w:t xml:space="preserve">Nad rámec Všeobecných podmínek se stanovuje příjemci povinnost informovat poskytovatele o skutečnostech nasvědčujících tomu, že projekt, výsledky a cíle jsou řešeny či byly řešeny v rámci jiného projektu financovaného poskytovatelem či jinými poskytovateli. Nesplnění této povinnosti je důvodem odstoupení od smlouvy ze strany poskytovatele ve smyslu čl. 8 Všeobecných podmínek. </w:t>
      </w:r>
    </w:p>
    <w:p w:rsidR="00347D3A" w:rsidRDefault="00347D3A" w:rsidP="00347D3A">
      <w:pPr>
        <w:widowControl w:val="0"/>
        <w:numPr>
          <w:ilvl w:val="0"/>
          <w:numId w:val="7"/>
        </w:numPr>
        <w:tabs>
          <w:tab w:val="clear" w:pos="720"/>
          <w:tab w:val="num" w:pos="430"/>
        </w:tabs>
        <w:overflowPunct w:val="0"/>
        <w:autoSpaceDE w:val="0"/>
        <w:autoSpaceDN w:val="0"/>
        <w:adjustRightInd w:val="0"/>
        <w:spacing w:after="0" w:line="346" w:lineRule="auto"/>
        <w:ind w:left="430" w:hanging="430"/>
        <w:jc w:val="both"/>
        <w:rPr>
          <w:rFonts w:ascii="Cambria" w:hAnsi="Cambria" w:cs="Cambria"/>
          <w:b/>
          <w:bCs/>
        </w:rPr>
      </w:pPr>
      <w:r>
        <w:rPr>
          <w:rFonts w:ascii="Cambria" w:hAnsi="Cambria" w:cs="Cambria"/>
        </w:rPr>
        <w:t xml:space="preserve">V čl. 4 odst. 1 písm. b) Všeobecných podmínek se za slova "v závazných parametrech řešení projektu," doplňují slova "a v případě výsledků, které mají být dosaženy v posledním roce řešení projektu, do termínu ukončení řešení projektu,". </w:t>
      </w:r>
    </w:p>
    <w:p w:rsidR="00347D3A" w:rsidRDefault="00347D3A" w:rsidP="00347D3A">
      <w:pPr>
        <w:widowControl w:val="0"/>
        <w:autoSpaceDE w:val="0"/>
        <w:autoSpaceDN w:val="0"/>
        <w:adjustRightInd w:val="0"/>
        <w:spacing w:after="0" w:line="164"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670"/>
        <w:rPr>
          <w:rFonts w:ascii="Times New Roman" w:hAnsi="Times New Roman" w:cs="Times New Roman"/>
          <w:sz w:val="24"/>
          <w:szCs w:val="24"/>
        </w:rPr>
      </w:pPr>
      <w:r>
        <w:rPr>
          <w:rFonts w:ascii="Cambria" w:hAnsi="Cambria" w:cs="Cambria"/>
          <w:b/>
          <w:bCs/>
        </w:rPr>
        <w:t>Článek 5</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4010"/>
        <w:rPr>
          <w:rFonts w:ascii="Times New Roman" w:hAnsi="Times New Roman" w:cs="Times New Roman"/>
          <w:sz w:val="24"/>
          <w:szCs w:val="24"/>
        </w:rPr>
      </w:pPr>
      <w:r>
        <w:rPr>
          <w:rFonts w:ascii="Cambria" w:hAnsi="Cambria" w:cs="Cambria"/>
          <w:b/>
          <w:bCs/>
        </w:rPr>
        <w:t>Závěrečná ustanovení</w:t>
      </w:r>
    </w:p>
    <w:p w:rsidR="00347D3A" w:rsidRDefault="00347D3A" w:rsidP="00347D3A">
      <w:pPr>
        <w:widowControl w:val="0"/>
        <w:autoSpaceDE w:val="0"/>
        <w:autoSpaceDN w:val="0"/>
        <w:adjustRightInd w:val="0"/>
        <w:spacing w:after="0" w:line="92" w:lineRule="exact"/>
        <w:rPr>
          <w:rFonts w:ascii="Times New Roman" w:hAnsi="Times New Roman" w:cs="Times New Roman"/>
          <w:sz w:val="24"/>
          <w:szCs w:val="24"/>
        </w:rPr>
      </w:pPr>
    </w:p>
    <w:p w:rsidR="00347D3A" w:rsidRDefault="00347D3A" w:rsidP="00347D3A">
      <w:pPr>
        <w:widowControl w:val="0"/>
        <w:tabs>
          <w:tab w:val="left" w:pos="409"/>
        </w:tabs>
        <w:overflowPunct w:val="0"/>
        <w:autoSpaceDE w:val="0"/>
        <w:autoSpaceDN w:val="0"/>
        <w:adjustRightInd w:val="0"/>
        <w:spacing w:after="0" w:line="348" w:lineRule="auto"/>
        <w:ind w:left="430" w:hanging="420"/>
        <w:rPr>
          <w:rFonts w:ascii="Times New Roman" w:hAnsi="Times New Roman" w:cs="Times New Roman"/>
          <w:sz w:val="24"/>
          <w:szCs w:val="24"/>
        </w:rPr>
      </w:pPr>
      <w:r>
        <w:rPr>
          <w:rFonts w:ascii="Cambria" w:hAnsi="Cambria" w:cs="Cambria"/>
          <w:b/>
          <w:bCs/>
        </w:rPr>
        <w:t>1.</w:t>
      </w:r>
      <w:r>
        <w:rPr>
          <w:rFonts w:ascii="Times New Roman" w:hAnsi="Times New Roman" w:cs="Times New Roman"/>
          <w:sz w:val="24"/>
          <w:szCs w:val="24"/>
        </w:rPr>
        <w:tab/>
      </w:r>
      <w:r>
        <w:rPr>
          <w:rFonts w:ascii="Cambria" w:hAnsi="Cambria" w:cs="Cambria"/>
        </w:rPr>
        <w:t>Smlouva se vyhotovuje ve dvou stejnopisech, z nichž poskytovatel a hlavní příjemce obdrží po jednom stejnopisu. Každý stejnopis má platnost originálu.</w:t>
      </w:r>
    </w:p>
    <w:p w:rsidR="00347D3A" w:rsidRDefault="00347D3A" w:rsidP="00347D3A">
      <w:pPr>
        <w:widowControl w:val="0"/>
        <w:autoSpaceDE w:val="0"/>
        <w:autoSpaceDN w:val="0"/>
        <w:adjustRightInd w:val="0"/>
        <w:spacing w:after="0" w:line="2" w:lineRule="exact"/>
        <w:rPr>
          <w:rFonts w:ascii="Times New Roman" w:hAnsi="Times New Roman" w:cs="Times New Roman"/>
          <w:sz w:val="24"/>
          <w:szCs w:val="24"/>
        </w:rPr>
      </w:pPr>
    </w:p>
    <w:p w:rsidR="00347D3A" w:rsidRDefault="00347D3A" w:rsidP="00347D3A">
      <w:pPr>
        <w:widowControl w:val="0"/>
        <w:numPr>
          <w:ilvl w:val="0"/>
          <w:numId w:val="8"/>
        </w:numPr>
        <w:tabs>
          <w:tab w:val="clear" w:pos="720"/>
          <w:tab w:val="num" w:pos="430"/>
        </w:tabs>
        <w:overflowPunct w:val="0"/>
        <w:autoSpaceDE w:val="0"/>
        <w:autoSpaceDN w:val="0"/>
        <w:adjustRightInd w:val="0"/>
        <w:spacing w:after="0" w:line="348" w:lineRule="auto"/>
        <w:ind w:left="430" w:hanging="430"/>
        <w:jc w:val="both"/>
        <w:rPr>
          <w:rFonts w:ascii="Cambria" w:hAnsi="Cambria" w:cs="Cambria"/>
          <w:b/>
          <w:bCs/>
        </w:rPr>
      </w:pPr>
      <w:r>
        <w:rPr>
          <w:rFonts w:ascii="Cambria" w:hAnsi="Cambria" w:cs="Cambria"/>
        </w:rPr>
        <w:t xml:space="preserve">Hlavní příjemce prohlašuje a podpisem Smlouvy stvrzuje, že jím uvedené údaje, na jejichž základě je uzavřena, jsou správné, úplné a pravdivé. </w:t>
      </w:r>
    </w:p>
    <w:p w:rsidR="00347D3A" w:rsidRDefault="00347D3A" w:rsidP="00347D3A">
      <w:pPr>
        <w:widowControl w:val="0"/>
        <w:autoSpaceDE w:val="0"/>
        <w:autoSpaceDN w:val="0"/>
        <w:adjustRightInd w:val="0"/>
        <w:spacing w:after="0" w:line="2" w:lineRule="exact"/>
        <w:rPr>
          <w:rFonts w:ascii="Cambria" w:hAnsi="Cambria" w:cs="Cambria"/>
          <w:b/>
          <w:bCs/>
        </w:rPr>
      </w:pPr>
    </w:p>
    <w:p w:rsidR="00347D3A" w:rsidRDefault="00347D3A" w:rsidP="00347D3A">
      <w:pPr>
        <w:widowControl w:val="0"/>
        <w:numPr>
          <w:ilvl w:val="0"/>
          <w:numId w:val="8"/>
        </w:numPr>
        <w:tabs>
          <w:tab w:val="clear" w:pos="720"/>
          <w:tab w:val="num" w:pos="430"/>
        </w:tabs>
        <w:overflowPunct w:val="0"/>
        <w:autoSpaceDE w:val="0"/>
        <w:autoSpaceDN w:val="0"/>
        <w:adjustRightInd w:val="0"/>
        <w:spacing w:after="0" w:line="240" w:lineRule="auto"/>
        <w:ind w:left="430" w:hanging="430"/>
        <w:jc w:val="both"/>
        <w:rPr>
          <w:rFonts w:ascii="Cambria" w:hAnsi="Cambria" w:cs="Cambria"/>
          <w:b/>
          <w:bCs/>
        </w:rPr>
      </w:pPr>
      <w:r>
        <w:rPr>
          <w:rFonts w:ascii="Cambria" w:hAnsi="Cambria" w:cs="Cambria"/>
        </w:rPr>
        <w:t xml:space="preserve">Smlouva nabývá platnosti dnem jejího podpisu a účinnosti dnem 1.1.2017. </w:t>
      </w:r>
    </w:p>
    <w:p w:rsidR="00347D3A" w:rsidRDefault="00347D3A" w:rsidP="00347D3A">
      <w:pPr>
        <w:widowControl w:val="0"/>
        <w:autoSpaceDE w:val="0"/>
        <w:autoSpaceDN w:val="0"/>
        <w:adjustRightInd w:val="0"/>
        <w:spacing w:after="0" w:line="177" w:lineRule="exact"/>
        <w:rPr>
          <w:rFonts w:ascii="Times New Roman" w:hAnsi="Times New Roman" w:cs="Times New Roman"/>
          <w:sz w:val="24"/>
          <w:szCs w:val="24"/>
        </w:rPr>
      </w:pPr>
    </w:p>
    <w:p w:rsidR="00347D3A" w:rsidRDefault="00347D3A" w:rsidP="00347D3A">
      <w:pPr>
        <w:widowControl w:val="0"/>
        <w:tabs>
          <w:tab w:val="left" w:pos="409"/>
        </w:tabs>
        <w:overflowPunct w:val="0"/>
        <w:autoSpaceDE w:val="0"/>
        <w:autoSpaceDN w:val="0"/>
        <w:adjustRightInd w:val="0"/>
        <w:spacing w:after="0" w:line="330" w:lineRule="auto"/>
        <w:ind w:left="430" w:hanging="420"/>
        <w:jc w:val="both"/>
        <w:rPr>
          <w:rFonts w:ascii="Times New Roman" w:hAnsi="Times New Roman" w:cs="Times New Roman"/>
          <w:sz w:val="24"/>
          <w:szCs w:val="24"/>
        </w:rPr>
      </w:pPr>
      <w:r>
        <w:rPr>
          <w:rFonts w:ascii="Cambria" w:hAnsi="Cambria" w:cs="Cambria"/>
          <w:b/>
          <w:bCs/>
        </w:rPr>
        <w:t>4.</w:t>
      </w:r>
      <w:r>
        <w:rPr>
          <w:rFonts w:ascii="Times New Roman" w:hAnsi="Times New Roman" w:cs="Times New Roman"/>
          <w:sz w:val="24"/>
          <w:szCs w:val="24"/>
        </w:rPr>
        <w:tab/>
      </w:r>
      <w:r>
        <w:rPr>
          <w:rFonts w:ascii="Cambria" w:hAnsi="Cambria" w:cs="Cambria"/>
        </w:rPr>
        <w:t>Smluvní strany prohlašují, že si Smlouvu včetně jejich příloh přečetly, s jejím obsahem souhlasí, a že byla sepsána na základě jejich pravé a svobodné vůle, prosté omylu, a na důkaz toho připojují své podpisy.</w:t>
      </w:r>
    </w:p>
    <w:p w:rsidR="00347D3A" w:rsidRDefault="00347D3A" w:rsidP="00347D3A">
      <w:pPr>
        <w:widowControl w:val="0"/>
        <w:autoSpaceDE w:val="0"/>
        <w:autoSpaceDN w:val="0"/>
        <w:adjustRightInd w:val="0"/>
        <w:spacing w:after="0" w:line="1" w:lineRule="exact"/>
        <w:rPr>
          <w:rFonts w:ascii="Times New Roman" w:hAnsi="Times New Roman" w:cs="Times New Roman"/>
          <w:sz w:val="24"/>
          <w:szCs w:val="24"/>
        </w:rPr>
      </w:pPr>
    </w:p>
    <w:p w:rsidR="00347D3A" w:rsidRDefault="00347D3A" w:rsidP="00347D3A">
      <w:pPr>
        <w:widowControl w:val="0"/>
        <w:numPr>
          <w:ilvl w:val="0"/>
          <w:numId w:val="9"/>
        </w:numPr>
        <w:tabs>
          <w:tab w:val="clear" w:pos="720"/>
          <w:tab w:val="num" w:pos="430"/>
        </w:tabs>
        <w:overflowPunct w:val="0"/>
        <w:autoSpaceDE w:val="0"/>
        <w:autoSpaceDN w:val="0"/>
        <w:adjustRightInd w:val="0"/>
        <w:spacing w:after="0" w:line="482" w:lineRule="auto"/>
        <w:ind w:left="430" w:hanging="430"/>
        <w:jc w:val="both"/>
        <w:rPr>
          <w:rFonts w:ascii="Cambria" w:hAnsi="Cambria" w:cs="Cambria"/>
          <w:b/>
          <w:bCs/>
        </w:rPr>
      </w:pPr>
      <w:r>
        <w:rPr>
          <w:rFonts w:ascii="Cambria" w:hAnsi="Cambria" w:cs="Cambria"/>
        </w:rPr>
        <w:t xml:space="preserve">Hlavní příjemce zároveň svým podpisem výslovně prohlašuje, že se seznámil se všemi pravidly stanovenými Všeobecnými podmínkami. </w:t>
      </w:r>
    </w:p>
    <w:p w:rsidR="00347D3A" w:rsidRDefault="00347D3A" w:rsidP="00347D3A">
      <w:pPr>
        <w:widowControl w:val="0"/>
        <w:autoSpaceDE w:val="0"/>
        <w:autoSpaceDN w:val="0"/>
        <w:adjustRightInd w:val="0"/>
        <w:spacing w:after="0" w:line="38"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10"/>
        <w:rPr>
          <w:rFonts w:ascii="Times New Roman" w:hAnsi="Times New Roman" w:cs="Times New Roman"/>
          <w:sz w:val="24"/>
          <w:szCs w:val="24"/>
        </w:rPr>
      </w:pPr>
      <w:r>
        <w:rPr>
          <w:rFonts w:ascii="Cambria" w:hAnsi="Cambria" w:cs="Cambria"/>
          <w:b/>
          <w:bCs/>
        </w:rPr>
        <w:t>Podpisy smluvních stran</w:t>
      </w:r>
    </w:p>
    <w:p w:rsidR="00347D3A" w:rsidRDefault="00347D3A" w:rsidP="00347D3A">
      <w:pPr>
        <w:widowControl w:val="0"/>
        <w:autoSpaceDE w:val="0"/>
        <w:autoSpaceDN w:val="0"/>
        <w:adjustRightInd w:val="0"/>
        <w:spacing w:after="0" w:line="254"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10"/>
        <w:rPr>
          <w:rFonts w:ascii="Times New Roman" w:hAnsi="Times New Roman" w:cs="Times New Roman"/>
          <w:sz w:val="24"/>
          <w:szCs w:val="24"/>
        </w:rPr>
      </w:pPr>
      <w:r>
        <w:rPr>
          <w:rFonts w:ascii="Cambria" w:hAnsi="Cambria" w:cs="Cambria"/>
          <w:b/>
          <w:bCs/>
          <w:sz w:val="20"/>
          <w:szCs w:val="20"/>
        </w:rPr>
        <w:t>Poskytovatel:</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21"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10"/>
        <w:rPr>
          <w:rFonts w:ascii="Times New Roman" w:hAnsi="Times New Roman" w:cs="Times New Roman"/>
          <w:sz w:val="24"/>
          <w:szCs w:val="24"/>
        </w:rPr>
      </w:pPr>
      <w:r>
        <w:rPr>
          <w:rFonts w:ascii="Cambria" w:hAnsi="Cambria" w:cs="Cambria"/>
          <w:sz w:val="20"/>
          <w:szCs w:val="20"/>
        </w:rPr>
        <w:t>V Praze dne ...................................................</w:t>
      </w:r>
    </w:p>
    <w:p w:rsidR="00347D3A" w:rsidRDefault="00347D3A" w:rsidP="00347D3A">
      <w:pPr>
        <w:widowControl w:val="0"/>
        <w:autoSpaceDE w:val="0"/>
        <w:autoSpaceDN w:val="0"/>
        <w:adjustRightInd w:val="0"/>
        <w:spacing w:after="0" w:line="27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5910"/>
        <w:rPr>
          <w:rFonts w:ascii="Times New Roman" w:hAnsi="Times New Roman" w:cs="Times New Roman"/>
          <w:sz w:val="24"/>
          <w:szCs w:val="24"/>
        </w:rPr>
      </w:pPr>
      <w:r>
        <w:rPr>
          <w:rFonts w:ascii="Cambria" w:hAnsi="Cambria" w:cs="Cambria"/>
          <w:sz w:val="20"/>
          <w:szCs w:val="20"/>
        </w:rPr>
        <w:t>_______________________________________________</w:t>
      </w:r>
    </w:p>
    <w:p w:rsidR="00347D3A" w:rsidRDefault="00347D3A" w:rsidP="00347D3A">
      <w:pPr>
        <w:widowControl w:val="0"/>
        <w:autoSpaceDE w:val="0"/>
        <w:autoSpaceDN w:val="0"/>
        <w:adjustRightInd w:val="0"/>
        <w:spacing w:after="0" w:line="62" w:lineRule="exact"/>
        <w:rPr>
          <w:rFonts w:ascii="Times New Roman" w:hAnsi="Times New Roman" w:cs="Times New Roman"/>
          <w:sz w:val="24"/>
          <w:szCs w:val="24"/>
        </w:rPr>
      </w:pPr>
    </w:p>
    <w:p w:rsidR="00347D3A" w:rsidRDefault="00347D3A" w:rsidP="00347D3A">
      <w:pPr>
        <w:widowControl w:val="0"/>
        <w:overflowPunct w:val="0"/>
        <w:autoSpaceDE w:val="0"/>
        <w:autoSpaceDN w:val="0"/>
        <w:adjustRightInd w:val="0"/>
        <w:spacing w:after="0" w:line="469" w:lineRule="auto"/>
        <w:ind w:left="6970" w:right="1880" w:firstLine="263"/>
        <w:rPr>
          <w:rFonts w:ascii="Times New Roman" w:hAnsi="Times New Roman" w:cs="Times New Roman"/>
          <w:sz w:val="24"/>
          <w:szCs w:val="24"/>
        </w:rPr>
      </w:pPr>
      <w:r>
        <w:rPr>
          <w:rFonts w:ascii="Cambria" w:hAnsi="Cambria" w:cs="Cambria"/>
          <w:sz w:val="19"/>
          <w:szCs w:val="19"/>
        </w:rPr>
        <w:t>Petr Očko předseda TA ČR</w:t>
      </w: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pgSz w:w="11906" w:h="16838"/>
          <w:pgMar w:top="723" w:right="840" w:bottom="0" w:left="850" w:header="720" w:footer="720" w:gutter="0"/>
          <w:cols w:space="720" w:equalWidth="0">
            <w:col w:w="10210"/>
          </w:cols>
          <w:noEndnote/>
        </w:sect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347D3A" w:rsidTr="00424142">
        <w:trPr>
          <w:trHeight w:val="229"/>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F-052, verze: 4</w:t>
            </w:r>
          </w:p>
        </w:tc>
      </w:tr>
      <w:tr w:rsidR="00347D3A" w:rsidTr="00424142">
        <w:trPr>
          <w:trHeight w:val="192"/>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347D3A" w:rsidTr="00424142">
        <w:trPr>
          <w:trHeight w:val="418"/>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3 / 4</w:t>
            </w:r>
          </w:p>
        </w:tc>
      </w:tr>
    </w:tbl>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type w:val="continuous"/>
          <w:pgSz w:w="11906" w:h="16838"/>
          <w:pgMar w:top="723" w:right="960" w:bottom="0" w:left="860" w:header="720" w:footer="720" w:gutter="0"/>
          <w:cols w:space="720" w:equalWidth="0">
            <w:col w:w="10080"/>
          </w:cols>
          <w:noEndnote/>
        </w:sectPr>
      </w:pPr>
    </w:p>
    <w:p w:rsidR="00347D3A" w:rsidRDefault="00347D3A" w:rsidP="00347D3A">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3" w:name="page7"/>
      <w:bookmarkEnd w:id="33"/>
      <w:r>
        <w:rPr>
          <w:noProof/>
        </w:rPr>
        <w:drawing>
          <wp:anchor distT="0" distB="0" distL="114300" distR="114300" simplePos="0" relativeHeight="251722752" behindDoc="1" locked="0" layoutInCell="0" allowOverlap="1">
            <wp:simplePos x="0" y="0"/>
            <wp:positionH relativeFrom="page">
              <wp:posOffset>539750</wp:posOffset>
            </wp:positionH>
            <wp:positionV relativeFrom="page">
              <wp:posOffset>370205</wp:posOffset>
            </wp:positionV>
            <wp:extent cx="2005330" cy="548640"/>
            <wp:effectExtent l="0" t="0" r="0" b="381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347D3A" w:rsidRDefault="00347D3A" w:rsidP="00347D3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4"/>
          <w:szCs w:val="24"/>
        </w:rPr>
        <w:t>Číslo smlouvy: 2016TH02030766</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0"/>
          <w:szCs w:val="20"/>
        </w:rPr>
        <w:t>Technická univerzita v Liberci - Ústav pro nanomateriály, pokročilé technologie a inovace:</w:t>
      </w: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21"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0"/>
          <w:szCs w:val="20"/>
        </w:rPr>
        <w:t>V ........................................ dne .....................</w:t>
      </w:r>
    </w:p>
    <w:p w:rsidR="00347D3A" w:rsidRDefault="00347D3A" w:rsidP="00347D3A">
      <w:pPr>
        <w:widowControl w:val="0"/>
        <w:autoSpaceDE w:val="0"/>
        <w:autoSpaceDN w:val="0"/>
        <w:adjustRightInd w:val="0"/>
        <w:spacing w:after="0" w:line="277"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5900"/>
        <w:rPr>
          <w:rFonts w:ascii="Times New Roman" w:hAnsi="Times New Roman" w:cs="Times New Roman"/>
          <w:sz w:val="24"/>
          <w:szCs w:val="24"/>
        </w:rPr>
      </w:pPr>
      <w:r>
        <w:rPr>
          <w:rFonts w:ascii="Cambria" w:hAnsi="Cambria" w:cs="Cambria"/>
          <w:sz w:val="20"/>
          <w:szCs w:val="20"/>
        </w:rPr>
        <w:t>_______________________________________________</w:t>
      </w:r>
    </w:p>
    <w:p w:rsidR="00347D3A" w:rsidRDefault="00347D3A" w:rsidP="00347D3A">
      <w:pPr>
        <w:widowControl w:val="0"/>
        <w:autoSpaceDE w:val="0"/>
        <w:autoSpaceDN w:val="0"/>
        <w:adjustRightInd w:val="0"/>
        <w:spacing w:after="0" w:line="62"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40" w:lineRule="auto"/>
        <w:ind w:left="6600"/>
        <w:rPr>
          <w:rFonts w:ascii="Times New Roman" w:hAnsi="Times New Roman" w:cs="Times New Roman"/>
          <w:sz w:val="24"/>
          <w:szCs w:val="24"/>
        </w:rPr>
      </w:pPr>
      <w:r>
        <w:rPr>
          <w:rFonts w:ascii="Cambria" w:hAnsi="Cambria" w:cs="Cambria"/>
          <w:sz w:val="20"/>
          <w:szCs w:val="20"/>
        </w:rPr>
        <w:t>prof. Dr. Ing. Zdeněk Kůs</w:t>
      </w:r>
    </w:p>
    <w:p w:rsidR="00347D3A" w:rsidRDefault="00347D3A" w:rsidP="00347D3A">
      <w:pPr>
        <w:widowControl w:val="0"/>
        <w:autoSpaceDE w:val="0"/>
        <w:autoSpaceDN w:val="0"/>
        <w:adjustRightInd w:val="0"/>
        <w:spacing w:after="0" w:line="240" w:lineRule="auto"/>
        <w:rPr>
          <w:rFonts w:ascii="Times New Roman" w:hAnsi="Times New Roman" w:cs="Times New Roman"/>
          <w:sz w:val="24"/>
          <w:szCs w:val="24"/>
        </w:rPr>
        <w:sectPr w:rsidR="00347D3A">
          <w:pgSz w:w="11906" w:h="16838"/>
          <w:pgMar w:top="723" w:right="960" w:bottom="0" w:left="860" w:header="720" w:footer="720" w:gutter="0"/>
          <w:cols w:space="720" w:equalWidth="0">
            <w:col w:w="10080"/>
          </w:cols>
          <w:noEndnote/>
        </w:sect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00" w:lineRule="exact"/>
        <w:rPr>
          <w:rFonts w:ascii="Times New Roman" w:hAnsi="Times New Roman" w:cs="Times New Roman"/>
          <w:sz w:val="24"/>
          <w:szCs w:val="24"/>
        </w:rPr>
      </w:pPr>
    </w:p>
    <w:p w:rsidR="00347D3A" w:rsidRDefault="00347D3A" w:rsidP="00347D3A">
      <w:pPr>
        <w:widowControl w:val="0"/>
        <w:autoSpaceDE w:val="0"/>
        <w:autoSpaceDN w:val="0"/>
        <w:adjustRightInd w:val="0"/>
        <w:spacing w:after="0" w:line="2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347D3A" w:rsidTr="00424142">
        <w:trPr>
          <w:trHeight w:val="229"/>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sz w:val="16"/>
                <w:szCs w:val="16"/>
              </w:rPr>
              <w:t>F-052, verze: 4</w:t>
            </w:r>
          </w:p>
        </w:tc>
      </w:tr>
      <w:tr w:rsidR="00347D3A" w:rsidTr="00424142">
        <w:trPr>
          <w:trHeight w:val="192"/>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16"/>
                <w:szCs w:val="16"/>
              </w:rPr>
              <w:t>Veřejný</w:t>
            </w:r>
          </w:p>
        </w:tc>
      </w:tr>
      <w:tr w:rsidR="00347D3A" w:rsidTr="00424142">
        <w:trPr>
          <w:trHeight w:val="418"/>
        </w:trPr>
        <w:tc>
          <w:tcPr>
            <w:tcW w:w="14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347D3A" w:rsidRDefault="00347D3A" w:rsidP="00424142">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sz w:val="20"/>
                <w:szCs w:val="20"/>
              </w:rPr>
              <w:t>strana 4 / 4</w:t>
            </w:r>
          </w:p>
        </w:tc>
      </w:tr>
    </w:tbl>
    <w:p w:rsidR="001E2BB3" w:rsidRDefault="001E2BB3">
      <w:pPr>
        <w:widowControl w:val="0"/>
        <w:autoSpaceDE w:val="0"/>
        <w:autoSpaceDN w:val="0"/>
        <w:adjustRightInd w:val="0"/>
        <w:spacing w:after="0" w:line="240" w:lineRule="auto"/>
        <w:rPr>
          <w:rFonts w:ascii="Times New Roman" w:hAnsi="Times New Roman" w:cs="Times New Roman"/>
          <w:sz w:val="24"/>
          <w:szCs w:val="24"/>
        </w:rPr>
      </w:pPr>
    </w:p>
    <w:sectPr w:rsidR="001E2BB3">
      <w:type w:val="continuous"/>
      <w:pgSz w:w="11906" w:h="16838"/>
      <w:pgMar w:top="723" w:right="960" w:bottom="0" w:left="86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1"/>
      <w:numFmt w:val="decimal"/>
      <w:lvlText w:val="%1"/>
      <w:lvlJc w:val="left"/>
      <w:pPr>
        <w:tabs>
          <w:tab w:val="num" w:pos="720"/>
        </w:tabs>
        <w:ind w:left="720" w:hanging="360"/>
      </w:pPr>
    </w:lvl>
    <w:lvl w:ilvl="1" w:tplc="0000153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1F"/>
    <w:multiLevelType w:val="hybridMultilevel"/>
    <w:tmpl w:val="000073DA"/>
    <w:lvl w:ilvl="0" w:tplc="000058B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D7"/>
    <w:multiLevelType w:val="hybridMultilevel"/>
    <w:tmpl w:val="00006BE8"/>
    <w:lvl w:ilvl="0" w:tplc="00005039">
      <w:start w:val="3"/>
      <w:numFmt w:val="decimal"/>
      <w:lvlText w:val="%1."/>
      <w:lvlJc w:val="left"/>
      <w:pPr>
        <w:tabs>
          <w:tab w:val="num" w:pos="720"/>
        </w:tabs>
        <w:ind w:left="720" w:hanging="360"/>
      </w:pPr>
    </w:lvl>
    <w:lvl w:ilvl="1" w:tplc="0000542C">
      <w:start w:val="1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53"/>
    <w:multiLevelType w:val="hybridMultilevel"/>
    <w:tmpl w:val="00006BCB"/>
    <w:lvl w:ilvl="0" w:tplc="00000FC9">
      <w:start w:val="1"/>
      <w:numFmt w:val="decimal"/>
      <w:lvlText w:val="%1"/>
      <w:lvlJc w:val="left"/>
      <w:pPr>
        <w:tabs>
          <w:tab w:val="num" w:pos="720"/>
        </w:tabs>
        <w:ind w:left="720" w:hanging="360"/>
      </w:pPr>
    </w:lvl>
    <w:lvl w:ilvl="1" w:tplc="00000E12">
      <w:start w:val="2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49"/>
    <w:multiLevelType w:val="hybridMultilevel"/>
    <w:tmpl w:val="00005F32"/>
    <w:lvl w:ilvl="0" w:tplc="00003BF6">
      <w:start w:val="1"/>
      <w:numFmt w:val="decimal"/>
      <w:lvlText w:val="%1"/>
      <w:lvlJc w:val="left"/>
      <w:pPr>
        <w:tabs>
          <w:tab w:val="num" w:pos="720"/>
        </w:tabs>
        <w:ind w:left="720" w:hanging="360"/>
      </w:pPr>
    </w:lvl>
    <w:lvl w:ilvl="1" w:tplc="00003A9E">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D4"/>
    <w:multiLevelType w:val="hybridMultilevel"/>
    <w:tmpl w:val="000063CB"/>
    <w:lvl w:ilvl="0" w:tplc="00006BFC">
      <w:start w:val="1"/>
      <w:numFmt w:val="decimal"/>
      <w:lvlText w:val="%1"/>
      <w:lvlJc w:val="left"/>
      <w:pPr>
        <w:tabs>
          <w:tab w:val="num" w:pos="720"/>
        </w:tabs>
        <w:ind w:left="720" w:hanging="360"/>
      </w:pPr>
    </w:lvl>
    <w:lvl w:ilvl="1" w:tplc="00007F96">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F4"/>
    <w:multiLevelType w:val="hybridMultilevel"/>
    <w:tmpl w:val="00000ECC"/>
    <w:lvl w:ilvl="0" w:tplc="000046C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059"/>
    <w:multiLevelType w:val="hybridMultilevel"/>
    <w:tmpl w:val="0000127E"/>
    <w:lvl w:ilvl="0" w:tplc="0000003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0D"/>
    <w:multiLevelType w:val="hybridMultilevel"/>
    <w:tmpl w:val="00006B89"/>
    <w:lvl w:ilvl="0" w:tplc="0000030A">
      <w:start w:val="7"/>
      <w:numFmt w:val="decimal"/>
      <w:lvlText w:val="%1."/>
      <w:lvlJc w:val="left"/>
      <w:pPr>
        <w:tabs>
          <w:tab w:val="num" w:pos="720"/>
        </w:tabs>
        <w:ind w:left="720" w:hanging="360"/>
      </w:pPr>
    </w:lvl>
    <w:lvl w:ilvl="1" w:tplc="00003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A6"/>
    <w:multiLevelType w:val="hybridMultilevel"/>
    <w:tmpl w:val="0000701F"/>
    <w:lvl w:ilvl="0" w:tplc="00005D03">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CA"/>
    <w:multiLevelType w:val="hybridMultilevel"/>
    <w:tmpl w:val="00003699"/>
    <w:lvl w:ilvl="0" w:tplc="00000902">
      <w:start w:val="1"/>
      <w:numFmt w:val="decimal"/>
      <w:lvlText w:val="%1."/>
      <w:lvlJc w:val="left"/>
      <w:pPr>
        <w:tabs>
          <w:tab w:val="num" w:pos="720"/>
        </w:tabs>
        <w:ind w:left="720" w:hanging="360"/>
      </w:pPr>
    </w:lvl>
    <w:lvl w:ilvl="1" w:tplc="00007BB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B0C"/>
    <w:multiLevelType w:val="hybridMultilevel"/>
    <w:tmpl w:val="000011F4"/>
    <w:lvl w:ilvl="0" w:tplc="00005DD5">
      <w:start w:val="1"/>
      <w:numFmt w:val="decimal"/>
      <w:lvlText w:val="%1."/>
      <w:lvlJc w:val="left"/>
      <w:pPr>
        <w:tabs>
          <w:tab w:val="num" w:pos="720"/>
        </w:tabs>
        <w:ind w:left="720" w:hanging="360"/>
      </w:pPr>
    </w:lvl>
    <w:lvl w:ilvl="1" w:tplc="00006AD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C3B"/>
    <w:multiLevelType w:val="hybridMultilevel"/>
    <w:tmpl w:val="000015A1"/>
    <w:lvl w:ilvl="0" w:tplc="0000542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E40"/>
    <w:multiLevelType w:val="hybridMultilevel"/>
    <w:tmpl w:val="00001366"/>
    <w:lvl w:ilvl="0" w:tplc="00001CD0">
      <w:start w:val="1"/>
      <w:numFmt w:val="decimal"/>
      <w:lvlText w:val="%1"/>
      <w:lvlJc w:val="left"/>
      <w:pPr>
        <w:tabs>
          <w:tab w:val="num" w:pos="720"/>
        </w:tabs>
        <w:ind w:left="720" w:hanging="360"/>
      </w:pPr>
    </w:lvl>
    <w:lvl w:ilvl="1" w:tplc="0000366B">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14F"/>
    <w:multiLevelType w:val="hybridMultilevel"/>
    <w:tmpl w:val="00005E14"/>
    <w:lvl w:ilvl="0" w:tplc="00004DF2">
      <w:start w:val="1"/>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A61"/>
    <w:multiLevelType w:val="hybridMultilevel"/>
    <w:tmpl w:val="000022CD"/>
    <w:lvl w:ilvl="0" w:tplc="00007DD1">
      <w:start w:val="4"/>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61"/>
    <w:multiLevelType w:val="hybridMultilevel"/>
    <w:tmpl w:val="00002FFF"/>
    <w:lvl w:ilvl="0" w:tplc="00006C69">
      <w:start w:val="1"/>
      <w:numFmt w:val="decimal"/>
      <w:lvlText w:val="%1"/>
      <w:lvlJc w:val="left"/>
      <w:pPr>
        <w:tabs>
          <w:tab w:val="num" w:pos="720"/>
        </w:tabs>
        <w:ind w:left="720" w:hanging="360"/>
      </w:pPr>
    </w:lvl>
    <w:lvl w:ilvl="1" w:tplc="00002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CD6"/>
    <w:multiLevelType w:val="hybridMultilevel"/>
    <w:tmpl w:val="00000FBF"/>
    <w:lvl w:ilvl="0" w:tplc="00002F14">
      <w:start w:val="1"/>
      <w:numFmt w:val="decimal"/>
      <w:lvlText w:val="%1."/>
      <w:lvlJc w:val="left"/>
      <w:pPr>
        <w:tabs>
          <w:tab w:val="num" w:pos="720"/>
        </w:tabs>
        <w:ind w:left="720" w:hanging="360"/>
      </w:pPr>
    </w:lvl>
    <w:lvl w:ilvl="1" w:tplc="00006A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01D"/>
    <w:multiLevelType w:val="hybridMultilevel"/>
    <w:tmpl w:val="000071F0"/>
    <w:lvl w:ilvl="0" w:tplc="0000038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09D"/>
    <w:multiLevelType w:val="hybridMultilevel"/>
    <w:tmpl w:val="000012E1"/>
    <w:lvl w:ilvl="0" w:tplc="0000798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40D"/>
    <w:multiLevelType w:val="hybridMultilevel"/>
    <w:tmpl w:val="0000491C"/>
    <w:lvl w:ilvl="0" w:tplc="00004D0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8CC"/>
    <w:multiLevelType w:val="hybridMultilevel"/>
    <w:tmpl w:val="00005753"/>
    <w:lvl w:ilvl="0" w:tplc="000060BF">
      <w:start w:val="2"/>
      <w:numFmt w:val="decimal"/>
      <w:lvlText w:val="%1."/>
      <w:lvlJc w:val="left"/>
      <w:pPr>
        <w:tabs>
          <w:tab w:val="num" w:pos="720"/>
        </w:tabs>
        <w:ind w:left="720" w:hanging="360"/>
      </w:pPr>
    </w:lvl>
    <w:lvl w:ilvl="1" w:tplc="00005C6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772"/>
    <w:multiLevelType w:val="hybridMultilevel"/>
    <w:tmpl w:val="0000139D"/>
    <w:lvl w:ilvl="0" w:tplc="00007049">
      <w:start w:val="1"/>
      <w:numFmt w:val="decimal"/>
      <w:lvlText w:val="%1."/>
      <w:lvlJc w:val="left"/>
      <w:pPr>
        <w:tabs>
          <w:tab w:val="num" w:pos="720"/>
        </w:tabs>
        <w:ind w:left="720" w:hanging="360"/>
      </w:pPr>
    </w:lvl>
    <w:lvl w:ilvl="1" w:tplc="0000692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878"/>
    <w:multiLevelType w:val="hybridMultilevel"/>
    <w:tmpl w:val="00006B36"/>
    <w:lvl w:ilvl="0" w:tplc="00005CFD">
      <w:start w:val="2"/>
      <w:numFmt w:val="decimal"/>
      <w:lvlText w:val="%1."/>
      <w:lvlJc w:val="left"/>
      <w:pPr>
        <w:tabs>
          <w:tab w:val="num" w:pos="720"/>
        </w:tabs>
        <w:ind w:left="720" w:hanging="360"/>
      </w:pPr>
    </w:lvl>
    <w:lvl w:ilvl="1" w:tplc="00003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91D"/>
    <w:multiLevelType w:val="hybridMultilevel"/>
    <w:tmpl w:val="0000252A"/>
    <w:lvl w:ilvl="0" w:tplc="000037E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A9F"/>
    <w:multiLevelType w:val="hybridMultilevel"/>
    <w:tmpl w:val="00004CD4"/>
    <w:lvl w:ilvl="0" w:tplc="00005FA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E9D"/>
    <w:multiLevelType w:val="hybridMultilevel"/>
    <w:tmpl w:val="0000489C"/>
    <w:lvl w:ilvl="0" w:tplc="000019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F1E"/>
    <w:multiLevelType w:val="hybridMultilevel"/>
    <w:tmpl w:val="00002833"/>
    <w:lvl w:ilvl="0" w:tplc="00007874">
      <w:start w:val="7"/>
      <w:numFmt w:val="decimal"/>
      <w:lvlText w:val="%1."/>
      <w:lvlJc w:val="left"/>
      <w:pPr>
        <w:tabs>
          <w:tab w:val="num" w:pos="720"/>
        </w:tabs>
        <w:ind w:left="720" w:hanging="360"/>
      </w:pPr>
    </w:lvl>
    <w:lvl w:ilvl="1" w:tplc="0000249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443"/>
    <w:multiLevelType w:val="hybridMultilevel"/>
    <w:tmpl w:val="000066BB"/>
    <w:lvl w:ilvl="0" w:tplc="0000428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6C4"/>
    <w:multiLevelType w:val="hybridMultilevel"/>
    <w:tmpl w:val="00004230"/>
    <w:lvl w:ilvl="0" w:tplc="00007EB7">
      <w:start w:val="3"/>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899"/>
    <w:multiLevelType w:val="hybridMultilevel"/>
    <w:tmpl w:val="00003CD5"/>
    <w:lvl w:ilvl="0" w:tplc="000013E9">
      <w:start w:val="2"/>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59A"/>
    <w:multiLevelType w:val="hybridMultilevel"/>
    <w:tmpl w:val="00002350"/>
    <w:lvl w:ilvl="0" w:tplc="000022EE">
      <w:start w:val="1"/>
      <w:numFmt w:val="decimal"/>
      <w:lvlText w:val="%1"/>
      <w:lvlJc w:val="left"/>
      <w:pPr>
        <w:tabs>
          <w:tab w:val="num" w:pos="720"/>
        </w:tabs>
        <w:ind w:left="720" w:hanging="360"/>
      </w:pPr>
    </w:lvl>
    <w:lvl w:ilvl="1" w:tplc="00004B40">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5EF"/>
    <w:multiLevelType w:val="hybridMultilevel"/>
    <w:tmpl w:val="00004657"/>
    <w:lvl w:ilvl="0" w:tplc="00002C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97D"/>
    <w:multiLevelType w:val="hybridMultilevel"/>
    <w:tmpl w:val="00005F49"/>
    <w:lvl w:ilvl="0" w:tplc="00000DDC">
      <w:start w:val="3"/>
      <w:numFmt w:val="decimal"/>
      <w:lvlText w:val="%1."/>
      <w:lvlJc w:val="left"/>
      <w:pPr>
        <w:tabs>
          <w:tab w:val="num" w:pos="720"/>
        </w:tabs>
        <w:ind w:left="720" w:hanging="360"/>
      </w:pPr>
    </w:lvl>
    <w:lvl w:ilvl="1" w:tplc="00004CA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A5A"/>
    <w:multiLevelType w:val="hybridMultilevel"/>
    <w:tmpl w:val="0000767D"/>
    <w:lvl w:ilvl="0" w:tplc="00004509">
      <w:start w:val="3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E87"/>
    <w:multiLevelType w:val="hybridMultilevel"/>
    <w:tmpl w:val="0000390C"/>
    <w:lvl w:ilvl="0" w:tplc="00000F3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F4F"/>
    <w:multiLevelType w:val="hybridMultilevel"/>
    <w:tmpl w:val="0000494A"/>
    <w:lvl w:ilvl="0" w:tplc="00000677">
      <w:start w:val="1"/>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FF5"/>
    <w:multiLevelType w:val="hybridMultilevel"/>
    <w:tmpl w:val="00004E45"/>
    <w:lvl w:ilvl="0" w:tplc="0000323B">
      <w:start w:val="5"/>
      <w:numFmt w:val="decimal"/>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0"/>
  </w:num>
  <w:num w:numId="3">
    <w:abstractNumId w:val="22"/>
  </w:num>
  <w:num w:numId="4">
    <w:abstractNumId w:val="45"/>
  </w:num>
  <w:num w:numId="5">
    <w:abstractNumId w:val="41"/>
  </w:num>
  <w:num w:numId="6">
    <w:abstractNumId w:val="6"/>
  </w:num>
  <w:num w:numId="7">
    <w:abstractNumId w:val="56"/>
  </w:num>
  <w:num w:numId="8">
    <w:abstractNumId w:val="1"/>
  </w:num>
  <w:num w:numId="9">
    <w:abstractNumId w:val="33"/>
  </w:num>
  <w:num w:numId="10">
    <w:abstractNumId w:val="36"/>
  </w:num>
  <w:num w:numId="11">
    <w:abstractNumId w:val="26"/>
  </w:num>
  <w:num w:numId="12">
    <w:abstractNumId w:val="48"/>
  </w:num>
  <w:num w:numId="13">
    <w:abstractNumId w:val="18"/>
  </w:num>
  <w:num w:numId="14">
    <w:abstractNumId w:val="55"/>
  </w:num>
  <w:num w:numId="15">
    <w:abstractNumId w:val="9"/>
  </w:num>
  <w:num w:numId="16">
    <w:abstractNumId w:val="13"/>
  </w:num>
  <w:num w:numId="17">
    <w:abstractNumId w:val="58"/>
  </w:num>
  <w:num w:numId="18">
    <w:abstractNumId w:val="17"/>
  </w:num>
  <w:num w:numId="19">
    <w:abstractNumId w:val="7"/>
  </w:num>
  <w:num w:numId="20">
    <w:abstractNumId w:val="52"/>
  </w:num>
  <w:num w:numId="21">
    <w:abstractNumId w:val="38"/>
  </w:num>
  <w:num w:numId="22">
    <w:abstractNumId w:val="12"/>
  </w:num>
  <w:num w:numId="23">
    <w:abstractNumId w:val="54"/>
  </w:num>
  <w:num w:numId="24">
    <w:abstractNumId w:val="24"/>
  </w:num>
  <w:num w:numId="25">
    <w:abstractNumId w:val="23"/>
  </w:num>
  <w:num w:numId="26">
    <w:abstractNumId w:val="49"/>
  </w:num>
  <w:num w:numId="27">
    <w:abstractNumId w:val="21"/>
  </w:num>
  <w:num w:numId="28">
    <w:abstractNumId w:val="30"/>
  </w:num>
  <w:num w:numId="29">
    <w:abstractNumId w:val="32"/>
  </w:num>
  <w:num w:numId="30">
    <w:abstractNumId w:val="8"/>
  </w:num>
  <w:num w:numId="31">
    <w:abstractNumId w:val="19"/>
  </w:num>
  <w:num w:numId="32">
    <w:abstractNumId w:val="37"/>
  </w:num>
  <w:num w:numId="33">
    <w:abstractNumId w:val="35"/>
  </w:num>
  <w:num w:numId="34">
    <w:abstractNumId w:val="51"/>
  </w:num>
  <w:num w:numId="35">
    <w:abstractNumId w:val="42"/>
  </w:num>
  <w:num w:numId="36">
    <w:abstractNumId w:val="34"/>
  </w:num>
  <w:num w:numId="37">
    <w:abstractNumId w:val="29"/>
  </w:num>
  <w:num w:numId="38">
    <w:abstractNumId w:val="3"/>
  </w:num>
  <w:num w:numId="39">
    <w:abstractNumId w:val="25"/>
  </w:num>
  <w:num w:numId="40">
    <w:abstractNumId w:val="53"/>
  </w:num>
  <w:num w:numId="41">
    <w:abstractNumId w:val="28"/>
  </w:num>
  <w:num w:numId="42">
    <w:abstractNumId w:val="27"/>
  </w:num>
  <w:num w:numId="43">
    <w:abstractNumId w:val="43"/>
  </w:num>
  <w:num w:numId="44">
    <w:abstractNumId w:val="47"/>
  </w:num>
  <w:num w:numId="45">
    <w:abstractNumId w:val="31"/>
  </w:num>
  <w:num w:numId="46">
    <w:abstractNumId w:val="57"/>
  </w:num>
  <w:num w:numId="47">
    <w:abstractNumId w:val="10"/>
  </w:num>
  <w:num w:numId="48">
    <w:abstractNumId w:val="11"/>
  </w:num>
  <w:num w:numId="49">
    <w:abstractNumId w:val="44"/>
  </w:num>
  <w:num w:numId="50">
    <w:abstractNumId w:val="20"/>
  </w:num>
  <w:num w:numId="51">
    <w:abstractNumId w:val="40"/>
  </w:num>
  <w:num w:numId="52">
    <w:abstractNumId w:val="16"/>
  </w:num>
  <w:num w:numId="53">
    <w:abstractNumId w:val="4"/>
  </w:num>
  <w:num w:numId="54">
    <w:abstractNumId w:val="14"/>
  </w:num>
  <w:num w:numId="55">
    <w:abstractNumId w:val="2"/>
  </w:num>
  <w:num w:numId="56">
    <w:abstractNumId w:val="46"/>
  </w:num>
  <w:num w:numId="57">
    <w:abstractNumId w:val="5"/>
  </w:num>
  <w:num w:numId="58">
    <w:abstractNumId w:val="39"/>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F"/>
    <w:rsid w:val="001E2BB3"/>
    <w:rsid w:val="00347D3A"/>
    <w:rsid w:val="00D35ED8"/>
    <w:rsid w:val="00E83CAF"/>
    <w:rsid w:val="00F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3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3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3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12328</Words>
  <Characters>72740</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Jindriska</dc:creator>
  <cp:lastModifiedBy>TUL</cp:lastModifiedBy>
  <cp:revision>2</cp:revision>
  <cp:lastPrinted>2016-12-22T08:41:00Z</cp:lastPrinted>
  <dcterms:created xsi:type="dcterms:W3CDTF">2016-12-22T08:42:00Z</dcterms:created>
  <dcterms:modified xsi:type="dcterms:W3CDTF">2016-12-22T08:42:00Z</dcterms:modified>
</cp:coreProperties>
</file>