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25E450FC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D638A9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2019-08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379A04B4" w:rsidR="00B2381D" w:rsidRDefault="00D638A9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Pilotní ověření ochrany proti </w:t>
      </w:r>
      <w:proofErr w:type="spellStart"/>
      <w:r>
        <w:rPr>
          <w:b/>
          <w:bCs/>
          <w:color w:val="000000"/>
          <w:sz w:val="22"/>
          <w:szCs w:val="22"/>
        </w:rPr>
        <w:t>DDoS</w:t>
      </w:r>
      <w:proofErr w:type="spellEnd"/>
      <w:r>
        <w:rPr>
          <w:b/>
          <w:bCs/>
          <w:color w:val="000000"/>
          <w:sz w:val="22"/>
          <w:szCs w:val="22"/>
        </w:rPr>
        <w:t xml:space="preserve"> a ověření dopadů výpadků centrálních prvků KSI</w:t>
      </w:r>
    </w:p>
    <w:p w14:paraId="22CA46A0" w14:textId="4106095E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D638A9">
        <w:rPr>
          <w:rFonts w:ascii="Palatino Linotype" w:hAnsi="Palatino Linotype" w:cs="Tahoma"/>
          <w:b/>
          <w:sz w:val="22"/>
          <w:szCs w:val="28"/>
          <w:lang w:eastAsia="cs-CZ"/>
        </w:rPr>
        <w:t>(ZLR 2019-08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3E2818D3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05B23">
        <w:rPr>
          <w:rFonts w:ascii="Palatino Linotype" w:hAnsi="Palatino Linotype"/>
          <w:sz w:val="22"/>
          <w:szCs w:val="22"/>
          <w:lang w:eastAsia="cs-CZ"/>
        </w:rPr>
        <w:t>PhDr. Lenkou Bočkovou</w:t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D638A9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4A615BEE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68C170A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FB294A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4EA6837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62D16439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D638A9">
        <w:rPr>
          <w:rFonts w:ascii="Palatino Linotype" w:hAnsi="Palatino Linotype" w:cs="Arial"/>
          <w:sz w:val="22"/>
          <w:szCs w:val="22"/>
        </w:rPr>
        <w:t xml:space="preserve"> 2019-08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992C5A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92C5A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992C5A">
        <w:rPr>
          <w:rFonts w:ascii="Palatino Linotype" w:hAnsi="Palatino Linotype" w:cs="Arial"/>
          <w:sz w:val="22"/>
          <w:szCs w:val="22"/>
        </w:rPr>
        <w:t>j</w:t>
      </w:r>
      <w:r w:rsidR="00C91E4A" w:rsidRPr="00992C5A">
        <w:rPr>
          <w:rFonts w:ascii="Palatino Linotype" w:hAnsi="Palatino Linotype" w:cs="Arial"/>
          <w:sz w:val="22"/>
          <w:szCs w:val="22"/>
        </w:rPr>
        <w:t>e</w:t>
      </w:r>
      <w:r w:rsidR="008E5B83" w:rsidRPr="00992C5A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992C5A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992C5A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431D3FE0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</w:t>
      </w:r>
      <w:r w:rsidRPr="00992C5A">
        <w:rPr>
          <w:rFonts w:ascii="Palatino Linotype" w:hAnsi="Palatino Linotype" w:cs="Arial"/>
          <w:sz w:val="22"/>
          <w:szCs w:val="22"/>
        </w:rPr>
        <w:t xml:space="preserve">povinen poskytnout plnění specifikované v příloze </w:t>
      </w:r>
      <w:r w:rsidR="00842842" w:rsidRPr="00992C5A">
        <w:rPr>
          <w:rFonts w:ascii="Palatino Linotype" w:hAnsi="Palatino Linotype" w:cs="Arial"/>
          <w:sz w:val="22"/>
          <w:szCs w:val="22"/>
        </w:rPr>
        <w:t>č. 1 této P</w:t>
      </w:r>
      <w:r w:rsidRPr="00992C5A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992C5A">
        <w:rPr>
          <w:rFonts w:ascii="Palatino Linotype" w:hAnsi="Palatino Linotype" w:cs="Arial"/>
          <w:sz w:val="22"/>
          <w:szCs w:val="22"/>
        </w:rPr>
        <w:t>3</w:t>
      </w:r>
      <w:r w:rsidR="00C91E4A" w:rsidRPr="00992C5A">
        <w:rPr>
          <w:rFonts w:ascii="Palatino Linotype" w:hAnsi="Palatino Linotype" w:cs="Arial"/>
          <w:sz w:val="22"/>
          <w:szCs w:val="22"/>
        </w:rPr>
        <w:t>1</w:t>
      </w:r>
      <w:r w:rsidR="009C6E85" w:rsidRPr="00992C5A">
        <w:rPr>
          <w:rFonts w:ascii="Palatino Linotype" w:hAnsi="Palatino Linotype" w:cs="Arial"/>
          <w:sz w:val="22"/>
          <w:szCs w:val="22"/>
        </w:rPr>
        <w:t>.12</w:t>
      </w:r>
      <w:r w:rsidR="0017343E" w:rsidRPr="00992C5A">
        <w:rPr>
          <w:rFonts w:ascii="Palatino Linotype" w:hAnsi="Palatino Linotype" w:cs="Arial"/>
          <w:sz w:val="22"/>
          <w:szCs w:val="22"/>
        </w:rPr>
        <w:t>.201</w:t>
      </w:r>
      <w:r w:rsidR="007E32EF" w:rsidRPr="00992C5A">
        <w:rPr>
          <w:rFonts w:ascii="Palatino Linotype" w:hAnsi="Palatino Linotype" w:cs="Arial"/>
          <w:sz w:val="22"/>
          <w:szCs w:val="22"/>
        </w:rPr>
        <w:t>9</w:t>
      </w:r>
      <w:r w:rsidR="008E5B83" w:rsidRPr="00992C5A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739189EA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</w:t>
      </w:r>
      <w:r w:rsidRPr="003F024D">
        <w:rPr>
          <w:rFonts w:ascii="Palatino Linotype" w:hAnsi="Palatino Linotype" w:cs="Arial"/>
          <w:sz w:val="22"/>
          <w:szCs w:val="22"/>
        </w:rPr>
        <w:t xml:space="preserve">dohodly na celkové ceně za plnění dle této </w:t>
      </w:r>
      <w:r w:rsidR="009E7028" w:rsidRPr="003F024D">
        <w:rPr>
          <w:rFonts w:ascii="Palatino Linotype" w:hAnsi="Palatino Linotype" w:cs="Arial"/>
          <w:sz w:val="22"/>
          <w:szCs w:val="22"/>
        </w:rPr>
        <w:t>Prováděcí smlouvy</w:t>
      </w:r>
      <w:r w:rsidRPr="003F024D">
        <w:rPr>
          <w:rFonts w:ascii="Palatino Linotype" w:hAnsi="Palatino Linotype" w:cs="Arial"/>
          <w:sz w:val="22"/>
          <w:szCs w:val="22"/>
        </w:rPr>
        <w:t xml:space="preserve"> ve výši </w:t>
      </w:r>
      <w:r w:rsidR="003F024D" w:rsidRPr="003F024D">
        <w:rPr>
          <w:rFonts w:ascii="Palatino Linotype" w:hAnsi="Palatino Linotype" w:cs="Arial"/>
          <w:sz w:val="22"/>
          <w:szCs w:val="22"/>
        </w:rPr>
        <w:t>952</w:t>
      </w:r>
      <w:r w:rsidR="00605B23" w:rsidRPr="003F024D">
        <w:rPr>
          <w:rFonts w:ascii="Palatino Linotype" w:hAnsi="Palatino Linotype" w:cs="Arial"/>
          <w:sz w:val="22"/>
          <w:szCs w:val="22"/>
        </w:rPr>
        <w:t>.</w:t>
      </w:r>
      <w:r w:rsidR="003F024D" w:rsidRPr="003F024D">
        <w:rPr>
          <w:rFonts w:ascii="Palatino Linotype" w:hAnsi="Palatino Linotype" w:cs="Arial"/>
          <w:sz w:val="22"/>
          <w:szCs w:val="22"/>
        </w:rPr>
        <w:t>2</w:t>
      </w:r>
      <w:r w:rsidR="00605B23" w:rsidRPr="003F024D">
        <w:rPr>
          <w:rFonts w:ascii="Palatino Linotype" w:hAnsi="Palatino Linotype" w:cs="Arial"/>
          <w:sz w:val="22"/>
          <w:szCs w:val="22"/>
        </w:rPr>
        <w:t>00</w:t>
      </w:r>
      <w:r w:rsidR="000E71EF" w:rsidRPr="003F024D">
        <w:rPr>
          <w:rFonts w:ascii="Palatino Linotype" w:hAnsi="Palatino Linotype" w:cs="Arial"/>
          <w:sz w:val="22"/>
          <w:szCs w:val="22"/>
        </w:rPr>
        <w:t>,-</w:t>
      </w:r>
      <w:r w:rsidR="00C056E8" w:rsidRPr="003F024D">
        <w:rPr>
          <w:rFonts w:ascii="Palatino Linotype" w:hAnsi="Palatino Linotype" w:cs="Arial"/>
          <w:sz w:val="22"/>
          <w:szCs w:val="22"/>
        </w:rPr>
        <w:t xml:space="preserve"> </w:t>
      </w:r>
      <w:r w:rsidRPr="003F024D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3F024D" w:rsidRPr="003F024D">
        <w:rPr>
          <w:rFonts w:ascii="Palatino Linotype" w:hAnsi="Palatino Linotype" w:cs="Arial"/>
          <w:sz w:val="22"/>
          <w:szCs w:val="22"/>
        </w:rPr>
        <w:t>devětsetpadesátdvatisícdvěstě</w:t>
      </w:r>
      <w:proofErr w:type="spellEnd"/>
      <w:r w:rsidR="00597DE9" w:rsidRPr="003F024D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3F024D">
        <w:rPr>
          <w:rFonts w:ascii="Palatino Linotype" w:hAnsi="Palatino Linotype" w:cs="Arial"/>
          <w:sz w:val="22"/>
          <w:szCs w:val="22"/>
        </w:rPr>
        <w:t xml:space="preserve">) </w:t>
      </w:r>
      <w:r w:rsidRPr="003F024D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3F024D" w:rsidRPr="003F024D">
        <w:rPr>
          <w:rFonts w:ascii="Palatino Linotype" w:hAnsi="Palatino Linotype" w:cs="Arial"/>
          <w:spacing w:val="-15"/>
          <w:sz w:val="22"/>
          <w:szCs w:val="22"/>
        </w:rPr>
        <w:t>1.152</w:t>
      </w:r>
      <w:r w:rsidR="00385061" w:rsidRPr="003F024D">
        <w:rPr>
          <w:rFonts w:ascii="Palatino Linotype" w:hAnsi="Palatino Linotype" w:cs="Arial"/>
          <w:spacing w:val="-15"/>
          <w:sz w:val="22"/>
          <w:szCs w:val="22"/>
        </w:rPr>
        <w:t>.</w:t>
      </w:r>
      <w:r w:rsidR="003F024D" w:rsidRPr="003F024D">
        <w:rPr>
          <w:rFonts w:ascii="Palatino Linotype" w:hAnsi="Palatino Linotype" w:cs="Arial"/>
          <w:spacing w:val="-15"/>
          <w:sz w:val="22"/>
          <w:szCs w:val="22"/>
        </w:rPr>
        <w:t>162</w:t>
      </w:r>
      <w:r w:rsidR="009E7028" w:rsidRPr="003F024D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3F024D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3F024D" w:rsidRPr="003F024D">
        <w:rPr>
          <w:rFonts w:ascii="Palatino Linotype" w:hAnsi="Palatino Linotype" w:cs="Arial"/>
          <w:spacing w:val="-15"/>
          <w:sz w:val="22"/>
          <w:szCs w:val="22"/>
        </w:rPr>
        <w:t>jedenmilionjednostopadesátdvatisícjednostošedesátdva</w:t>
      </w:r>
      <w:proofErr w:type="spellEnd"/>
      <w:r w:rsidR="00597DE9" w:rsidRPr="003F024D">
        <w:rPr>
          <w:rFonts w:ascii="Palatino Linotype" w:hAnsi="Palatino Linotype" w:cs="Arial"/>
          <w:spacing w:val="-15"/>
          <w:sz w:val="22"/>
          <w:szCs w:val="22"/>
        </w:rPr>
        <w:t xml:space="preserve"> korun</w:t>
      </w:r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1ED5DD4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4D077BFC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PhDr. Lenka Bočková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5E415B6" w14:textId="77777777" w:rsidR="00992C5A" w:rsidRDefault="00992C5A" w:rsidP="00992C5A">
      <w:pPr>
        <w:contextualSpacing/>
        <w:rPr>
          <w:rFonts w:ascii="Arial" w:hAnsi="Arial" w:cs="Arial"/>
          <w:b/>
          <w:color w:val="000000" w:themeColor="text1"/>
          <w:sz w:val="20"/>
          <w:u w:val="single"/>
        </w:rPr>
      </w:pPr>
      <w:r w:rsidRPr="00181ABF">
        <w:rPr>
          <w:rFonts w:ascii="Arial" w:hAnsi="Arial" w:cs="Arial"/>
          <w:b/>
          <w:color w:val="000000" w:themeColor="text1"/>
          <w:sz w:val="20"/>
          <w:u w:val="single"/>
        </w:rPr>
        <w:t>Současný stav:</w:t>
      </w:r>
    </w:p>
    <w:p w14:paraId="26113A8C" w14:textId="742D419E" w:rsidR="002E0886" w:rsidRPr="00F432B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2E0886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  <w:bookmarkStart w:id="6" w:name="_GoBack"/>
      <w:bookmarkEnd w:id="6"/>
    </w:p>
    <w:sectPr w:rsidR="0061191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3F2A4" w14:textId="77777777" w:rsidR="0055713B" w:rsidRDefault="0055713B" w:rsidP="00312D44">
      <w:pPr>
        <w:spacing w:line="240" w:lineRule="auto"/>
      </w:pPr>
      <w:r>
        <w:separator/>
      </w:r>
    </w:p>
  </w:endnote>
  <w:endnote w:type="continuationSeparator" w:id="0">
    <w:p w14:paraId="7591939A" w14:textId="77777777" w:rsidR="0055713B" w:rsidRDefault="0055713B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3822DF4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5354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5354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127238B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5354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35354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7E57" w14:textId="77777777" w:rsidR="0055713B" w:rsidRDefault="0055713B" w:rsidP="00312D44">
      <w:pPr>
        <w:spacing w:line="240" w:lineRule="auto"/>
      </w:pPr>
      <w:r>
        <w:separator/>
      </w:r>
    </w:p>
  </w:footnote>
  <w:footnote w:type="continuationSeparator" w:id="0">
    <w:p w14:paraId="73AFCB91" w14:textId="77777777" w:rsidR="0055713B" w:rsidRDefault="0055713B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0280D47" w:rsidR="00467F1D" w:rsidRPr="00611E2F" w:rsidRDefault="00D638A9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ANECT/MPSV/1908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>
      <w:rPr>
        <w:rFonts w:ascii="Arial" w:hAnsi="Arial" w:cs="Arial"/>
        <w:szCs w:val="16"/>
      </w:rPr>
      <w:t>3762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1.19.0427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483"/>
    <w:multiLevelType w:val="hybridMultilevel"/>
    <w:tmpl w:val="99502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73E"/>
    <w:multiLevelType w:val="hybridMultilevel"/>
    <w:tmpl w:val="D788FD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0CBC3B09"/>
    <w:multiLevelType w:val="hybridMultilevel"/>
    <w:tmpl w:val="FAF63234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47C65"/>
    <w:multiLevelType w:val="hybridMultilevel"/>
    <w:tmpl w:val="00AAD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255B"/>
    <w:multiLevelType w:val="hybridMultilevel"/>
    <w:tmpl w:val="997E0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1F0F4AA9"/>
    <w:multiLevelType w:val="hybridMultilevel"/>
    <w:tmpl w:val="19F40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B0C0D59"/>
    <w:multiLevelType w:val="hybridMultilevel"/>
    <w:tmpl w:val="A2226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A4E4B"/>
    <w:multiLevelType w:val="hybridMultilevel"/>
    <w:tmpl w:val="D5583A0A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B344A"/>
    <w:multiLevelType w:val="hybridMultilevel"/>
    <w:tmpl w:val="4E56A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DB42BA1"/>
    <w:multiLevelType w:val="hybridMultilevel"/>
    <w:tmpl w:val="E5A0B9B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B44E1"/>
    <w:multiLevelType w:val="hybridMultilevel"/>
    <w:tmpl w:val="4D202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3"/>
  </w:num>
  <w:num w:numId="5">
    <w:abstractNumId w:val="8"/>
  </w:num>
  <w:num w:numId="6">
    <w:abstractNumId w:val="21"/>
  </w:num>
  <w:num w:numId="7">
    <w:abstractNumId w:val="12"/>
  </w:num>
  <w:num w:numId="8">
    <w:abstractNumId w:val="3"/>
  </w:num>
  <w:num w:numId="9">
    <w:abstractNumId w:val="17"/>
  </w:num>
  <w:num w:numId="10">
    <w:abstractNumId w:val="20"/>
  </w:num>
  <w:num w:numId="11">
    <w:abstractNumId w:val="19"/>
  </w:num>
  <w:num w:numId="12">
    <w:abstractNumId w:val="2"/>
  </w:num>
  <w:num w:numId="13">
    <w:abstractNumId w:val="16"/>
  </w:num>
  <w:num w:numId="14">
    <w:abstractNumId w:val="6"/>
  </w:num>
  <w:num w:numId="15">
    <w:abstractNumId w:val="9"/>
  </w:num>
  <w:num w:numId="16">
    <w:abstractNumId w:val="18"/>
  </w:num>
  <w:num w:numId="17">
    <w:abstractNumId w:val="13"/>
  </w:num>
  <w:num w:numId="18">
    <w:abstractNumId w:val="15"/>
  </w:num>
  <w:num w:numId="19">
    <w:abstractNumId w:val="0"/>
  </w:num>
  <w:num w:numId="20">
    <w:abstractNumId w:val="4"/>
  </w:num>
  <w:num w:numId="21">
    <w:abstractNumId w:val="22"/>
  </w:num>
  <w:num w:numId="22">
    <w:abstractNumId w:val="14"/>
  </w:num>
  <w:num w:numId="23">
    <w:abstractNumId w:val="5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35354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024D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5713B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92C5A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38A9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35810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36F76"/>
    <w:rsid w:val="00F432B6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92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E627-74FF-47EA-9E77-9DA93C07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1643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4</cp:revision>
  <cp:lastPrinted>2017-02-22T11:38:00Z</cp:lastPrinted>
  <dcterms:created xsi:type="dcterms:W3CDTF">2019-06-17T19:59:00Z</dcterms:created>
  <dcterms:modified xsi:type="dcterms:W3CDTF">2019-08-12T08:40:00Z</dcterms:modified>
</cp:coreProperties>
</file>