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7141F2">
        <w:tc>
          <w:tcPr>
            <w:tcW w:w="215" w:type="dxa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1615" w:type="dxa"/>
            <w:gridSpan w:val="2"/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sz w:val="17"/>
              </w:rPr>
              <w:t>00274046</w:t>
            </w:r>
          </w:p>
        </w:tc>
        <w:tc>
          <w:tcPr>
            <w:tcW w:w="539" w:type="dxa"/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215" w:type="dxa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1292" w:type="dxa"/>
          </w:tcPr>
          <w:p w:rsidR="007141F2" w:rsidRDefault="004718E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8939" w:type="dxa"/>
            <w:gridSpan w:val="13"/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sz w:val="17"/>
              </w:rPr>
              <w:t>Městský obvod Pardubice IV</w:t>
            </w:r>
          </w:p>
        </w:tc>
      </w:tr>
      <w:tr w:rsidR="007141F2">
        <w:tc>
          <w:tcPr>
            <w:tcW w:w="1830" w:type="dxa"/>
            <w:gridSpan w:val="3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4092" w:type="dxa"/>
            <w:gridSpan w:val="8"/>
            <w:vAlign w:val="center"/>
          </w:tcPr>
          <w:p w:rsidR="007141F2" w:rsidRDefault="004718E7">
            <w:pPr>
              <w:spacing w:after="0" w:line="240" w:lineRule="auto"/>
            </w:pPr>
            <w:proofErr w:type="gramStart"/>
            <w:r>
              <w:rPr>
                <w:rFonts w:ascii="Arial" w:hAnsi="Arial"/>
                <w:sz w:val="17"/>
              </w:rPr>
              <w:t>Bokova  315</w:t>
            </w:r>
            <w:proofErr w:type="gramEnd"/>
          </w:p>
        </w:tc>
        <w:tc>
          <w:tcPr>
            <w:tcW w:w="4847" w:type="dxa"/>
            <w:gridSpan w:val="5"/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1830" w:type="dxa"/>
            <w:gridSpan w:val="3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3446" w:type="dxa"/>
            <w:gridSpan w:val="6"/>
            <w:vAlign w:val="center"/>
          </w:tcPr>
          <w:p w:rsidR="007141F2" w:rsidRDefault="004718E7">
            <w:pPr>
              <w:spacing w:after="0" w:line="240" w:lineRule="auto"/>
            </w:pPr>
            <w:proofErr w:type="gramStart"/>
            <w:r>
              <w:rPr>
                <w:rFonts w:ascii="Arial" w:hAnsi="Arial"/>
                <w:sz w:val="17"/>
              </w:rPr>
              <w:t>530  03</w:t>
            </w:r>
            <w:proofErr w:type="gramEnd"/>
            <w:r>
              <w:rPr>
                <w:rFonts w:ascii="Arial" w:hAnsi="Arial"/>
                <w:sz w:val="17"/>
              </w:rPr>
              <w:t xml:space="preserve">  Pardubice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sz w:val="17"/>
              </w:rPr>
              <w:t>73660582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1830" w:type="dxa"/>
            <w:gridSpan w:val="3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3446" w:type="dxa"/>
            <w:gridSpan w:val="6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b/>
                <w:sz w:val="21"/>
              </w:rPr>
              <w:t>Michal Jun</w:t>
            </w:r>
          </w:p>
        </w:tc>
      </w:tr>
      <w:tr w:rsidR="007141F2">
        <w:tc>
          <w:tcPr>
            <w:tcW w:w="215" w:type="dxa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1615" w:type="dxa"/>
            <w:gridSpan w:val="2"/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215" w:type="dxa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1615" w:type="dxa"/>
            <w:gridSpan w:val="2"/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538" w:type="dxa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  <w:bookmarkStart w:id="0" w:name="_GoBack"/>
            <w:bookmarkEnd w:id="0"/>
          </w:p>
        </w:tc>
      </w:tr>
      <w:tr w:rsidR="007141F2">
        <w:tc>
          <w:tcPr>
            <w:tcW w:w="1830" w:type="dxa"/>
            <w:gridSpan w:val="3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3446" w:type="dxa"/>
            <w:gridSpan w:val="6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1830" w:type="dxa"/>
            <w:gridSpan w:val="3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3446" w:type="dxa"/>
            <w:gridSpan w:val="6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proofErr w:type="gramStart"/>
            <w:r>
              <w:rPr>
                <w:rFonts w:ascii="Arial" w:hAnsi="Arial"/>
                <w:b/>
                <w:sz w:val="21"/>
              </w:rPr>
              <w:t>500  03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</w:t>
            </w:r>
            <w:r>
              <w:rPr>
                <w:rFonts w:ascii="Arial" w:hAnsi="Arial"/>
                <w:b/>
                <w:sz w:val="21"/>
              </w:rPr>
              <w:t>Hradec Králové 3</w:t>
            </w:r>
          </w:p>
        </w:tc>
      </w:tr>
      <w:tr w:rsidR="007141F2">
        <w:tc>
          <w:tcPr>
            <w:tcW w:w="5276" w:type="dxa"/>
            <w:gridSpan w:val="9"/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10769" w:type="dxa"/>
            <w:gridSpan w:val="16"/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Arial" w:hAnsi="Arial"/>
                <w:b/>
                <w:sz w:val="25"/>
              </w:rPr>
              <w:t>Řez dřevin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 xml:space="preserve">Objednáváme u Vás provedení </w:t>
            </w:r>
            <w:proofErr w:type="gramStart"/>
            <w:r>
              <w:rPr>
                <w:rFonts w:ascii="Courier" w:hAnsi="Courier"/>
                <w:sz w:val="17"/>
              </w:rPr>
              <w:t>řezu - ošetření</w:t>
            </w:r>
            <w:proofErr w:type="gramEnd"/>
            <w:r>
              <w:rPr>
                <w:rFonts w:ascii="Courier" w:hAnsi="Courier"/>
                <w:sz w:val="17"/>
              </w:rPr>
              <w:t xml:space="preserve"> 19 stromů v </w:t>
            </w:r>
            <w:proofErr w:type="spellStart"/>
            <w:r>
              <w:rPr>
                <w:rFonts w:ascii="Courier" w:hAnsi="Courier"/>
                <w:sz w:val="17"/>
              </w:rPr>
              <w:t>loklaite</w:t>
            </w:r>
            <w:proofErr w:type="spellEnd"/>
            <w:r>
              <w:rPr>
                <w:rFonts w:ascii="Courier" w:hAnsi="Courier"/>
                <w:sz w:val="17"/>
              </w:rPr>
              <w:t xml:space="preserve"> MO Pardubice IV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 xml:space="preserve">včetně revize </w:t>
            </w:r>
            <w:proofErr w:type="spellStart"/>
            <w:r>
              <w:rPr>
                <w:rFonts w:ascii="Courier" w:hAnsi="Courier"/>
                <w:sz w:val="17"/>
              </w:rPr>
              <w:t>dinamických</w:t>
            </w:r>
            <w:proofErr w:type="spellEnd"/>
            <w:r>
              <w:rPr>
                <w:rFonts w:ascii="Courier" w:hAnsi="Courier"/>
                <w:sz w:val="17"/>
              </w:rPr>
              <w:t xml:space="preserve"> vazeb, likvidace dřevní hmoty a úklidu v rozsahu: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ulice Kyjevská          11 stromů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 xml:space="preserve">ulice </w:t>
            </w:r>
            <w:proofErr w:type="gramStart"/>
            <w:r>
              <w:rPr>
                <w:rFonts w:ascii="Courier" w:hAnsi="Courier"/>
                <w:sz w:val="17"/>
              </w:rPr>
              <w:t>Zelená</w:t>
            </w:r>
            <w:proofErr w:type="gramEnd"/>
            <w:r>
              <w:rPr>
                <w:rFonts w:ascii="Courier" w:hAnsi="Courier"/>
                <w:sz w:val="17"/>
              </w:rPr>
              <w:t xml:space="preserve">             5 stromů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Černá za Bory            2 stromy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 xml:space="preserve">Pardubičky (u </w:t>
            </w:r>
            <w:proofErr w:type="gramStart"/>
            <w:r>
              <w:rPr>
                <w:rFonts w:ascii="Courier" w:hAnsi="Courier"/>
                <w:sz w:val="17"/>
              </w:rPr>
              <w:t>hřbitova)  1</w:t>
            </w:r>
            <w:proofErr w:type="gramEnd"/>
            <w:r>
              <w:rPr>
                <w:rFonts w:ascii="Courier" w:hAnsi="Courier"/>
                <w:sz w:val="17"/>
              </w:rPr>
              <w:t xml:space="preserve"> strom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 xml:space="preserve">Cena za ošetření stromů a likvidaci dřevní hmoty je stanovena na částku </w:t>
            </w:r>
            <w:proofErr w:type="gramStart"/>
            <w:r>
              <w:rPr>
                <w:rFonts w:ascii="Courier" w:hAnsi="Courier"/>
                <w:sz w:val="17"/>
              </w:rPr>
              <w:t>77.000,-</w:t>
            </w:r>
            <w:proofErr w:type="gramEnd"/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Kč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Termín provedení: do 30. září 2019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 xml:space="preserve">Smluvní strany se </w:t>
            </w:r>
            <w:r>
              <w:rPr>
                <w:rFonts w:ascii="Courier" w:hAnsi="Courier"/>
                <w:sz w:val="17"/>
              </w:rPr>
              <w:t>dohodly, že objednatel bezodkladně po uzavření této objednávky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ji odešle k řádnému uveřejnění do registru smluv vedeného Ministerstvem vnitra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ČR. O uveřejnění objednávky městský obvod bezodkladně informuje druhou smluvní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 xml:space="preserve">stranu, nebyl-li kontaktní údaj </w:t>
            </w:r>
            <w:r>
              <w:rPr>
                <w:rFonts w:ascii="Courier" w:hAnsi="Courier"/>
                <w:sz w:val="17"/>
              </w:rPr>
              <w:t>této smluvní strany uveden přímo do registru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smluv jako kontakt pro notifikaci o uveřejnění. Smluvní strany prohlašují, že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žádná část objednávky nenaplňuje znaky obchodního tajemství (§ 504 z. č. 89/2012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 xml:space="preserve">Sb., občanský zákoník). Pro případ, kdy je v </w:t>
            </w:r>
            <w:r>
              <w:rPr>
                <w:rFonts w:ascii="Courier" w:hAnsi="Courier"/>
                <w:sz w:val="17"/>
              </w:rPr>
              <w:t>uzavřené objednávce uvedeno rodné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číslo, e-mailová adresa, telefonní číslo, číslo účtu fyzické osoby,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bydliště/sídlo fyzické osoby, se smluvní strany dohodly, že objednávka bude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 xml:space="preserve">uveřejněna bez těchto údajů. Dále se smluvní strany dohodly, že objednávka </w:t>
            </w:r>
            <w:r>
              <w:rPr>
                <w:rFonts w:ascii="Courier" w:hAnsi="Courier"/>
                <w:sz w:val="17"/>
              </w:rPr>
              <w:t>bude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uveřejněna bez podpisů.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V souladu se zněním předchozího odstavce platí, že pro případ, kdy objednávka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obsahovala osobní údaje, které nejsou zahrnuty ve výše uvedeném výčtu a které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 xml:space="preserve">zároveň nepodléhají uveřejnění dle příslušných právních </w:t>
            </w:r>
            <w:r>
              <w:rPr>
                <w:rFonts w:ascii="Courier" w:hAnsi="Courier"/>
                <w:sz w:val="17"/>
              </w:rPr>
              <w:t>předpisů, poskytuje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smluvní strana (dodavatel) svůj souhlas se zpracováním těchto údajů, konkrétně s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jejich zveřejněním v registru smluv ve smyslu zákona č. 340/2015 Sb. Statutárním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 xml:space="preserve">městem Pardubice, Městským obvodem Pardubice IV. Souhlas se </w:t>
            </w:r>
            <w:r>
              <w:rPr>
                <w:rFonts w:ascii="Courier" w:hAnsi="Courier"/>
                <w:sz w:val="17"/>
              </w:rPr>
              <w:t>uděluje na dobu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>neurčitou a je poskytnut dobrovolně</w:t>
            </w:r>
          </w:p>
        </w:tc>
      </w:tr>
      <w:tr w:rsidR="007141F2"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41F2" w:rsidRDefault="007141F2">
            <w:pPr>
              <w:spacing w:after="0" w:line="240" w:lineRule="auto"/>
            </w:pPr>
          </w:p>
        </w:tc>
      </w:tr>
    </w:tbl>
    <w:p w:rsidR="007141F2" w:rsidRDefault="007141F2">
      <w:pPr>
        <w:sectPr w:rsidR="007141F2">
          <w:headerReference w:type="default" r:id="rId7"/>
          <w:pgSz w:w="11903" w:h="16835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141F2">
        <w:tc>
          <w:tcPr>
            <w:tcW w:w="10769" w:type="dxa"/>
          </w:tcPr>
          <w:p w:rsidR="007141F2" w:rsidRDefault="007141F2">
            <w:pPr>
              <w:spacing w:after="0" w:line="240" w:lineRule="auto"/>
            </w:pPr>
          </w:p>
        </w:tc>
      </w:tr>
      <w:tr w:rsidR="007141F2">
        <w:tc>
          <w:tcPr>
            <w:tcW w:w="10769" w:type="dxa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lastRenderedPageBreak/>
              <w:t>Jedná se o cenu dohodnutou a v čase a místě obvyklou.</w:t>
            </w:r>
          </w:p>
        </w:tc>
      </w:tr>
      <w:tr w:rsidR="007141F2">
        <w:tc>
          <w:tcPr>
            <w:tcW w:w="10769" w:type="dxa"/>
          </w:tcPr>
          <w:p w:rsidR="007141F2" w:rsidRDefault="004718E7">
            <w:pPr>
              <w:spacing w:after="0" w:line="240" w:lineRule="auto"/>
            </w:pPr>
            <w:r>
              <w:rPr>
                <w:rFonts w:ascii="Courier" w:hAnsi="Courier"/>
                <w:sz w:val="17"/>
              </w:rPr>
              <w:t xml:space="preserve">Akceptací této objednávky dodavatel souhlasí s tím, že když v </w:t>
            </w:r>
            <w:r>
              <w:rPr>
                <w:rFonts w:ascii="Courier" w:hAnsi="Courier"/>
                <w:sz w:val="17"/>
              </w:rPr>
              <w:t>okamžiku uskutečnění zdanitelného plnění bude o dodavateli zveřejněna způsobem umožňujícím dálkový přístup skutečnost, že je nespolehlivým plátcem ve smyslu § 106</w:t>
            </w:r>
            <w:proofErr w:type="gramStart"/>
            <w:r>
              <w:rPr>
                <w:rFonts w:ascii="Courier" w:hAnsi="Courier"/>
                <w:sz w:val="17"/>
              </w:rPr>
              <w:t>a  zákona</w:t>
            </w:r>
            <w:proofErr w:type="gramEnd"/>
            <w:r>
              <w:rPr>
                <w:rFonts w:ascii="Courier" w:hAnsi="Courier"/>
                <w:sz w:val="17"/>
              </w:rPr>
              <w:t xml:space="preserve"> č. 235/2004 Sb., o dani z přidané hodnoty, ve zn. </w:t>
            </w:r>
            <w:proofErr w:type="spellStart"/>
            <w:r>
              <w:rPr>
                <w:rFonts w:ascii="Courier" w:hAnsi="Courier"/>
                <w:sz w:val="17"/>
              </w:rPr>
              <w:t>pozd</w:t>
            </w:r>
            <w:proofErr w:type="spellEnd"/>
            <w:r>
              <w:rPr>
                <w:rFonts w:ascii="Courier" w:hAnsi="Courier"/>
                <w:sz w:val="17"/>
              </w:rPr>
              <w:t>. předpisů, bude dodavateli za</w:t>
            </w:r>
            <w:r>
              <w:rPr>
                <w:rFonts w:ascii="Courier" w:hAnsi="Courier"/>
                <w:sz w:val="17"/>
              </w:rPr>
              <w:t>placen v režimu podle § 109a zákona o dani z přidané hodnoty pouze základ daně a DPH bude odvedeno místně příslušnému správci daně dodavatele.</w:t>
            </w:r>
          </w:p>
        </w:tc>
      </w:tr>
      <w:tr w:rsidR="007141F2">
        <w:tc>
          <w:tcPr>
            <w:tcW w:w="10769" w:type="dxa"/>
            <w:vAlign w:val="center"/>
          </w:tcPr>
          <w:p w:rsidR="007141F2" w:rsidRDefault="007141F2">
            <w:pPr>
              <w:spacing w:after="0" w:line="240" w:lineRule="auto"/>
            </w:pPr>
          </w:p>
        </w:tc>
      </w:tr>
    </w:tbl>
    <w:p w:rsidR="00000000" w:rsidRDefault="004718E7"/>
    <w:sectPr w:rsidR="00000000">
      <w:headerReference w:type="default" r:id="rId8"/>
      <w:type w:val="continuous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18E7">
      <w:pPr>
        <w:spacing w:after="0" w:line="240" w:lineRule="auto"/>
      </w:pPr>
      <w:r>
        <w:separator/>
      </w:r>
    </w:p>
  </w:endnote>
  <w:endnote w:type="continuationSeparator" w:id="0">
    <w:p w:rsidR="00000000" w:rsidRDefault="0047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18E7">
      <w:pPr>
        <w:spacing w:after="0" w:line="240" w:lineRule="auto"/>
      </w:pPr>
      <w:r>
        <w:separator/>
      </w:r>
    </w:p>
  </w:footnote>
  <w:footnote w:type="continuationSeparator" w:id="0">
    <w:p w:rsidR="00000000" w:rsidRDefault="0047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141F2">
      <w:tc>
        <w:tcPr>
          <w:tcW w:w="10769" w:type="dxa"/>
          <w:gridSpan w:val="2"/>
          <w:vAlign w:val="center"/>
        </w:tcPr>
        <w:p w:rsidR="007141F2" w:rsidRDefault="007141F2">
          <w:pPr>
            <w:spacing w:after="0" w:line="240" w:lineRule="auto"/>
          </w:pPr>
        </w:p>
      </w:tc>
    </w:tr>
    <w:tr w:rsidR="007141F2">
      <w:tc>
        <w:tcPr>
          <w:tcW w:w="5922" w:type="dxa"/>
          <w:vAlign w:val="center"/>
        </w:tcPr>
        <w:p w:rsidR="007141F2" w:rsidRDefault="004718E7">
          <w:pPr>
            <w:spacing w:after="0" w:line="240" w:lineRule="auto"/>
            <w:jc w:val="center"/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141F2" w:rsidRDefault="004718E7">
          <w:pPr>
            <w:spacing w:after="0" w:line="240" w:lineRule="auto"/>
            <w:jc w:val="right"/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144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141F2">
      <w:tc>
        <w:tcPr>
          <w:tcW w:w="10769" w:type="dxa"/>
          <w:gridSpan w:val="2"/>
          <w:vAlign w:val="center"/>
        </w:tcPr>
        <w:p w:rsidR="007141F2" w:rsidRDefault="007141F2">
          <w:pPr>
            <w:spacing w:after="0" w:line="240" w:lineRule="auto"/>
          </w:pPr>
        </w:p>
      </w:tc>
    </w:tr>
    <w:tr w:rsidR="007141F2">
      <w:tc>
        <w:tcPr>
          <w:tcW w:w="5922" w:type="dxa"/>
          <w:vAlign w:val="center"/>
        </w:tcPr>
        <w:p w:rsidR="007141F2" w:rsidRDefault="004718E7">
          <w:pPr>
            <w:spacing w:after="0" w:line="240" w:lineRule="auto"/>
            <w:jc w:val="center"/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141F2" w:rsidRDefault="004718E7">
          <w:pPr>
            <w:spacing w:after="0" w:line="240" w:lineRule="auto"/>
            <w:jc w:val="right"/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144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F2"/>
    <w:rsid w:val="004718E7"/>
    <w:rsid w:val="0071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A01D2-02C2-468A-B4E4-35FC2EA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Růžičková Jana</cp:lastModifiedBy>
  <cp:revision>2</cp:revision>
  <cp:lastPrinted>2019-08-12T07:33:00Z</cp:lastPrinted>
  <dcterms:created xsi:type="dcterms:W3CDTF">2019-08-12T07:31:00Z</dcterms:created>
  <dcterms:modified xsi:type="dcterms:W3CDTF">2019-08-12T07:33:00Z</dcterms:modified>
</cp:coreProperties>
</file>