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CD" w:rsidRDefault="005E7857" w:rsidP="007042FA">
      <w:pPr>
        <w:pStyle w:val="Heading20"/>
        <w:framePr w:w="8803" w:h="511" w:hRule="exact" w:wrap="none" w:vAnchor="page" w:hAnchor="page" w:x="1531" w:y="1486"/>
        <w:shd w:val="clear" w:color="auto" w:fill="auto"/>
        <w:spacing w:after="0"/>
        <w:ind w:right="20"/>
      </w:pPr>
      <w:bookmarkStart w:id="0" w:name="bookmark0"/>
      <w:r>
        <w:t xml:space="preserve">Smlouva o </w:t>
      </w:r>
      <w:proofErr w:type="spellStart"/>
      <w:r>
        <w:t>spolupořadatelství</w:t>
      </w:r>
      <w:bookmarkEnd w:id="0"/>
      <w:proofErr w:type="spellEnd"/>
    </w:p>
    <w:p w:rsidR="000F18CD" w:rsidRDefault="005E7857" w:rsidP="007042FA">
      <w:pPr>
        <w:pStyle w:val="Bodytext20"/>
        <w:framePr w:w="9256" w:h="4336" w:hRule="exact" w:wrap="none" w:vAnchor="page" w:hAnchor="page" w:x="1501" w:y="1756"/>
        <w:shd w:val="clear" w:color="auto" w:fill="auto"/>
        <w:spacing w:before="0" w:after="312" w:line="240" w:lineRule="auto"/>
      </w:pPr>
      <w:r>
        <w:t xml:space="preserve">uzavřená </w:t>
      </w:r>
      <w:proofErr w:type="gramStart"/>
      <w:r>
        <w:t>mezi</w:t>
      </w:r>
      <w:proofErr w:type="gramEnd"/>
      <w:r>
        <w:t>:</w:t>
      </w:r>
    </w:p>
    <w:p w:rsidR="000F18CD" w:rsidRDefault="005E7857" w:rsidP="007042FA">
      <w:pPr>
        <w:pStyle w:val="Heading20"/>
        <w:framePr w:w="9256" w:h="4336" w:hRule="exact" w:wrap="none" w:vAnchor="page" w:hAnchor="page" w:x="1501" w:y="1756"/>
        <w:shd w:val="clear" w:color="auto" w:fill="auto"/>
        <w:spacing w:after="0" w:line="240" w:lineRule="auto"/>
        <w:jc w:val="left"/>
      </w:pPr>
      <w:bookmarkStart w:id="1" w:name="bookmark1"/>
      <w:r>
        <w:t>Hudební divadlo v Karlině p. o.</w:t>
      </w:r>
      <w:bookmarkEnd w:id="1"/>
    </w:p>
    <w:p w:rsidR="007042FA" w:rsidRDefault="005E7857" w:rsidP="007042FA">
      <w:pPr>
        <w:pStyle w:val="Bodytext20"/>
        <w:framePr w:w="9256" w:h="4336" w:hRule="exact" w:wrap="none" w:vAnchor="page" w:hAnchor="page" w:x="1501" w:y="1756"/>
        <w:shd w:val="clear" w:color="auto" w:fill="auto"/>
        <w:spacing w:before="0" w:after="369" w:line="240" w:lineRule="auto"/>
        <w:ind w:right="960"/>
      </w:pPr>
      <w:r>
        <w:t xml:space="preserve">se sídlem Křižíkova 10, 186 00 Praha 8 </w:t>
      </w:r>
      <w:r w:rsidR="007042FA">
        <w:t>–</w:t>
      </w:r>
      <w:r>
        <w:t xml:space="preserve"> Karlín</w:t>
      </w:r>
      <w:r w:rsidR="006E6643">
        <w:t xml:space="preserve">                                                    </w:t>
      </w:r>
    </w:p>
    <w:p w:rsidR="007042FA" w:rsidRDefault="005E7857" w:rsidP="007042FA">
      <w:pPr>
        <w:pStyle w:val="Bodytext20"/>
        <w:framePr w:w="9256" w:h="4336" w:hRule="exact" w:wrap="none" w:vAnchor="page" w:hAnchor="page" w:x="1501" w:y="1756"/>
        <w:shd w:val="clear" w:color="auto" w:fill="auto"/>
        <w:spacing w:before="0" w:after="369" w:line="240" w:lineRule="auto"/>
        <w:ind w:left="30" w:right="960"/>
      </w:pPr>
      <w:r>
        <w:t xml:space="preserve">Zastoupené: panem Egonem Kulhánkem, ředitelem HDK </w:t>
      </w:r>
      <w:r w:rsidR="006E6643">
        <w:t xml:space="preserve">                  </w:t>
      </w:r>
    </w:p>
    <w:p w:rsidR="007042FA" w:rsidRDefault="007042FA" w:rsidP="007042FA">
      <w:pPr>
        <w:pStyle w:val="Bodytext20"/>
        <w:framePr w:w="9256" w:h="4336" w:hRule="exact" w:wrap="none" w:vAnchor="page" w:hAnchor="page" w:x="1501" w:y="1756"/>
        <w:shd w:val="clear" w:color="auto" w:fill="auto"/>
        <w:spacing w:before="0" w:after="369" w:line="240" w:lineRule="auto"/>
        <w:ind w:right="960"/>
      </w:pPr>
      <w:r>
        <w:t xml:space="preserve"> </w:t>
      </w:r>
      <w:r w:rsidR="005E7857">
        <w:t>IČ:</w:t>
      </w:r>
      <w:r>
        <w:t xml:space="preserve"> </w:t>
      </w:r>
      <w:r w:rsidR="005E7857">
        <w:t xml:space="preserve">00064335, DIČ: CZ00064335 </w:t>
      </w:r>
      <w:r>
        <w:t xml:space="preserve"> </w:t>
      </w:r>
      <w:r w:rsidR="006E6643">
        <w:t xml:space="preserve">                          </w:t>
      </w:r>
    </w:p>
    <w:p w:rsidR="000F18CD" w:rsidRDefault="005E7857" w:rsidP="007042FA">
      <w:pPr>
        <w:pStyle w:val="Bodytext20"/>
        <w:framePr w:w="9256" w:h="4336" w:hRule="exact" w:wrap="none" w:vAnchor="page" w:hAnchor="page" w:x="1501" w:y="1756"/>
        <w:shd w:val="clear" w:color="auto" w:fill="auto"/>
        <w:spacing w:before="0" w:after="369" w:line="240" w:lineRule="auto"/>
        <w:ind w:right="960"/>
      </w:pPr>
      <w:r>
        <w:t xml:space="preserve">bankovní spojení: KB, a.s., </w:t>
      </w:r>
      <w:proofErr w:type="spellStart"/>
      <w:proofErr w:type="gramStart"/>
      <w:r>
        <w:t>č.ú</w:t>
      </w:r>
      <w:proofErr w:type="spellEnd"/>
      <w:r>
        <w:t>.: 431512190287/0100</w:t>
      </w:r>
      <w:proofErr w:type="gramEnd"/>
    </w:p>
    <w:p w:rsidR="000F18CD" w:rsidRDefault="005E7857" w:rsidP="007042FA">
      <w:pPr>
        <w:pStyle w:val="Bodytext20"/>
        <w:framePr w:w="9256" w:h="4336" w:hRule="exact" w:wrap="none" w:vAnchor="page" w:hAnchor="page" w:x="1501" w:y="1756"/>
        <w:shd w:val="clear" w:color="auto" w:fill="auto"/>
        <w:spacing w:before="0" w:after="0" w:line="240" w:lineRule="auto"/>
        <w:ind w:right="3920"/>
      </w:pPr>
      <w:r>
        <w:t>(dále jen „divadlo")</w:t>
      </w:r>
    </w:p>
    <w:p w:rsidR="000F18CD" w:rsidRDefault="005E7857">
      <w:pPr>
        <w:pStyle w:val="Bodytext20"/>
        <w:framePr w:w="8803" w:h="3528" w:hRule="exact" w:wrap="none" w:vAnchor="page" w:hAnchor="page" w:x="1501" w:y="5688"/>
        <w:shd w:val="clear" w:color="auto" w:fill="auto"/>
        <w:spacing w:before="0" w:after="1195"/>
        <w:ind w:right="3920"/>
      </w:pPr>
      <w:r>
        <w:rPr>
          <w:rStyle w:val="Bodytext21"/>
        </w:rPr>
        <w:t>a</w:t>
      </w:r>
    </w:p>
    <w:p w:rsidR="000F18CD" w:rsidRDefault="005E7857">
      <w:pPr>
        <w:pStyle w:val="Heading20"/>
        <w:framePr w:w="8803" w:h="3528" w:hRule="exact" w:wrap="none" w:vAnchor="page" w:hAnchor="page" w:x="1501" w:y="5688"/>
        <w:shd w:val="clear" w:color="auto" w:fill="auto"/>
        <w:spacing w:after="0" w:line="293" w:lineRule="exact"/>
        <w:jc w:val="left"/>
      </w:pPr>
      <w:bookmarkStart w:id="2" w:name="bookmark2"/>
      <w:r>
        <w:t>AGENTURA 44, spol. s r. o.</w:t>
      </w:r>
      <w:bookmarkEnd w:id="2"/>
    </w:p>
    <w:p w:rsidR="007042FA" w:rsidRDefault="005E7857">
      <w:pPr>
        <w:pStyle w:val="Bodytext20"/>
        <w:framePr w:w="8803" w:h="3528" w:hRule="exact" w:wrap="none" w:vAnchor="page" w:hAnchor="page" w:x="1501" w:y="5688"/>
        <w:shd w:val="clear" w:color="auto" w:fill="auto"/>
        <w:spacing w:before="0" w:after="0" w:line="293" w:lineRule="exact"/>
        <w:ind w:right="960"/>
      </w:pPr>
      <w:r>
        <w:t>se sídlem Praha 1, Karlova 8</w:t>
      </w:r>
    </w:p>
    <w:p w:rsidR="000F18CD" w:rsidRDefault="005E7857">
      <w:pPr>
        <w:pStyle w:val="Bodytext20"/>
        <w:framePr w:w="8803" w:h="3528" w:hRule="exact" w:wrap="none" w:vAnchor="page" w:hAnchor="page" w:x="1501" w:y="5688"/>
        <w:shd w:val="clear" w:color="auto" w:fill="auto"/>
        <w:spacing w:before="0" w:after="0" w:line="293" w:lineRule="exact"/>
        <w:ind w:right="960"/>
      </w:pPr>
      <w:r>
        <w:t>IČ :28367821, DIČ: CZ28367821</w:t>
      </w:r>
    </w:p>
    <w:p w:rsidR="000F18CD" w:rsidRDefault="005E7857">
      <w:pPr>
        <w:pStyle w:val="Bodytext20"/>
        <w:framePr w:w="8803" w:h="3528" w:hRule="exact" w:wrap="none" w:vAnchor="page" w:hAnchor="page" w:x="1501" w:y="5688"/>
        <w:shd w:val="clear" w:color="auto" w:fill="auto"/>
        <w:spacing w:before="0" w:after="0" w:line="293" w:lineRule="exact"/>
      </w:pPr>
      <w:r>
        <w:t xml:space="preserve">zapsaná v obchodním rejstříku vedeném Městským soudem v Praze, </w:t>
      </w:r>
      <w:r>
        <w:rPr>
          <w:lang w:val="en-US" w:eastAsia="en-US" w:bidi="en-US"/>
        </w:rPr>
        <w:t xml:space="preserve">odd. </w:t>
      </w:r>
      <w:r>
        <w:t>C, vložka 136557</w:t>
      </w:r>
    </w:p>
    <w:p w:rsidR="000F18CD" w:rsidRDefault="005E7857">
      <w:pPr>
        <w:pStyle w:val="Bodytext20"/>
        <w:framePr w:w="8803" w:h="3528" w:hRule="exact" w:wrap="none" w:vAnchor="page" w:hAnchor="page" w:x="1501" w:y="5688"/>
        <w:shd w:val="clear" w:color="auto" w:fill="auto"/>
        <w:spacing w:before="0" w:after="0" w:line="293" w:lineRule="exact"/>
      </w:pPr>
      <w:r>
        <w:t xml:space="preserve">za niž jedná pan Jiří </w:t>
      </w:r>
      <w:proofErr w:type="spellStart"/>
      <w:r>
        <w:t>Kouble</w:t>
      </w:r>
      <w:proofErr w:type="spellEnd"/>
      <w:r>
        <w:t>, jednatel</w:t>
      </w:r>
    </w:p>
    <w:p w:rsidR="000F18CD" w:rsidRDefault="005E7857">
      <w:pPr>
        <w:pStyle w:val="Bodytext20"/>
        <w:framePr w:w="8803" w:h="3528" w:hRule="exact" w:wrap="none" w:vAnchor="page" w:hAnchor="page" w:x="1501" w:y="5688"/>
        <w:shd w:val="clear" w:color="auto" w:fill="auto"/>
        <w:spacing w:before="0" w:after="365" w:line="293" w:lineRule="exact"/>
      </w:pPr>
      <w:r>
        <w:t xml:space="preserve">bankovní spojení: ČSOB, a.s., č. </w:t>
      </w:r>
      <w:proofErr w:type="spellStart"/>
      <w:r>
        <w:t>ú</w:t>
      </w:r>
      <w:proofErr w:type="spellEnd"/>
      <w:r>
        <w:t>.: 220335750/0300</w:t>
      </w:r>
    </w:p>
    <w:p w:rsidR="000F18CD" w:rsidRDefault="005E7857">
      <w:pPr>
        <w:pStyle w:val="Bodytext20"/>
        <w:framePr w:w="8803" w:h="3528" w:hRule="exact" w:wrap="none" w:vAnchor="page" w:hAnchor="page" w:x="1501" w:y="5688"/>
        <w:shd w:val="clear" w:color="auto" w:fill="auto"/>
        <w:spacing w:before="0"/>
      </w:pPr>
      <w:r>
        <w:t>(dále jen „společnost")</w:t>
      </w:r>
    </w:p>
    <w:p w:rsidR="000F18CD" w:rsidRDefault="005E7857">
      <w:pPr>
        <w:pStyle w:val="Bodytext20"/>
        <w:framePr w:w="8803" w:h="3528" w:hRule="exact" w:wrap="none" w:vAnchor="page" w:hAnchor="page" w:x="1501" w:y="5688"/>
        <w:shd w:val="clear" w:color="auto" w:fill="auto"/>
        <w:spacing w:before="0" w:after="0"/>
      </w:pPr>
      <w:r>
        <w:t>za těchto smluvních podmínek:</w:t>
      </w:r>
    </w:p>
    <w:p w:rsidR="000F18CD" w:rsidRDefault="005E7857">
      <w:pPr>
        <w:pStyle w:val="Heading20"/>
        <w:framePr w:w="8803" w:h="1248" w:hRule="exact" w:wrap="none" w:vAnchor="page" w:hAnchor="page" w:x="1501" w:y="9661"/>
        <w:shd w:val="clear" w:color="auto" w:fill="auto"/>
        <w:spacing w:after="0" w:line="298" w:lineRule="exact"/>
        <w:ind w:right="20"/>
      </w:pPr>
      <w:bookmarkStart w:id="3" w:name="bookmark3"/>
      <w:r>
        <w:t>Prohlášení</w:t>
      </w:r>
      <w:bookmarkEnd w:id="3"/>
    </w:p>
    <w:p w:rsidR="000F18CD" w:rsidRDefault="005E7857">
      <w:pPr>
        <w:pStyle w:val="Bodytext20"/>
        <w:framePr w:w="8803" w:h="1248" w:hRule="exact" w:wrap="none" w:vAnchor="page" w:hAnchor="page" w:x="1501" w:y="9661"/>
        <w:shd w:val="clear" w:color="auto" w:fill="auto"/>
        <w:spacing w:before="0" w:after="0" w:line="298" w:lineRule="exact"/>
        <w:jc w:val="both"/>
      </w:pPr>
      <w:r>
        <w:t xml:space="preserve">Divadlo je oprávněno přenechat společnosti nebytové prostory do užívání na základě "Podnájemní smlouvy č. NAN/58//01/009617/2006" ze dne 9. 10. 2006 uzavřené mezi Hlavním městem Praha a Hudebním divadlem v Karlině, </w:t>
      </w:r>
      <w:proofErr w:type="spellStart"/>
      <w:proofErr w:type="gramStart"/>
      <w:r>
        <w:t>p.o</w:t>
      </w:r>
      <w:proofErr w:type="spellEnd"/>
      <w:r>
        <w:t>..</w:t>
      </w:r>
      <w:proofErr w:type="gramEnd"/>
    </w:p>
    <w:p w:rsidR="000F18CD" w:rsidRDefault="005E7857">
      <w:pPr>
        <w:pStyle w:val="Heading10"/>
        <w:framePr w:w="8803" w:h="3238" w:hRule="exact" w:wrap="none" w:vAnchor="page" w:hAnchor="page" w:x="1501" w:y="11519"/>
        <w:shd w:val="clear" w:color="auto" w:fill="auto"/>
        <w:spacing w:before="0"/>
        <w:ind w:right="20"/>
      </w:pPr>
      <w:bookmarkStart w:id="4" w:name="bookmark4"/>
      <w:r>
        <w:t>I.</w:t>
      </w:r>
      <w:bookmarkEnd w:id="4"/>
    </w:p>
    <w:p w:rsidR="000F18CD" w:rsidRDefault="005E7857">
      <w:pPr>
        <w:pStyle w:val="Heading20"/>
        <w:framePr w:w="8803" w:h="3238" w:hRule="exact" w:wrap="none" w:vAnchor="page" w:hAnchor="page" w:x="1501" w:y="11519"/>
        <w:shd w:val="clear" w:color="auto" w:fill="auto"/>
        <w:spacing w:after="306"/>
        <w:ind w:right="20"/>
      </w:pPr>
      <w:bookmarkStart w:id="5" w:name="bookmark5"/>
      <w:r>
        <w:t>Předmět smlouvy</w:t>
      </w:r>
      <w:bookmarkEnd w:id="5"/>
    </w:p>
    <w:p w:rsidR="000F18CD" w:rsidRDefault="005E7857">
      <w:pPr>
        <w:pStyle w:val="Bodytext20"/>
        <w:framePr w:w="8803" w:h="3238" w:hRule="exact" w:wrap="none" w:vAnchor="page" w:hAnchor="page" w:x="1501" w:y="11519"/>
        <w:numPr>
          <w:ilvl w:val="0"/>
          <w:numId w:val="1"/>
        </w:numPr>
        <w:shd w:val="clear" w:color="auto" w:fill="auto"/>
        <w:tabs>
          <w:tab w:val="left" w:pos="691"/>
        </w:tabs>
        <w:spacing w:before="0" w:after="0" w:line="293" w:lineRule="exact"/>
        <w:jc w:val="both"/>
      </w:pPr>
      <w:r>
        <w:t xml:space="preserve">Divadlo touto </w:t>
      </w:r>
      <w:proofErr w:type="spellStart"/>
      <w:r>
        <w:t>spolupořadatelskou</w:t>
      </w:r>
      <w:proofErr w:type="spellEnd"/>
      <w:r>
        <w:t xml:space="preserve"> smlouvou přenechává společnosti ke krátkodobému užití prostory Hudebního Divadla v Karlině za účelem uspořádání společenské akce koncert Lucie Bílé (dále jen „Akce") Specifikace dohodnutých </w:t>
      </w:r>
      <w:proofErr w:type="spellStart"/>
      <w:r>
        <w:t>podnajímaných</w:t>
      </w:r>
      <w:proofErr w:type="spellEnd"/>
      <w:r>
        <w:t xml:space="preserve"> prostor, časový harmonogram akce a divadlem schválené požadavky společnosti jsou nedílnou součástí této smlouvy ve formě přílohy č. 1.</w:t>
      </w:r>
    </w:p>
    <w:p w:rsidR="000F18CD" w:rsidRDefault="005E7857">
      <w:pPr>
        <w:pStyle w:val="Bodytext20"/>
        <w:framePr w:w="8803" w:h="3238" w:hRule="exact" w:wrap="none" w:vAnchor="page" w:hAnchor="page" w:x="1501" w:y="11519"/>
        <w:shd w:val="clear" w:color="auto" w:fill="auto"/>
        <w:spacing w:before="0" w:after="0" w:line="293" w:lineRule="exact"/>
        <w:jc w:val="both"/>
      </w:pPr>
      <w:r>
        <w:t>Divadlo se zavazuje přenechat společnosti do užívání, po dobu konání akce, také dohodnutá technická zařízení a zajistit na celou dobu konání akce jejich odbornou obsluhu svými pracovníky a spolupracovníky ve standardním počtu a dle konkrétních potřeb výše uvedené akce.</w:t>
      </w:r>
    </w:p>
    <w:p w:rsidR="000F18CD" w:rsidRDefault="005E7857">
      <w:pPr>
        <w:pStyle w:val="Bodytext20"/>
        <w:framePr w:w="8803" w:h="3238" w:hRule="exact" w:wrap="none" w:vAnchor="page" w:hAnchor="page" w:x="1501" w:y="11519"/>
        <w:shd w:val="clear" w:color="auto" w:fill="auto"/>
        <w:spacing w:before="0" w:after="0" w:line="293" w:lineRule="exact"/>
      </w:pPr>
      <w:r>
        <w:t xml:space="preserve">Termínem akce jsou </w:t>
      </w:r>
      <w:r>
        <w:rPr>
          <w:rStyle w:val="Bodytext22"/>
        </w:rPr>
        <w:t>dny 13. 12. 2016 od cca 06:00 až 14. 12. 2016 do cca 01:00.</w:t>
      </w:r>
    </w:p>
    <w:p w:rsidR="000F18CD" w:rsidRDefault="000F18CD">
      <w:pPr>
        <w:rPr>
          <w:sz w:val="2"/>
          <w:szCs w:val="2"/>
        </w:rPr>
        <w:sectPr w:rsidR="000F18CD">
          <w:pgSz w:w="11900" w:h="16840"/>
          <w:pgMar w:top="360" w:right="360" w:bottom="360" w:left="360" w:header="0" w:footer="3" w:gutter="0"/>
          <w:cols w:space="720"/>
          <w:noEndnote/>
          <w:docGrid w:linePitch="360"/>
        </w:sectPr>
      </w:pPr>
    </w:p>
    <w:p w:rsidR="000F18CD" w:rsidRDefault="005E7857">
      <w:pPr>
        <w:pStyle w:val="Bodytext20"/>
        <w:framePr w:w="8856" w:h="3615" w:hRule="exact" w:wrap="none" w:vAnchor="page" w:hAnchor="page" w:x="1475" w:y="1294"/>
        <w:numPr>
          <w:ilvl w:val="0"/>
          <w:numId w:val="1"/>
        </w:numPr>
        <w:shd w:val="clear" w:color="auto" w:fill="auto"/>
        <w:tabs>
          <w:tab w:val="left" w:pos="686"/>
        </w:tabs>
        <w:spacing w:before="0" w:after="296" w:line="293" w:lineRule="exact"/>
        <w:jc w:val="both"/>
      </w:pPr>
      <w:r>
        <w:lastRenderedPageBreak/>
        <w:t xml:space="preserve">Prostory a technická zařízení uvedená v příloze č. 1 budou společnosti v řádném stavu předány dne </w:t>
      </w:r>
      <w:r>
        <w:rPr>
          <w:rStyle w:val="Bodytext22"/>
        </w:rPr>
        <w:t xml:space="preserve">13. </w:t>
      </w:r>
      <w:r>
        <w:t xml:space="preserve">12. </w:t>
      </w:r>
      <w:r>
        <w:rPr>
          <w:rStyle w:val="Bodytext23"/>
        </w:rPr>
        <w:t xml:space="preserve">2016 </w:t>
      </w:r>
      <w:r>
        <w:t xml:space="preserve">v cca 06.00 hodin, a to na základě předávacího protokolu. Společnost se touto smlouvou zavazuje najaté prostory vyklidit a předat zpět divadlu nejpozději dne </w:t>
      </w:r>
      <w:r>
        <w:rPr>
          <w:rStyle w:val="Bodytext22"/>
        </w:rPr>
        <w:t xml:space="preserve">14. </w:t>
      </w:r>
      <w:r>
        <w:t xml:space="preserve">12. </w:t>
      </w:r>
      <w:r>
        <w:rPr>
          <w:rStyle w:val="Bodytext23"/>
        </w:rPr>
        <w:t xml:space="preserve">2015 </w:t>
      </w:r>
      <w:r>
        <w:t>do 06.00 hodin. Bez řádně uzavřeného předávacího protokolu nebude společnosti umožněn vstup do prostor divadla.</w:t>
      </w:r>
    </w:p>
    <w:p w:rsidR="000F18CD" w:rsidRDefault="005E7857">
      <w:pPr>
        <w:pStyle w:val="Bodytext20"/>
        <w:framePr w:w="8856" w:h="3615" w:hRule="exact" w:wrap="none" w:vAnchor="page" w:hAnchor="page" w:x="1475" w:y="1294"/>
        <w:numPr>
          <w:ilvl w:val="0"/>
          <w:numId w:val="1"/>
        </w:numPr>
        <w:shd w:val="clear" w:color="auto" w:fill="auto"/>
        <w:tabs>
          <w:tab w:val="left" w:pos="686"/>
        </w:tabs>
        <w:spacing w:before="0" w:after="300" w:line="298" w:lineRule="exact"/>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0F18CD" w:rsidRDefault="005E7857">
      <w:pPr>
        <w:pStyle w:val="Bodytext20"/>
        <w:framePr w:w="8856" w:h="3615" w:hRule="exact" w:wrap="none" w:vAnchor="page" w:hAnchor="page" w:x="1475" w:y="1294"/>
        <w:numPr>
          <w:ilvl w:val="0"/>
          <w:numId w:val="1"/>
        </w:numPr>
        <w:shd w:val="clear" w:color="auto" w:fill="auto"/>
        <w:tabs>
          <w:tab w:val="left" w:pos="686"/>
        </w:tabs>
        <w:spacing w:before="0" w:after="0" w:line="298" w:lineRule="exact"/>
        <w:jc w:val="both"/>
      </w:pPr>
      <w:r>
        <w:t xml:space="preserve">K předání prostor divadlem společnosti dle bodu 2 tohoto článku dojde pouze v případě, kdy bude řádně včas a v plné výši uhrazena zálohová faktura za </w:t>
      </w:r>
      <w:proofErr w:type="spellStart"/>
      <w:r>
        <w:t>spolupořadatelský</w:t>
      </w:r>
      <w:proofErr w:type="spellEnd"/>
      <w:r>
        <w:t xml:space="preserve"> podíl.</w:t>
      </w:r>
    </w:p>
    <w:p w:rsidR="000F18CD" w:rsidRDefault="005E7857">
      <w:pPr>
        <w:pStyle w:val="Bodytext30"/>
        <w:framePr w:w="8856" w:h="9756" w:hRule="exact" w:wrap="none" w:vAnchor="page" w:hAnchor="page" w:x="1475" w:y="5524"/>
        <w:shd w:val="clear" w:color="auto" w:fill="auto"/>
        <w:spacing w:before="0"/>
      </w:pPr>
      <w:r>
        <w:t>II.</w:t>
      </w:r>
    </w:p>
    <w:p w:rsidR="000F18CD" w:rsidRDefault="005E7857">
      <w:pPr>
        <w:pStyle w:val="Bodytext40"/>
        <w:framePr w:w="8856" w:h="9756" w:hRule="exact" w:wrap="none" w:vAnchor="page" w:hAnchor="page" w:x="1475" w:y="5524"/>
        <w:shd w:val="clear" w:color="auto" w:fill="auto"/>
        <w:spacing w:before="0" w:after="306"/>
      </w:pPr>
      <w:r>
        <w:t>Práva a povinnosti smluvních stran</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300" w:line="293" w:lineRule="exact"/>
        <w:jc w:val="both"/>
      </w:pPr>
      <w:r>
        <w:t>Společnost smí používat a obsluhovat technická zařízení a vybavení najímaných prostor pouze v souladu s pokyny, nebo za účasti pověřeného pracovníka divadla. Za tímto účelem je určen pracovník Daniel Šrámek - 731 415 883. Společnost je povinna dodržovat bezpečnostní a požární předpisy spojené s provozem divadelní budovy a vyhrazených zařízení, s nimiž byla divadlem seznámena.</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365" w:line="293" w:lineRule="exact"/>
        <w:jc w:val="both"/>
      </w:pPr>
      <w:r>
        <w:t>Společnost se zavazuje prostřednictvím svého kompetentního zástupce zajistit řádnou, průběžnou a kvalifikovanou komunikaci mezi společností a odpovědným pracovníkem divadla.</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315"/>
        <w:jc w:val="both"/>
      </w:pPr>
      <w:r>
        <w:t>Společnost není oprávněna dát najímané prostory do podnájmu třetí osobě.</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296" w:line="293" w:lineRule="exact"/>
        <w:jc w:val="both"/>
      </w:pPr>
      <w:r>
        <w:t>Společnost si je vědoma toho, že pokud vnese do najímaných prostor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304" w:line="298" w:lineRule="exact"/>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0F18CD" w:rsidRDefault="005E7857">
      <w:pPr>
        <w:pStyle w:val="Bodytext20"/>
        <w:framePr w:w="8856" w:h="9756" w:hRule="exact" w:wrap="none" w:vAnchor="page" w:hAnchor="page" w:x="1475" w:y="5524"/>
        <w:numPr>
          <w:ilvl w:val="0"/>
          <w:numId w:val="2"/>
        </w:numPr>
        <w:shd w:val="clear" w:color="auto" w:fill="auto"/>
        <w:tabs>
          <w:tab w:val="left" w:pos="686"/>
        </w:tabs>
        <w:spacing w:before="0" w:after="0" w:line="293" w:lineRule="exact"/>
        <w:jc w:val="both"/>
      </w:pPr>
      <w:r>
        <w:t>Společnost se zavazuje učinit veškerá opatření k 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0F18CD" w:rsidRDefault="000F18CD">
      <w:pPr>
        <w:rPr>
          <w:sz w:val="2"/>
          <w:szCs w:val="2"/>
        </w:rPr>
        <w:sectPr w:rsidR="000F18CD">
          <w:pgSz w:w="11900" w:h="16840"/>
          <w:pgMar w:top="360" w:right="360" w:bottom="360" w:left="360" w:header="0" w:footer="3" w:gutter="0"/>
          <w:cols w:space="720"/>
          <w:noEndnote/>
          <w:docGrid w:linePitch="360"/>
        </w:sectPr>
      </w:pPr>
    </w:p>
    <w:p w:rsidR="000F18CD" w:rsidRDefault="005E7857">
      <w:pPr>
        <w:pStyle w:val="Bodytext20"/>
        <w:framePr w:w="8837" w:h="7768" w:hRule="exact" w:wrap="none" w:vAnchor="page" w:hAnchor="page" w:x="1484" w:y="1270"/>
        <w:numPr>
          <w:ilvl w:val="0"/>
          <w:numId w:val="2"/>
        </w:numPr>
        <w:shd w:val="clear" w:color="auto" w:fill="auto"/>
        <w:tabs>
          <w:tab w:val="left" w:pos="688"/>
        </w:tabs>
        <w:spacing w:before="0" w:after="276" w:line="293" w:lineRule="exact"/>
        <w:jc w:val="both"/>
      </w:pPr>
      <w:r>
        <w:lastRenderedPageBreak/>
        <w:t>Společnost se zavazuje při své činnosti v najatých prostorách dle této smlouvy dodržovat bezezbytku pokyny určených pracovníků a spolupracovníků divadla týkající se organizace pohybu v prostorách divadla, dodržování čistoty, požárních a bezpečnostních předpisů. Společnost touto smlouvou dále bere na vědomí, že v najatých prostorách je absolutní zákaz kouření a zavazuje se jej v plném rozsahu dodržovat. Vnášet jídlo a pití do najatých prostor je možné pouze na konkrétní místo k tomu divadlem určené.</w:t>
      </w:r>
    </w:p>
    <w:p w:rsidR="000F18CD" w:rsidRDefault="005E7857">
      <w:pPr>
        <w:pStyle w:val="Bodytext20"/>
        <w:framePr w:w="8837" w:h="7768" w:hRule="exact" w:wrap="none" w:vAnchor="page" w:hAnchor="page" w:x="1484" w:y="1270"/>
        <w:numPr>
          <w:ilvl w:val="0"/>
          <w:numId w:val="2"/>
        </w:numPr>
        <w:shd w:val="clear" w:color="auto" w:fill="auto"/>
        <w:tabs>
          <w:tab w:val="left" w:pos="688"/>
        </w:tabs>
        <w:spacing w:before="0" w:after="284" w:line="298" w:lineRule="exact"/>
        <w:jc w:val="both"/>
      </w:pPr>
      <w:r>
        <w:t>Společnost dále zajistí na vlastní náklady a organizačně dostatečné množství osob (osob mimo personál divadla) pro manipulaci s předměty společnosti v najatém prostoru mimo velký divadelní sál, a to v době přípravy akce, v průběhu konání akce i po ukončení akce do doby plného vyklizení najatých prostor od předmětů společnosti.</w:t>
      </w:r>
    </w:p>
    <w:p w:rsidR="000F18CD" w:rsidRDefault="005E7857">
      <w:pPr>
        <w:pStyle w:val="Bodytext20"/>
        <w:framePr w:w="8837" w:h="7768" w:hRule="exact" w:wrap="none" w:vAnchor="page" w:hAnchor="page" w:x="1484" w:y="1270"/>
        <w:numPr>
          <w:ilvl w:val="0"/>
          <w:numId w:val="2"/>
        </w:numPr>
        <w:shd w:val="clear" w:color="auto" w:fill="auto"/>
        <w:tabs>
          <w:tab w:val="left" w:pos="688"/>
        </w:tabs>
        <w:spacing w:before="0" w:after="273" w:line="293" w:lineRule="exact"/>
        <w:jc w:val="both"/>
      </w:pPr>
      <w:r>
        <w:t>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2.000,- Kč (dva tisíce korun českých) za každé jednotlivé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0F18CD" w:rsidRDefault="005E7857">
      <w:pPr>
        <w:pStyle w:val="Bodytext20"/>
        <w:framePr w:w="8837" w:h="7768" w:hRule="exact" w:wrap="none" w:vAnchor="page" w:hAnchor="page" w:x="1484" w:y="1270"/>
        <w:numPr>
          <w:ilvl w:val="0"/>
          <w:numId w:val="2"/>
        </w:numPr>
        <w:shd w:val="clear" w:color="auto" w:fill="auto"/>
        <w:tabs>
          <w:tab w:val="left" w:pos="688"/>
        </w:tabs>
        <w:spacing w:before="0" w:after="280" w:line="302" w:lineRule="exact"/>
        <w:jc w:val="both"/>
      </w:pPr>
      <w:r>
        <w:t xml:space="preserve">Společnosti se touto smlouvou povoluje v prostoru divadla umisťovat reklamní a marketingové objekty a zařízení a to na základě ústního schválení do </w:t>
      </w:r>
      <w:proofErr w:type="gramStart"/>
      <w:r>
        <w:t>12.12. 2016</w:t>
      </w:r>
      <w:proofErr w:type="gramEnd"/>
      <w:r>
        <w:t>.</w:t>
      </w:r>
    </w:p>
    <w:p w:rsidR="000F18CD" w:rsidRDefault="005E7857">
      <w:pPr>
        <w:pStyle w:val="Bodytext20"/>
        <w:framePr w:w="8837" w:h="7768" w:hRule="exact" w:wrap="none" w:vAnchor="page" w:hAnchor="page" w:x="1484" w:y="1270"/>
        <w:numPr>
          <w:ilvl w:val="0"/>
          <w:numId w:val="2"/>
        </w:numPr>
        <w:shd w:val="clear" w:color="auto" w:fill="auto"/>
        <w:tabs>
          <w:tab w:val="left" w:pos="688"/>
        </w:tabs>
        <w:spacing w:before="0" w:after="0" w:line="302" w:lineRule="exact"/>
        <w:jc w:val="both"/>
      </w:pPr>
      <w:r>
        <w:t>Divadlo se zavazuje vyhotovit předběžný odhad časového rozsahu služeb zaměstnanců a spolupracovníků divadla a to ve formě přílohy č. 3 této smlouvy.</w:t>
      </w:r>
    </w:p>
    <w:p w:rsidR="000F18CD" w:rsidRDefault="005E7857">
      <w:pPr>
        <w:pStyle w:val="Bodytext50"/>
        <w:framePr w:w="8837" w:h="543" w:hRule="exact" w:wrap="none" w:vAnchor="page" w:hAnchor="page" w:x="1484" w:y="9655"/>
        <w:shd w:val="clear" w:color="auto" w:fill="auto"/>
        <w:spacing w:before="0" w:after="92"/>
      </w:pPr>
      <w:proofErr w:type="gramStart"/>
      <w:r>
        <w:t>III.</w:t>
      </w:r>
      <w:proofErr w:type="gramEnd"/>
    </w:p>
    <w:p w:rsidR="000F18CD" w:rsidRDefault="005E7857">
      <w:pPr>
        <w:pStyle w:val="Heading20"/>
        <w:framePr w:w="8837" w:h="543" w:hRule="exact" w:wrap="none" w:vAnchor="page" w:hAnchor="page" w:x="1484" w:y="9655"/>
        <w:shd w:val="clear" w:color="auto" w:fill="auto"/>
        <w:spacing w:after="0"/>
      </w:pPr>
      <w:bookmarkStart w:id="6" w:name="bookmark6"/>
      <w:r>
        <w:t>Cenové a platební podmínky</w:t>
      </w:r>
      <w:bookmarkEnd w:id="6"/>
    </w:p>
    <w:p w:rsidR="000F18CD" w:rsidRDefault="005E7857">
      <w:pPr>
        <w:pStyle w:val="Bodytext20"/>
        <w:framePr w:w="8837" w:h="4811" w:hRule="exact" w:wrap="none" w:vAnchor="page" w:hAnchor="page" w:x="1484" w:y="10751"/>
        <w:numPr>
          <w:ilvl w:val="0"/>
          <w:numId w:val="3"/>
        </w:numPr>
        <w:shd w:val="clear" w:color="auto" w:fill="auto"/>
        <w:tabs>
          <w:tab w:val="left" w:pos="688"/>
        </w:tabs>
        <w:spacing w:before="0" w:after="280" w:line="298" w:lineRule="exact"/>
        <w:jc w:val="both"/>
      </w:pPr>
      <w:r>
        <w:t xml:space="preserve">Smluvní strany se dohodly na </w:t>
      </w:r>
      <w:proofErr w:type="spellStart"/>
      <w:r>
        <w:t>spolupořadatelském</w:t>
      </w:r>
      <w:proofErr w:type="spellEnd"/>
      <w:r>
        <w:t xml:space="preserve"> podílu v celkové výši 120.000,- Kč [slovy: sto dvacet tisíc korun českých] bez DPH za užívání služeb, prostor a technických zařízení v rozsahu dle této smlouvy a za využití služeb s akcí spojených (vodné, stočné, elektrická energie, klimatizace, otop.) Ke </w:t>
      </w:r>
      <w:proofErr w:type="spellStart"/>
      <w:r>
        <w:t>spolupořadatelskému</w:t>
      </w:r>
      <w:proofErr w:type="spellEnd"/>
      <w:r>
        <w:t xml:space="preserve"> podílu bude doúčtována DPH v příslušné výši.</w:t>
      </w:r>
    </w:p>
    <w:p w:rsidR="000F18CD" w:rsidRDefault="005E7857">
      <w:pPr>
        <w:pStyle w:val="Bodytext20"/>
        <w:framePr w:w="8837" w:h="4811" w:hRule="exact" w:wrap="none" w:vAnchor="page" w:hAnchor="page" w:x="1484" w:y="10751"/>
        <w:numPr>
          <w:ilvl w:val="0"/>
          <w:numId w:val="3"/>
        </w:numPr>
        <w:shd w:val="clear" w:color="auto" w:fill="auto"/>
        <w:tabs>
          <w:tab w:val="left" w:pos="688"/>
        </w:tabs>
        <w:spacing w:before="0" w:after="284" w:line="298" w:lineRule="exact"/>
        <w:jc w:val="both"/>
      </w:pPr>
      <w:r>
        <w:t xml:space="preserve">Divadlo vystaví po akci fakturu - daňový doklad na </w:t>
      </w:r>
      <w:proofErr w:type="spellStart"/>
      <w:r>
        <w:t>spolupořadatelský</w:t>
      </w:r>
      <w:proofErr w:type="spellEnd"/>
      <w:r>
        <w:t xml:space="preserve"> podíl ve výši 120.000,- Kč. Fakturovanou částku uhradí společnost bezhotovostním převodem na bankovní účet uvedený v záhlaví této smlouvy a to nejpozději do 15. 1.2017.</w:t>
      </w:r>
    </w:p>
    <w:p w:rsidR="000F18CD" w:rsidRDefault="005E7857">
      <w:pPr>
        <w:pStyle w:val="Bodytext20"/>
        <w:framePr w:w="8837" w:h="4811" w:hRule="exact" w:wrap="none" w:vAnchor="page" w:hAnchor="page" w:x="1484" w:y="10751"/>
        <w:numPr>
          <w:ilvl w:val="0"/>
          <w:numId w:val="3"/>
        </w:numPr>
        <w:shd w:val="clear" w:color="auto" w:fill="auto"/>
        <w:tabs>
          <w:tab w:val="left" w:pos="688"/>
        </w:tabs>
        <w:spacing w:before="0" w:after="269" w:line="293" w:lineRule="exact"/>
        <w:jc w:val="both"/>
      </w:pPr>
      <w:r>
        <w:t>Neuhrazení platby dle bodu 2 tohoto článku včas a v plné výši zakládá právo divadla od smlouvy odstoupit s okamžitou platností a v plném rozsahu této smlouvy. V takovém případě má divadlo nárok na smluvní pokutu ve výši 200.000,- Kč splatnou do 14 dnů po dnu odstoupení od smlouvy. Na tuto smluvní pokutu vystaví divadlo fakturu - daňový doklad.</w:t>
      </w:r>
    </w:p>
    <w:p w:rsidR="000F18CD" w:rsidRDefault="005E7857">
      <w:pPr>
        <w:pStyle w:val="Bodytext20"/>
        <w:framePr w:w="8837" w:h="4811" w:hRule="exact" w:wrap="none" w:vAnchor="page" w:hAnchor="page" w:x="1484" w:y="10751"/>
        <w:numPr>
          <w:ilvl w:val="0"/>
          <w:numId w:val="3"/>
        </w:numPr>
        <w:shd w:val="clear" w:color="auto" w:fill="auto"/>
        <w:tabs>
          <w:tab w:val="left" w:pos="688"/>
        </w:tabs>
        <w:spacing w:before="0" w:after="0" w:line="307" w:lineRule="exact"/>
        <w:jc w:val="both"/>
      </w:pPr>
      <w:r>
        <w:t>Tržby vzniklé z prodeje vstupenek na pokladně divadla a v obchodním oddělení divadla nejsou zatíženy servisním poplatkem.</w:t>
      </w:r>
    </w:p>
    <w:p w:rsidR="000F18CD" w:rsidRDefault="000F18CD">
      <w:pPr>
        <w:rPr>
          <w:sz w:val="2"/>
          <w:szCs w:val="2"/>
        </w:rPr>
        <w:sectPr w:rsidR="000F18CD">
          <w:pgSz w:w="11900" w:h="16840"/>
          <w:pgMar w:top="360" w:right="360" w:bottom="360" w:left="360" w:header="0" w:footer="3" w:gutter="0"/>
          <w:cols w:space="720"/>
          <w:noEndnote/>
          <w:docGrid w:linePitch="360"/>
        </w:sectPr>
      </w:pPr>
    </w:p>
    <w:p w:rsidR="000F18CD" w:rsidRDefault="005E7857">
      <w:pPr>
        <w:pStyle w:val="Bodytext20"/>
        <w:framePr w:w="8808" w:h="1545" w:hRule="exact" w:wrap="none" w:vAnchor="page" w:hAnchor="page" w:x="1499" w:y="1588"/>
        <w:numPr>
          <w:ilvl w:val="0"/>
          <w:numId w:val="3"/>
        </w:numPr>
        <w:shd w:val="clear" w:color="auto" w:fill="auto"/>
        <w:tabs>
          <w:tab w:val="left" w:pos="671"/>
        </w:tabs>
        <w:spacing w:before="0" w:after="280" w:line="298" w:lineRule="exact"/>
        <w:jc w:val="both"/>
      </w:pPr>
      <w:r>
        <w:lastRenderedPageBreak/>
        <w:t>Tržby vzniklé prodejem vstupenek na prodejních místech partnera si partner ponechá jako svůj příjem.</w:t>
      </w:r>
    </w:p>
    <w:p w:rsidR="000F18CD" w:rsidRDefault="005E7857">
      <w:pPr>
        <w:pStyle w:val="Bodytext20"/>
        <w:framePr w:w="8808" w:h="1545" w:hRule="exact" w:wrap="none" w:vAnchor="page" w:hAnchor="page" w:x="1499" w:y="1588"/>
        <w:numPr>
          <w:ilvl w:val="0"/>
          <w:numId w:val="3"/>
        </w:numPr>
        <w:shd w:val="clear" w:color="auto" w:fill="auto"/>
        <w:tabs>
          <w:tab w:val="left" w:pos="671"/>
        </w:tabs>
        <w:spacing w:before="0" w:after="0" w:line="298" w:lineRule="exact"/>
        <w:jc w:val="both"/>
      </w:pPr>
      <w:r>
        <w:t xml:space="preserve">Tržby vzniklé prodejem vstupenek na prodejních místech společnosti </w:t>
      </w:r>
      <w:proofErr w:type="spellStart"/>
      <w:r>
        <w:t>TicketArt</w:t>
      </w:r>
      <w:proofErr w:type="spellEnd"/>
      <w:r>
        <w:t xml:space="preserve"> a jejích partnerů jsou zatíženy servisním poplatkem ve výši 8% z každé jednotlivé prodané vstupenky.</w:t>
      </w:r>
    </w:p>
    <w:p w:rsidR="000F18CD" w:rsidRDefault="005E7857">
      <w:pPr>
        <w:pStyle w:val="Heading20"/>
        <w:framePr w:w="8808" w:h="5322" w:hRule="exact" w:wrap="none" w:vAnchor="page" w:hAnchor="page" w:x="1499" w:y="3743"/>
        <w:shd w:val="clear" w:color="auto" w:fill="auto"/>
        <w:spacing w:after="100"/>
      </w:pPr>
      <w:bookmarkStart w:id="7" w:name="bookmark7"/>
      <w:r>
        <w:t>IV.</w:t>
      </w:r>
      <w:bookmarkEnd w:id="7"/>
    </w:p>
    <w:p w:rsidR="000F18CD" w:rsidRDefault="005E7857">
      <w:pPr>
        <w:pStyle w:val="Heading20"/>
        <w:framePr w:w="8808" w:h="5322" w:hRule="exact" w:wrap="none" w:vAnchor="page" w:hAnchor="page" w:x="1499" w:y="3743"/>
        <w:shd w:val="clear" w:color="auto" w:fill="auto"/>
        <w:spacing w:after="322"/>
      </w:pPr>
      <w:bookmarkStart w:id="8" w:name="bookmark8"/>
      <w:r>
        <w:t>Závěrečná ustanovení</w:t>
      </w:r>
      <w:bookmarkEnd w:id="8"/>
    </w:p>
    <w:p w:rsidR="000F18CD" w:rsidRDefault="005E7857">
      <w:pPr>
        <w:pStyle w:val="Bodytext20"/>
        <w:framePr w:w="8808" w:h="5322" w:hRule="exact" w:wrap="none" w:vAnchor="page" w:hAnchor="page" w:x="1499" w:y="3743"/>
        <w:numPr>
          <w:ilvl w:val="0"/>
          <w:numId w:val="4"/>
        </w:numPr>
        <w:shd w:val="clear" w:color="auto" w:fill="auto"/>
        <w:tabs>
          <w:tab w:val="left" w:pos="671"/>
        </w:tabs>
        <w:spacing w:before="0" w:after="284" w:line="298" w:lineRule="exact"/>
        <w:jc w:val="both"/>
      </w:pPr>
      <w:r>
        <w:t>Smlouva nabývá platnosti a účinnosti dnem podpisu oběma smluvními stranami a uzavírá se na dobu určitou, stanovenou v čl. I. této smlouvy.</w:t>
      </w:r>
    </w:p>
    <w:p w:rsidR="000F18CD" w:rsidRDefault="005E7857">
      <w:pPr>
        <w:pStyle w:val="Bodytext20"/>
        <w:framePr w:w="8808" w:h="5322" w:hRule="exact" w:wrap="none" w:vAnchor="page" w:hAnchor="page" w:x="1499" w:y="3743"/>
        <w:numPr>
          <w:ilvl w:val="0"/>
          <w:numId w:val="4"/>
        </w:numPr>
        <w:shd w:val="clear" w:color="auto" w:fill="auto"/>
        <w:tabs>
          <w:tab w:val="left" w:pos="671"/>
        </w:tabs>
        <w:spacing w:before="0" w:after="273" w:line="293" w:lineRule="exact"/>
        <w:jc w:val="both"/>
      </w:pPr>
      <w:r>
        <w:t>Práva a povinnosti z této smlouvy vyplývající a v této smlouvě neupravená se řídí českým právem.</w:t>
      </w:r>
    </w:p>
    <w:p w:rsidR="000F18CD" w:rsidRDefault="005E7857">
      <w:pPr>
        <w:pStyle w:val="Bodytext20"/>
        <w:framePr w:w="8808" w:h="5322" w:hRule="exact" w:wrap="none" w:vAnchor="page" w:hAnchor="page" w:x="1499" w:y="3743"/>
        <w:numPr>
          <w:ilvl w:val="0"/>
          <w:numId w:val="4"/>
        </w:numPr>
        <w:shd w:val="clear" w:color="auto" w:fill="auto"/>
        <w:tabs>
          <w:tab w:val="left" w:pos="671"/>
        </w:tabs>
        <w:spacing w:before="0" w:after="284" w:line="302" w:lineRule="exact"/>
        <w:jc w:val="both"/>
      </w:pPr>
      <w:r>
        <w:t>Tato smlouva je vyhotovena ve 2 stejnopisech, z nichž 1 obdrží společnost a 1 divadlo a obsahuje 3 přílohy.</w:t>
      </w:r>
    </w:p>
    <w:p w:rsidR="000F18CD" w:rsidRDefault="005E7857">
      <w:pPr>
        <w:pStyle w:val="Bodytext20"/>
        <w:framePr w:w="8808" w:h="5322" w:hRule="exact" w:wrap="none" w:vAnchor="page" w:hAnchor="page" w:x="1499" w:y="3743"/>
        <w:numPr>
          <w:ilvl w:val="0"/>
          <w:numId w:val="4"/>
        </w:numPr>
        <w:shd w:val="clear" w:color="auto" w:fill="auto"/>
        <w:tabs>
          <w:tab w:val="left" w:pos="671"/>
        </w:tabs>
        <w:spacing w:before="0" w:after="280" w:line="298" w:lineRule="exact"/>
        <w:jc w:val="both"/>
      </w:pPr>
      <w:r>
        <w:t>Změny a doplňky této smlouvy je možné činit pouze po vzájemné dohodě smluvních stran na základě písemného a číslovaného dodatku.</w:t>
      </w:r>
    </w:p>
    <w:p w:rsidR="000F18CD" w:rsidRDefault="005E7857">
      <w:pPr>
        <w:pStyle w:val="Bodytext20"/>
        <w:framePr w:w="8808" w:h="5322" w:hRule="exact" w:wrap="none" w:vAnchor="page" w:hAnchor="page" w:x="1499" w:y="3743"/>
        <w:numPr>
          <w:ilvl w:val="0"/>
          <w:numId w:val="4"/>
        </w:numPr>
        <w:shd w:val="clear" w:color="auto" w:fill="auto"/>
        <w:tabs>
          <w:tab w:val="left" w:pos="671"/>
        </w:tabs>
        <w:spacing w:before="0" w:after="0" w:line="298" w:lineRule="exact"/>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0F18CD" w:rsidRDefault="005E7857">
      <w:pPr>
        <w:pStyle w:val="Bodytext20"/>
        <w:framePr w:wrap="none" w:vAnchor="page" w:hAnchor="page" w:x="1499" w:y="9671"/>
        <w:shd w:val="clear" w:color="auto" w:fill="auto"/>
        <w:spacing w:before="0" w:after="0"/>
        <w:jc w:val="both"/>
      </w:pPr>
      <w:r>
        <w:t>V Praze, dne 15. 11. 2016</w:t>
      </w:r>
    </w:p>
    <w:p w:rsidR="007042FA" w:rsidRDefault="005E7857" w:rsidP="007042FA">
      <w:pPr>
        <w:pStyle w:val="Bodytext20"/>
        <w:framePr w:w="9571" w:h="642" w:hRule="exact" w:wrap="none" w:vAnchor="page" w:hAnchor="page" w:x="1503" w:y="11681"/>
        <w:shd w:val="clear" w:color="auto" w:fill="auto"/>
        <w:spacing w:before="0" w:after="0" w:line="293" w:lineRule="exact"/>
      </w:pPr>
      <w:r>
        <w:t xml:space="preserve">Egon Kulhánek, </w:t>
      </w:r>
      <w:proofErr w:type="gramStart"/>
      <w:r>
        <w:t xml:space="preserve">ředitel </w:t>
      </w:r>
      <w:r w:rsidR="007042FA">
        <w:t xml:space="preserve">                                                                                               Jiří</w:t>
      </w:r>
      <w:proofErr w:type="gramEnd"/>
      <w:r w:rsidR="007042FA">
        <w:t xml:space="preserve"> </w:t>
      </w:r>
      <w:proofErr w:type="spellStart"/>
      <w:r w:rsidR="007042FA">
        <w:t>Kouble</w:t>
      </w:r>
      <w:proofErr w:type="spellEnd"/>
    </w:p>
    <w:p w:rsidR="000F18CD" w:rsidRDefault="005E7857" w:rsidP="007042FA">
      <w:pPr>
        <w:pStyle w:val="Bodytext20"/>
        <w:framePr w:w="9571" w:h="642" w:hRule="exact" w:wrap="none" w:vAnchor="page" w:hAnchor="page" w:x="1503" w:y="11681"/>
        <w:shd w:val="clear" w:color="auto" w:fill="auto"/>
        <w:spacing w:before="0" w:after="0" w:line="293" w:lineRule="exact"/>
      </w:pPr>
      <w:r>
        <w:t>Hudební divadlo v</w:t>
      </w:r>
      <w:r w:rsidR="007042FA">
        <w:t> </w:t>
      </w:r>
      <w:proofErr w:type="gramStart"/>
      <w:r>
        <w:t>Karlině</w:t>
      </w:r>
      <w:r w:rsidR="007042FA">
        <w:t xml:space="preserve">                                                                                  AGENTURA</w:t>
      </w:r>
      <w:proofErr w:type="gramEnd"/>
      <w:r w:rsidR="007042FA">
        <w:t xml:space="preserve"> 44, spol. s r.o.</w:t>
      </w:r>
    </w:p>
    <w:p w:rsidR="000F18CD" w:rsidRDefault="000F18CD">
      <w:pPr>
        <w:rPr>
          <w:sz w:val="2"/>
          <w:szCs w:val="2"/>
        </w:rPr>
      </w:pPr>
    </w:p>
    <w:sectPr w:rsidR="000F18CD" w:rsidSect="000F18CD">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9C" w:rsidRDefault="007F719C" w:rsidP="000F18CD">
      <w:r>
        <w:separator/>
      </w:r>
    </w:p>
  </w:endnote>
  <w:endnote w:type="continuationSeparator" w:id="0">
    <w:p w:rsidR="007F719C" w:rsidRDefault="007F719C" w:rsidP="000F1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Nirmala UI">
    <w:altName w:val="Times New Roman"/>
    <w:panose1 w:val="020B0502040204020203"/>
    <w:charset w:val="00"/>
    <w:family w:val="swiss"/>
    <w:pitch w:val="variable"/>
    <w:sig w:usb0="80FF8023" w:usb1="0000004A" w:usb2="00000200" w:usb3="00000000" w:csb0="00000001" w:csb1="00000000"/>
  </w:font>
  <w:font w:name="Yu Mincho">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Sitka Display">
    <w:altName w:val="Times New Roman"/>
    <w:panose1 w:val="020005050000000200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9C" w:rsidRDefault="007F719C"/>
  </w:footnote>
  <w:footnote w:type="continuationSeparator" w:id="0">
    <w:p w:rsidR="007F719C" w:rsidRDefault="007F71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630A"/>
    <w:multiLevelType w:val="multilevel"/>
    <w:tmpl w:val="769A96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E50F6C"/>
    <w:multiLevelType w:val="multilevel"/>
    <w:tmpl w:val="BACA4B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737735"/>
    <w:multiLevelType w:val="multilevel"/>
    <w:tmpl w:val="2E6EA9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7018C"/>
    <w:multiLevelType w:val="hybridMultilevel"/>
    <w:tmpl w:val="32508AA6"/>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
    <w:nsid w:val="5275105D"/>
    <w:multiLevelType w:val="multilevel"/>
    <w:tmpl w:val="E5B85E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F18CD"/>
    <w:rsid w:val="000F18CD"/>
    <w:rsid w:val="00267398"/>
    <w:rsid w:val="005E7857"/>
    <w:rsid w:val="006E6643"/>
    <w:rsid w:val="007042FA"/>
    <w:rsid w:val="007F719C"/>
    <w:rsid w:val="00F402E4"/>
    <w:rsid w:val="00FC31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F18C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sid w:val="000F18CD"/>
    <w:rPr>
      <w:rFonts w:ascii="Calibri" w:eastAsia="Calibri" w:hAnsi="Calibri" w:cs="Calibri"/>
      <w:b/>
      <w:bCs/>
      <w:i w:val="0"/>
      <w:iCs w:val="0"/>
      <w:smallCaps w:val="0"/>
      <w:strike w:val="0"/>
      <w:sz w:val="21"/>
      <w:szCs w:val="21"/>
      <w:u w:val="none"/>
    </w:rPr>
  </w:style>
  <w:style w:type="character" w:customStyle="1" w:styleId="Bodytext2">
    <w:name w:val="Body text (2)_"/>
    <w:basedOn w:val="Standardnpsmoodstavce"/>
    <w:link w:val="Bodytext20"/>
    <w:rsid w:val="000F18CD"/>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sid w:val="000F18CD"/>
    <w:rPr>
      <w:color w:val="000000"/>
      <w:spacing w:val="0"/>
      <w:w w:val="100"/>
      <w:position w:val="0"/>
      <w:lang w:val="cs-CZ" w:eastAsia="cs-CZ" w:bidi="cs-CZ"/>
    </w:rPr>
  </w:style>
  <w:style w:type="character" w:customStyle="1" w:styleId="Heading1">
    <w:name w:val="Heading #1_"/>
    <w:basedOn w:val="Standardnpsmoodstavce"/>
    <w:link w:val="Heading10"/>
    <w:rsid w:val="000F18CD"/>
    <w:rPr>
      <w:rFonts w:ascii="Trebuchet MS" w:eastAsia="Trebuchet MS" w:hAnsi="Trebuchet MS" w:cs="Trebuchet MS"/>
      <w:b/>
      <w:bCs/>
      <w:i w:val="0"/>
      <w:iCs w:val="0"/>
      <w:smallCaps w:val="0"/>
      <w:strike w:val="0"/>
      <w:sz w:val="16"/>
      <w:szCs w:val="16"/>
      <w:u w:val="none"/>
    </w:rPr>
  </w:style>
  <w:style w:type="character" w:customStyle="1" w:styleId="Bodytext22">
    <w:name w:val="Body text (2)"/>
    <w:basedOn w:val="Bodytext2"/>
    <w:rsid w:val="000F18CD"/>
    <w:rPr>
      <w:color w:val="E0314F"/>
      <w:spacing w:val="0"/>
      <w:w w:val="100"/>
      <w:position w:val="0"/>
      <w:lang w:val="cs-CZ" w:eastAsia="cs-CZ" w:bidi="cs-CZ"/>
    </w:rPr>
  </w:style>
  <w:style w:type="character" w:customStyle="1" w:styleId="Bodytext23">
    <w:name w:val="Body text (2)"/>
    <w:basedOn w:val="Bodytext2"/>
    <w:rsid w:val="000F18CD"/>
    <w:rPr>
      <w:color w:val="6C333B"/>
      <w:spacing w:val="0"/>
      <w:w w:val="100"/>
      <w:position w:val="0"/>
      <w:lang w:val="cs-CZ" w:eastAsia="cs-CZ" w:bidi="cs-CZ"/>
    </w:rPr>
  </w:style>
  <w:style w:type="character" w:customStyle="1" w:styleId="Bodytext3">
    <w:name w:val="Body text (3)_"/>
    <w:basedOn w:val="Standardnpsmoodstavce"/>
    <w:link w:val="Bodytext30"/>
    <w:rsid w:val="000F18CD"/>
    <w:rPr>
      <w:rFonts w:ascii="Nirmala UI" w:eastAsia="Nirmala UI" w:hAnsi="Nirmala UI" w:cs="Nirmala UI"/>
      <w:b/>
      <w:bCs/>
      <w:i w:val="0"/>
      <w:iCs w:val="0"/>
      <w:smallCaps w:val="0"/>
      <w:strike w:val="0"/>
      <w:sz w:val="16"/>
      <w:szCs w:val="16"/>
      <w:u w:val="none"/>
    </w:rPr>
  </w:style>
  <w:style w:type="character" w:customStyle="1" w:styleId="Bodytext4">
    <w:name w:val="Body text (4)_"/>
    <w:basedOn w:val="Standardnpsmoodstavce"/>
    <w:link w:val="Bodytext40"/>
    <w:rsid w:val="000F18CD"/>
    <w:rPr>
      <w:rFonts w:ascii="Calibri" w:eastAsia="Calibri" w:hAnsi="Calibri" w:cs="Calibri"/>
      <w:b/>
      <w:bCs/>
      <w:i w:val="0"/>
      <w:iCs w:val="0"/>
      <w:smallCaps w:val="0"/>
      <w:strike w:val="0"/>
      <w:sz w:val="21"/>
      <w:szCs w:val="21"/>
      <w:u w:val="none"/>
    </w:rPr>
  </w:style>
  <w:style w:type="character" w:customStyle="1" w:styleId="Bodytext5">
    <w:name w:val="Body text (5)_"/>
    <w:basedOn w:val="Standardnpsmoodstavce"/>
    <w:link w:val="Bodytext50"/>
    <w:rsid w:val="000F18CD"/>
    <w:rPr>
      <w:rFonts w:ascii="Nirmala UI" w:eastAsia="Nirmala UI" w:hAnsi="Nirmala UI" w:cs="Nirmala UI"/>
      <w:b/>
      <w:bCs/>
      <w:i w:val="0"/>
      <w:iCs w:val="0"/>
      <w:smallCaps w:val="0"/>
      <w:strike w:val="0"/>
      <w:sz w:val="13"/>
      <w:szCs w:val="13"/>
      <w:u w:val="none"/>
      <w:lang w:val="en-US" w:eastAsia="en-US" w:bidi="en-US"/>
    </w:rPr>
  </w:style>
  <w:style w:type="character" w:customStyle="1" w:styleId="Bodytext6">
    <w:name w:val="Body text (6)_"/>
    <w:basedOn w:val="Standardnpsmoodstavce"/>
    <w:link w:val="Bodytext60"/>
    <w:rsid w:val="000F18CD"/>
    <w:rPr>
      <w:rFonts w:ascii="Yu Mincho" w:eastAsia="Yu Mincho" w:hAnsi="Yu Mincho" w:cs="Yu Mincho"/>
      <w:b w:val="0"/>
      <w:bCs w:val="0"/>
      <w:i w:val="0"/>
      <w:iCs w:val="0"/>
      <w:smallCaps w:val="0"/>
      <w:strike w:val="0"/>
      <w:sz w:val="17"/>
      <w:szCs w:val="17"/>
      <w:u w:val="none"/>
    </w:rPr>
  </w:style>
  <w:style w:type="character" w:customStyle="1" w:styleId="Bodytext7">
    <w:name w:val="Body text (7)_"/>
    <w:basedOn w:val="Standardnpsmoodstavce"/>
    <w:link w:val="Bodytext70"/>
    <w:rsid w:val="000F18CD"/>
    <w:rPr>
      <w:rFonts w:ascii="Calibri" w:eastAsia="Calibri" w:hAnsi="Calibri" w:cs="Calibri"/>
      <w:b w:val="0"/>
      <w:bCs w:val="0"/>
      <w:i w:val="0"/>
      <w:iCs w:val="0"/>
      <w:smallCaps w:val="0"/>
      <w:strike w:val="0"/>
      <w:sz w:val="18"/>
      <w:szCs w:val="18"/>
      <w:u w:val="none"/>
    </w:rPr>
  </w:style>
  <w:style w:type="character" w:customStyle="1" w:styleId="Bodytext7MicrosoftSansSerif8pt">
    <w:name w:val="Body text (7) + Microsoft Sans Serif;8 pt"/>
    <w:basedOn w:val="Bodytext7"/>
    <w:rsid w:val="000F18CD"/>
    <w:rPr>
      <w:rFonts w:ascii="Microsoft Sans Serif" w:eastAsia="Microsoft Sans Serif" w:hAnsi="Microsoft Sans Serif" w:cs="Microsoft Sans Serif"/>
      <w:color w:val="000000"/>
      <w:spacing w:val="0"/>
      <w:w w:val="100"/>
      <w:position w:val="0"/>
      <w:sz w:val="16"/>
      <w:szCs w:val="16"/>
      <w:lang w:val="cs-CZ" w:eastAsia="cs-CZ" w:bidi="cs-CZ"/>
    </w:rPr>
  </w:style>
  <w:style w:type="character" w:customStyle="1" w:styleId="Bodytext71">
    <w:name w:val="Body text (7)"/>
    <w:basedOn w:val="Bodytext7"/>
    <w:rsid w:val="000F18CD"/>
    <w:rPr>
      <w:color w:val="000000"/>
      <w:spacing w:val="0"/>
      <w:w w:val="100"/>
      <w:position w:val="0"/>
      <w:u w:val="single"/>
      <w:lang w:val="cs-CZ" w:eastAsia="cs-CZ" w:bidi="cs-CZ"/>
    </w:rPr>
  </w:style>
  <w:style w:type="character" w:customStyle="1" w:styleId="Bodytext7Tahoma7ptItalic">
    <w:name w:val="Body text (7) + Tahoma;7 pt;Italic"/>
    <w:basedOn w:val="Bodytext7"/>
    <w:rsid w:val="000F18CD"/>
    <w:rPr>
      <w:rFonts w:ascii="Tahoma" w:eastAsia="Tahoma" w:hAnsi="Tahoma" w:cs="Tahoma"/>
      <w:i/>
      <w:iCs/>
      <w:color w:val="000000"/>
      <w:spacing w:val="0"/>
      <w:w w:val="100"/>
      <w:position w:val="0"/>
      <w:sz w:val="14"/>
      <w:szCs w:val="14"/>
      <w:lang w:val="cs-CZ" w:eastAsia="cs-CZ" w:bidi="cs-CZ"/>
    </w:rPr>
  </w:style>
  <w:style w:type="character" w:customStyle="1" w:styleId="Picturecaption2">
    <w:name w:val="Picture caption (2)_"/>
    <w:basedOn w:val="Standardnpsmoodstavce"/>
    <w:link w:val="Picturecaption20"/>
    <w:rsid w:val="000F18CD"/>
    <w:rPr>
      <w:rFonts w:ascii="Lucida Console" w:eastAsia="Lucida Console" w:hAnsi="Lucida Console" w:cs="Lucida Console"/>
      <w:b w:val="0"/>
      <w:bCs w:val="0"/>
      <w:i w:val="0"/>
      <w:iCs w:val="0"/>
      <w:smallCaps w:val="0"/>
      <w:strike w:val="0"/>
      <w:sz w:val="19"/>
      <w:szCs w:val="19"/>
      <w:u w:val="none"/>
    </w:rPr>
  </w:style>
  <w:style w:type="character" w:customStyle="1" w:styleId="Picturecaption2SitkaDisplay12pt">
    <w:name w:val="Picture caption (2) + Sitka Display;12 pt"/>
    <w:basedOn w:val="Picturecaption2"/>
    <w:rsid w:val="000F18CD"/>
    <w:rPr>
      <w:rFonts w:ascii="Sitka Display" w:eastAsia="Sitka Display" w:hAnsi="Sitka Display" w:cs="Sitka Display"/>
      <w:color w:val="000000"/>
      <w:spacing w:val="0"/>
      <w:w w:val="100"/>
      <w:position w:val="0"/>
      <w:sz w:val="24"/>
      <w:szCs w:val="24"/>
      <w:lang w:val="cs-CZ" w:eastAsia="cs-CZ" w:bidi="cs-CZ"/>
    </w:rPr>
  </w:style>
  <w:style w:type="character" w:customStyle="1" w:styleId="Picturecaption">
    <w:name w:val="Picture caption_"/>
    <w:basedOn w:val="Standardnpsmoodstavce"/>
    <w:link w:val="Picturecaption0"/>
    <w:rsid w:val="000F18CD"/>
    <w:rPr>
      <w:rFonts w:ascii="Yu Mincho" w:eastAsia="Yu Mincho" w:hAnsi="Yu Mincho" w:cs="Yu Mincho"/>
      <w:b w:val="0"/>
      <w:bCs w:val="0"/>
      <w:i w:val="0"/>
      <w:iCs w:val="0"/>
      <w:smallCaps w:val="0"/>
      <w:strike w:val="0"/>
      <w:sz w:val="17"/>
      <w:szCs w:val="17"/>
      <w:u w:val="none"/>
    </w:rPr>
  </w:style>
  <w:style w:type="paragraph" w:customStyle="1" w:styleId="Heading20">
    <w:name w:val="Heading #2"/>
    <w:basedOn w:val="Normln"/>
    <w:link w:val="Heading2"/>
    <w:rsid w:val="000F18CD"/>
    <w:pPr>
      <w:shd w:val="clear" w:color="auto" w:fill="FFFFFF"/>
      <w:spacing w:after="380" w:line="200" w:lineRule="exact"/>
      <w:jc w:val="center"/>
      <w:outlineLvl w:val="1"/>
    </w:pPr>
    <w:rPr>
      <w:rFonts w:ascii="Calibri" w:eastAsia="Calibri" w:hAnsi="Calibri" w:cs="Calibri"/>
      <w:b/>
      <w:bCs/>
      <w:sz w:val="21"/>
      <w:szCs w:val="21"/>
    </w:rPr>
  </w:style>
  <w:style w:type="paragraph" w:customStyle="1" w:styleId="Bodytext20">
    <w:name w:val="Body text (2)"/>
    <w:basedOn w:val="Normln"/>
    <w:link w:val="Bodytext2"/>
    <w:rsid w:val="000F18CD"/>
    <w:pPr>
      <w:shd w:val="clear" w:color="auto" w:fill="FFFFFF"/>
      <w:spacing w:before="380" w:after="380" w:line="212" w:lineRule="exact"/>
    </w:pPr>
    <w:rPr>
      <w:rFonts w:ascii="Calibri" w:eastAsia="Calibri" w:hAnsi="Calibri" w:cs="Calibri"/>
      <w:sz w:val="21"/>
      <w:szCs w:val="21"/>
    </w:rPr>
  </w:style>
  <w:style w:type="paragraph" w:customStyle="1" w:styleId="Heading10">
    <w:name w:val="Heading #1"/>
    <w:basedOn w:val="Normln"/>
    <w:link w:val="Heading1"/>
    <w:rsid w:val="000F18CD"/>
    <w:pPr>
      <w:shd w:val="clear" w:color="auto" w:fill="FFFFFF"/>
      <w:spacing w:before="580" w:after="80" w:line="200" w:lineRule="exact"/>
      <w:jc w:val="center"/>
      <w:outlineLvl w:val="0"/>
    </w:pPr>
    <w:rPr>
      <w:rFonts w:ascii="Trebuchet MS" w:eastAsia="Trebuchet MS" w:hAnsi="Trebuchet MS" w:cs="Trebuchet MS"/>
      <w:b/>
      <w:bCs/>
      <w:sz w:val="16"/>
      <w:szCs w:val="16"/>
    </w:rPr>
  </w:style>
  <w:style w:type="paragraph" w:customStyle="1" w:styleId="Bodytext30">
    <w:name w:val="Body text (3)"/>
    <w:basedOn w:val="Normln"/>
    <w:link w:val="Bodytext3"/>
    <w:rsid w:val="000F18CD"/>
    <w:pPr>
      <w:shd w:val="clear" w:color="auto" w:fill="FFFFFF"/>
      <w:spacing w:before="600" w:after="100" w:line="200" w:lineRule="exact"/>
      <w:jc w:val="center"/>
    </w:pPr>
    <w:rPr>
      <w:rFonts w:ascii="Nirmala UI" w:eastAsia="Nirmala UI" w:hAnsi="Nirmala UI" w:cs="Nirmala UI"/>
      <w:b/>
      <w:bCs/>
      <w:sz w:val="16"/>
      <w:szCs w:val="16"/>
    </w:rPr>
  </w:style>
  <w:style w:type="paragraph" w:customStyle="1" w:styleId="Bodytext40">
    <w:name w:val="Body text (4)"/>
    <w:basedOn w:val="Normln"/>
    <w:link w:val="Bodytext4"/>
    <w:rsid w:val="000F18CD"/>
    <w:pPr>
      <w:shd w:val="clear" w:color="auto" w:fill="FFFFFF"/>
      <w:spacing w:before="100" w:after="380" w:line="200" w:lineRule="exact"/>
      <w:jc w:val="center"/>
    </w:pPr>
    <w:rPr>
      <w:rFonts w:ascii="Calibri" w:eastAsia="Calibri" w:hAnsi="Calibri" w:cs="Calibri"/>
      <w:b/>
      <w:bCs/>
      <w:sz w:val="21"/>
      <w:szCs w:val="21"/>
    </w:rPr>
  </w:style>
  <w:style w:type="paragraph" w:customStyle="1" w:styleId="Bodytext50">
    <w:name w:val="Body text (5)"/>
    <w:basedOn w:val="Normln"/>
    <w:link w:val="Bodytext5"/>
    <w:rsid w:val="000F18CD"/>
    <w:pPr>
      <w:shd w:val="clear" w:color="auto" w:fill="FFFFFF"/>
      <w:spacing w:before="580" w:after="100" w:line="190" w:lineRule="exact"/>
      <w:jc w:val="center"/>
    </w:pPr>
    <w:rPr>
      <w:rFonts w:ascii="Nirmala UI" w:eastAsia="Nirmala UI" w:hAnsi="Nirmala UI" w:cs="Nirmala UI"/>
      <w:b/>
      <w:bCs/>
      <w:sz w:val="13"/>
      <w:szCs w:val="13"/>
      <w:lang w:val="en-US" w:eastAsia="en-US" w:bidi="en-US"/>
    </w:rPr>
  </w:style>
  <w:style w:type="paragraph" w:customStyle="1" w:styleId="Bodytext60">
    <w:name w:val="Body text (6)"/>
    <w:basedOn w:val="Normln"/>
    <w:link w:val="Bodytext6"/>
    <w:rsid w:val="000F18CD"/>
    <w:pPr>
      <w:shd w:val="clear" w:color="auto" w:fill="FFFFFF"/>
      <w:spacing w:line="197" w:lineRule="exact"/>
      <w:jc w:val="center"/>
    </w:pPr>
    <w:rPr>
      <w:rFonts w:ascii="Yu Mincho" w:eastAsia="Yu Mincho" w:hAnsi="Yu Mincho" w:cs="Yu Mincho"/>
      <w:sz w:val="17"/>
      <w:szCs w:val="17"/>
    </w:rPr>
  </w:style>
  <w:style w:type="paragraph" w:customStyle="1" w:styleId="Bodytext70">
    <w:name w:val="Body text (7)"/>
    <w:basedOn w:val="Normln"/>
    <w:link w:val="Bodytext7"/>
    <w:rsid w:val="000F18CD"/>
    <w:pPr>
      <w:shd w:val="clear" w:color="auto" w:fill="FFFFFF"/>
      <w:spacing w:line="197" w:lineRule="exact"/>
      <w:jc w:val="center"/>
    </w:pPr>
    <w:rPr>
      <w:rFonts w:ascii="Calibri" w:eastAsia="Calibri" w:hAnsi="Calibri" w:cs="Calibri"/>
      <w:sz w:val="18"/>
      <w:szCs w:val="18"/>
    </w:rPr>
  </w:style>
  <w:style w:type="paragraph" w:customStyle="1" w:styleId="Picturecaption20">
    <w:name w:val="Picture caption (2)"/>
    <w:basedOn w:val="Normln"/>
    <w:link w:val="Picturecaption2"/>
    <w:rsid w:val="000F18CD"/>
    <w:pPr>
      <w:shd w:val="clear" w:color="auto" w:fill="FFFFFF"/>
      <w:spacing w:line="244" w:lineRule="exact"/>
    </w:pPr>
    <w:rPr>
      <w:rFonts w:ascii="Lucida Console" w:eastAsia="Lucida Console" w:hAnsi="Lucida Console" w:cs="Lucida Console"/>
      <w:sz w:val="19"/>
      <w:szCs w:val="19"/>
    </w:rPr>
  </w:style>
  <w:style w:type="paragraph" w:customStyle="1" w:styleId="Picturecaption0">
    <w:name w:val="Picture caption"/>
    <w:basedOn w:val="Normln"/>
    <w:link w:val="Picturecaption"/>
    <w:rsid w:val="000F18CD"/>
    <w:pPr>
      <w:shd w:val="clear" w:color="auto" w:fill="FFFFFF"/>
      <w:spacing w:line="226" w:lineRule="exact"/>
      <w:jc w:val="center"/>
    </w:pPr>
    <w:rPr>
      <w:rFonts w:ascii="Yu Mincho" w:eastAsia="Yu Mincho" w:hAnsi="Yu Mincho" w:cs="Yu Mincho"/>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7654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dcterms:created xsi:type="dcterms:W3CDTF">2016-12-22T08:55:00Z</dcterms:created>
  <dcterms:modified xsi:type="dcterms:W3CDTF">2016-12-22T08:55:00Z</dcterms:modified>
</cp:coreProperties>
</file>