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FDD" w:rsidRPr="00054A8D" w:rsidRDefault="00054A8D" w:rsidP="00AD4880">
      <w:pPr>
        <w:spacing w:after="0" w:line="240" w:lineRule="auto"/>
        <w:jc w:val="both"/>
        <w:rPr>
          <w:rFonts w:ascii="Times New Roman" w:hAnsi="Times New Roman"/>
          <w:b/>
          <w:sz w:val="16"/>
        </w:rPr>
      </w:pPr>
      <w:r w:rsidRPr="00054A8D">
        <w:rPr>
          <w:rFonts w:ascii="Times New Roman" w:hAnsi="Times New Roman"/>
          <w:b/>
          <w:sz w:val="16"/>
        </w:rPr>
        <w:t>Příloha VIII</w:t>
      </w:r>
    </w:p>
    <w:p w:rsidR="00054FDD" w:rsidRPr="00FA12B5" w:rsidRDefault="00054FDD" w:rsidP="00457D33">
      <w:pPr>
        <w:suppressAutoHyphens w:val="0"/>
        <w:spacing w:after="0" w:line="240" w:lineRule="auto"/>
        <w:jc w:val="center"/>
        <w:rPr>
          <w:rFonts w:ascii="Times New Roman" w:hAnsi="Times New Roman"/>
          <w:b/>
          <w:sz w:val="24"/>
          <w:szCs w:val="24"/>
        </w:rPr>
      </w:pPr>
      <w:r>
        <w:rPr>
          <w:rFonts w:ascii="Times New Roman" w:hAnsi="Times New Roman"/>
          <w:b/>
          <w:sz w:val="24"/>
        </w:rPr>
        <w:t>ZVLÁŠTNÍ PODMÍNKY</w:t>
      </w:r>
    </w:p>
    <w:sdt>
      <w:sdtPr>
        <w:rPr>
          <w:rFonts w:ascii="Calibri" w:eastAsia="Calibri" w:hAnsi="Calibri"/>
          <w:b w:val="0"/>
          <w:sz w:val="22"/>
          <w:szCs w:val="22"/>
          <w:lang w:eastAsia="cs-CZ" w:bidi="cs-CZ"/>
        </w:rPr>
        <w:id w:val="437104349"/>
        <w:docPartObj>
          <w:docPartGallery w:val="Table of Contents"/>
          <w:docPartUnique/>
        </w:docPartObj>
      </w:sdtPr>
      <w:sdtEndPr>
        <w:rPr>
          <w:bCs/>
        </w:rPr>
      </w:sdtEndPr>
      <w:sdtContent>
        <w:p w:rsidR="00550615" w:rsidRDefault="00550615">
          <w:pPr>
            <w:pStyle w:val="Nadpisobsahu"/>
          </w:pPr>
          <w:r>
            <w:t>Obsah</w:t>
          </w:r>
        </w:p>
        <w:p w:rsidR="00550615" w:rsidRPr="00550615" w:rsidRDefault="00550615">
          <w:pPr>
            <w:pStyle w:val="Obsah1"/>
            <w:tabs>
              <w:tab w:val="right" w:leader="dot" w:pos="9016"/>
            </w:tabs>
            <w:rPr>
              <w:rFonts w:ascii="Times New Roman" w:eastAsiaTheme="minorEastAsia" w:hAnsi="Times New Roman"/>
              <w:noProof/>
              <w:lang w:bidi="ar-SA"/>
            </w:rPr>
          </w:pPr>
          <w:r>
            <w:rPr>
              <w:b/>
              <w:bCs/>
            </w:rPr>
            <w:fldChar w:fldCharType="begin"/>
          </w:r>
          <w:r>
            <w:rPr>
              <w:b/>
              <w:bCs/>
            </w:rPr>
            <w:instrText xml:space="preserve"> TOC \o "1-3" \h \z \u </w:instrText>
          </w:r>
          <w:r>
            <w:rPr>
              <w:b/>
              <w:bCs/>
            </w:rPr>
            <w:fldChar w:fldCharType="separate"/>
          </w:r>
          <w:hyperlink w:anchor="_Toc11236701" w:history="1">
            <w:r w:rsidRPr="00550615">
              <w:rPr>
                <w:rStyle w:val="Hypertextovodkaz"/>
                <w:rFonts w:ascii="Times New Roman" w:hAnsi="Times New Roman"/>
                <w:noProof/>
              </w:rPr>
              <w:t>ČLÁNEK I.1 – PŘEDMĚT DOHODY</w:t>
            </w:r>
            <w:r w:rsidRPr="00550615">
              <w:rPr>
                <w:rFonts w:ascii="Times New Roman" w:hAnsi="Times New Roman"/>
                <w:noProof/>
                <w:webHidden/>
              </w:rPr>
              <w:tab/>
            </w:r>
            <w:r w:rsidRPr="00550615">
              <w:rPr>
                <w:rFonts w:ascii="Times New Roman" w:hAnsi="Times New Roman"/>
                <w:noProof/>
                <w:webHidden/>
              </w:rPr>
              <w:fldChar w:fldCharType="begin"/>
            </w:r>
            <w:r w:rsidRPr="00550615">
              <w:rPr>
                <w:rFonts w:ascii="Times New Roman" w:hAnsi="Times New Roman"/>
                <w:noProof/>
                <w:webHidden/>
              </w:rPr>
              <w:instrText xml:space="preserve"> PAGEREF _Toc11236701 \h </w:instrText>
            </w:r>
            <w:r w:rsidRPr="00550615">
              <w:rPr>
                <w:rFonts w:ascii="Times New Roman" w:hAnsi="Times New Roman"/>
                <w:noProof/>
                <w:webHidden/>
              </w:rPr>
            </w:r>
            <w:r w:rsidRPr="00550615">
              <w:rPr>
                <w:rFonts w:ascii="Times New Roman" w:hAnsi="Times New Roman"/>
                <w:noProof/>
                <w:webHidden/>
              </w:rPr>
              <w:fldChar w:fldCharType="separate"/>
            </w:r>
            <w:r w:rsidR="001B6D95">
              <w:rPr>
                <w:rFonts w:ascii="Times New Roman" w:hAnsi="Times New Roman"/>
                <w:noProof/>
                <w:webHidden/>
              </w:rPr>
              <w:t>3</w:t>
            </w:r>
            <w:r w:rsidRPr="00550615">
              <w:rPr>
                <w:rFonts w:ascii="Times New Roman" w:hAnsi="Times New Roman"/>
                <w:noProof/>
                <w:webHidden/>
              </w:rPr>
              <w:fldChar w:fldCharType="end"/>
            </w:r>
          </w:hyperlink>
        </w:p>
        <w:p w:rsidR="00550615" w:rsidRPr="00550615" w:rsidRDefault="006E14D2">
          <w:pPr>
            <w:pStyle w:val="Obsah1"/>
            <w:tabs>
              <w:tab w:val="right" w:leader="dot" w:pos="9016"/>
            </w:tabs>
            <w:rPr>
              <w:rFonts w:ascii="Times New Roman" w:eastAsiaTheme="minorEastAsia" w:hAnsi="Times New Roman"/>
              <w:noProof/>
              <w:lang w:bidi="ar-SA"/>
            </w:rPr>
          </w:pPr>
          <w:hyperlink w:anchor="_Toc11236702" w:history="1">
            <w:r w:rsidR="00550615" w:rsidRPr="00550615">
              <w:rPr>
                <w:rStyle w:val="Hypertextovodkaz"/>
                <w:rFonts w:ascii="Times New Roman" w:hAnsi="Times New Roman"/>
                <w:noProof/>
              </w:rPr>
              <w:t>ČLÁNEK I.2 – NABYTÍ ÚČINNOSTI A OBDOBÍ PLNĚNÍ DOHODY</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_Toc11236702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3</w:t>
            </w:r>
            <w:r w:rsidR="00550615" w:rsidRPr="00550615">
              <w:rPr>
                <w:rFonts w:ascii="Times New Roman" w:hAnsi="Times New Roman"/>
                <w:noProof/>
                <w:webHidden/>
              </w:rPr>
              <w:fldChar w:fldCharType="end"/>
            </w:r>
          </w:hyperlink>
        </w:p>
        <w:p w:rsidR="00550615" w:rsidRPr="00550615" w:rsidRDefault="006E14D2">
          <w:pPr>
            <w:pStyle w:val="Obsah1"/>
            <w:tabs>
              <w:tab w:val="right" w:leader="dot" w:pos="9016"/>
            </w:tabs>
            <w:rPr>
              <w:rFonts w:ascii="Times New Roman" w:eastAsiaTheme="minorEastAsia" w:hAnsi="Times New Roman"/>
              <w:noProof/>
              <w:lang w:bidi="ar-SA"/>
            </w:rPr>
          </w:pPr>
          <w:hyperlink w:anchor="_Toc11236703" w:history="1">
            <w:r w:rsidR="00550615" w:rsidRPr="00550615">
              <w:rPr>
                <w:rStyle w:val="Hypertextovodkaz"/>
                <w:rFonts w:ascii="Times New Roman" w:hAnsi="Times New Roman"/>
                <w:noProof/>
              </w:rPr>
              <w:t>ČLÁNEK I.3 — MAXIMÁLNÍ VÝŠE GRANTU A JEHO FORMA</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_Toc11236703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3</w:t>
            </w:r>
            <w:r w:rsidR="00550615" w:rsidRPr="00550615">
              <w:rPr>
                <w:rFonts w:ascii="Times New Roman" w:hAnsi="Times New Roman"/>
                <w:noProof/>
                <w:webHidden/>
              </w:rPr>
              <w:fldChar w:fldCharType="end"/>
            </w:r>
          </w:hyperlink>
        </w:p>
        <w:p w:rsidR="00550615" w:rsidRPr="00550615" w:rsidRDefault="006E14D2">
          <w:pPr>
            <w:pStyle w:val="Obsah1"/>
            <w:tabs>
              <w:tab w:val="right" w:leader="dot" w:pos="9016"/>
            </w:tabs>
            <w:rPr>
              <w:rFonts w:ascii="Times New Roman" w:eastAsiaTheme="minorEastAsia" w:hAnsi="Times New Roman"/>
              <w:noProof/>
              <w:lang w:bidi="ar-SA"/>
            </w:rPr>
          </w:pPr>
          <w:hyperlink w:anchor="_Toc11236704" w:history="1">
            <w:r w:rsidR="00550615" w:rsidRPr="00550615">
              <w:rPr>
                <w:rStyle w:val="Hypertextovodkaz"/>
                <w:rFonts w:ascii="Times New Roman" w:hAnsi="Times New Roman"/>
                <w:noProof/>
              </w:rPr>
              <w:t>ČLÁNEK I.4 – PODÁVÁNÍ ZPRÁV A PLATEBNÍ UJEDNÁNÍ</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_Toc11236704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4</w:t>
            </w:r>
            <w:r w:rsidR="00550615" w:rsidRPr="00550615">
              <w:rPr>
                <w:rFonts w:ascii="Times New Roman" w:hAnsi="Times New Roman"/>
                <w:noProof/>
                <w:webHidden/>
              </w:rPr>
              <w:fldChar w:fldCharType="end"/>
            </w:r>
          </w:hyperlink>
        </w:p>
        <w:p w:rsidR="00550615" w:rsidRPr="00550615" w:rsidRDefault="006E14D2">
          <w:pPr>
            <w:pStyle w:val="Obsah2"/>
            <w:tabs>
              <w:tab w:val="left" w:pos="1100"/>
              <w:tab w:val="right" w:leader="dot" w:pos="9016"/>
            </w:tabs>
            <w:rPr>
              <w:rFonts w:ascii="Times New Roman" w:eastAsiaTheme="minorEastAsia" w:hAnsi="Times New Roman"/>
              <w:noProof/>
              <w:lang w:bidi="ar-SA"/>
            </w:rPr>
          </w:pPr>
          <w:hyperlink w:anchor="_Toc11236705" w:history="1">
            <w:r w:rsidR="00550615" w:rsidRPr="00550615">
              <w:rPr>
                <w:rStyle w:val="Hypertextovodkaz"/>
                <w:rFonts w:ascii="Times New Roman" w:hAnsi="Times New Roman"/>
                <w:noProof/>
              </w:rPr>
              <w:t>I.4.1</w:t>
            </w:r>
            <w:r w:rsidR="00550615" w:rsidRPr="00550615">
              <w:rPr>
                <w:rFonts w:ascii="Times New Roman" w:eastAsiaTheme="minorEastAsia" w:hAnsi="Times New Roman"/>
                <w:noProof/>
                <w:lang w:bidi="ar-SA"/>
              </w:rPr>
              <w:tab/>
            </w:r>
            <w:r w:rsidR="00550615" w:rsidRPr="00550615">
              <w:rPr>
                <w:rStyle w:val="Hypertextovodkaz"/>
                <w:rFonts w:ascii="Times New Roman" w:hAnsi="Times New Roman"/>
                <w:noProof/>
              </w:rPr>
              <w:t>Platby</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_Toc11236705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4</w:t>
            </w:r>
            <w:r w:rsidR="00550615" w:rsidRPr="00550615">
              <w:rPr>
                <w:rFonts w:ascii="Times New Roman" w:hAnsi="Times New Roman"/>
                <w:noProof/>
                <w:webHidden/>
              </w:rPr>
              <w:fldChar w:fldCharType="end"/>
            </w:r>
          </w:hyperlink>
        </w:p>
        <w:p w:rsidR="00550615" w:rsidRPr="00550615" w:rsidRDefault="006E14D2">
          <w:pPr>
            <w:pStyle w:val="Obsah2"/>
            <w:tabs>
              <w:tab w:val="right" w:leader="dot" w:pos="9016"/>
            </w:tabs>
            <w:rPr>
              <w:rFonts w:ascii="Times New Roman" w:eastAsiaTheme="minorEastAsia" w:hAnsi="Times New Roman"/>
              <w:noProof/>
              <w:lang w:bidi="ar-SA"/>
            </w:rPr>
          </w:pPr>
          <w:hyperlink w:anchor="_Toc11236706" w:history="1">
            <w:r w:rsidR="00550615" w:rsidRPr="00550615">
              <w:rPr>
                <w:rStyle w:val="Hypertextovodkaz"/>
                <w:rFonts w:ascii="Times New Roman" w:hAnsi="Times New Roman"/>
                <w:noProof/>
              </w:rPr>
              <w:t>I.4.2 První záloha</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_Toc11236706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4</w:t>
            </w:r>
            <w:r w:rsidR="00550615" w:rsidRPr="00550615">
              <w:rPr>
                <w:rFonts w:ascii="Times New Roman" w:hAnsi="Times New Roman"/>
                <w:noProof/>
                <w:webHidden/>
              </w:rPr>
              <w:fldChar w:fldCharType="end"/>
            </w:r>
          </w:hyperlink>
        </w:p>
        <w:p w:rsidR="00550615" w:rsidRPr="00550615" w:rsidRDefault="006E14D2">
          <w:pPr>
            <w:pStyle w:val="Obsah2"/>
            <w:tabs>
              <w:tab w:val="right" w:leader="dot" w:pos="9016"/>
            </w:tabs>
            <w:rPr>
              <w:rFonts w:ascii="Times New Roman" w:eastAsiaTheme="minorEastAsia" w:hAnsi="Times New Roman"/>
              <w:noProof/>
              <w:lang w:bidi="ar-SA"/>
            </w:rPr>
          </w:pPr>
          <w:hyperlink w:anchor="_Toc11236707" w:history="1">
            <w:r w:rsidR="00550615" w:rsidRPr="00550615">
              <w:rPr>
                <w:rStyle w:val="Hypertextovodkaz"/>
                <w:rFonts w:ascii="Times New Roman" w:hAnsi="Times New Roman"/>
                <w:noProof/>
              </w:rPr>
              <w:t>I.4.3 Průběžné zprávy a další zálohy</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_Toc11236707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4</w:t>
            </w:r>
            <w:r w:rsidR="00550615" w:rsidRPr="00550615">
              <w:rPr>
                <w:rFonts w:ascii="Times New Roman" w:hAnsi="Times New Roman"/>
                <w:noProof/>
                <w:webHidden/>
              </w:rPr>
              <w:fldChar w:fldCharType="end"/>
            </w:r>
          </w:hyperlink>
        </w:p>
        <w:p w:rsidR="00550615" w:rsidRPr="00550615" w:rsidRDefault="006E14D2">
          <w:pPr>
            <w:pStyle w:val="Obsah2"/>
            <w:tabs>
              <w:tab w:val="right" w:leader="dot" w:pos="9016"/>
            </w:tabs>
            <w:rPr>
              <w:rFonts w:ascii="Times New Roman" w:eastAsiaTheme="minorEastAsia" w:hAnsi="Times New Roman"/>
              <w:noProof/>
              <w:lang w:bidi="ar-SA"/>
            </w:rPr>
          </w:pPr>
          <w:hyperlink w:anchor="_Toc11236708" w:history="1">
            <w:r w:rsidR="00550615" w:rsidRPr="00550615">
              <w:rPr>
                <w:rStyle w:val="Hypertextovodkaz"/>
                <w:rFonts w:ascii="Times New Roman" w:hAnsi="Times New Roman"/>
                <w:noProof/>
              </w:rPr>
              <w:t>I.4.4 Závěrečná zpráva a žádost o doplatek</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_Toc11236708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4</w:t>
            </w:r>
            <w:r w:rsidR="00550615" w:rsidRPr="00550615">
              <w:rPr>
                <w:rFonts w:ascii="Times New Roman" w:hAnsi="Times New Roman"/>
                <w:noProof/>
                <w:webHidden/>
              </w:rPr>
              <w:fldChar w:fldCharType="end"/>
            </w:r>
          </w:hyperlink>
        </w:p>
        <w:p w:rsidR="00550615" w:rsidRPr="00550615" w:rsidRDefault="006E14D2">
          <w:pPr>
            <w:pStyle w:val="Obsah2"/>
            <w:tabs>
              <w:tab w:val="right" w:leader="dot" w:pos="9016"/>
            </w:tabs>
            <w:rPr>
              <w:rFonts w:ascii="Times New Roman" w:eastAsiaTheme="minorEastAsia" w:hAnsi="Times New Roman"/>
              <w:noProof/>
              <w:lang w:bidi="ar-SA"/>
            </w:rPr>
          </w:pPr>
          <w:hyperlink w:anchor="_Toc11236709" w:history="1">
            <w:r w:rsidR="00550615" w:rsidRPr="00550615">
              <w:rPr>
                <w:rStyle w:val="Hypertextovodkaz"/>
                <w:rFonts w:ascii="Times New Roman" w:hAnsi="Times New Roman"/>
                <w:noProof/>
              </w:rPr>
              <w:t>I.4.5 Platba doplatku</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_Toc11236709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5</w:t>
            </w:r>
            <w:r w:rsidR="00550615" w:rsidRPr="00550615">
              <w:rPr>
                <w:rFonts w:ascii="Times New Roman" w:hAnsi="Times New Roman"/>
                <w:noProof/>
                <w:webHidden/>
              </w:rPr>
              <w:fldChar w:fldCharType="end"/>
            </w:r>
          </w:hyperlink>
        </w:p>
        <w:p w:rsidR="00550615" w:rsidRPr="00550615" w:rsidRDefault="006E14D2">
          <w:pPr>
            <w:pStyle w:val="Obsah2"/>
            <w:tabs>
              <w:tab w:val="right" w:leader="dot" w:pos="9016"/>
            </w:tabs>
            <w:rPr>
              <w:rFonts w:ascii="Times New Roman" w:eastAsiaTheme="minorEastAsia" w:hAnsi="Times New Roman"/>
              <w:noProof/>
              <w:lang w:bidi="ar-SA"/>
            </w:rPr>
          </w:pPr>
          <w:hyperlink w:anchor="_Toc11236710" w:history="1">
            <w:r w:rsidR="00550615" w:rsidRPr="00550615">
              <w:rPr>
                <w:rStyle w:val="Hypertextovodkaz"/>
                <w:rFonts w:ascii="Times New Roman" w:hAnsi="Times New Roman"/>
                <w:noProof/>
              </w:rPr>
              <w:t>I.4.6 Oznámení o výši plateb</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_Toc11236710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5</w:t>
            </w:r>
            <w:r w:rsidR="00550615" w:rsidRPr="00550615">
              <w:rPr>
                <w:rFonts w:ascii="Times New Roman" w:hAnsi="Times New Roman"/>
                <w:noProof/>
                <w:webHidden/>
              </w:rPr>
              <w:fldChar w:fldCharType="end"/>
            </w:r>
          </w:hyperlink>
        </w:p>
        <w:p w:rsidR="00550615" w:rsidRPr="00550615" w:rsidRDefault="006E14D2">
          <w:pPr>
            <w:pStyle w:val="Obsah2"/>
            <w:tabs>
              <w:tab w:val="right" w:leader="dot" w:pos="9016"/>
            </w:tabs>
            <w:rPr>
              <w:rFonts w:ascii="Times New Roman" w:eastAsiaTheme="minorEastAsia" w:hAnsi="Times New Roman"/>
              <w:noProof/>
              <w:lang w:bidi="ar-SA"/>
            </w:rPr>
          </w:pPr>
          <w:hyperlink w:anchor="_Toc11236711" w:history="1">
            <w:r w:rsidR="00550615" w:rsidRPr="00550615">
              <w:rPr>
                <w:rStyle w:val="Hypertextovodkaz"/>
                <w:rFonts w:ascii="Times New Roman" w:hAnsi="Times New Roman"/>
                <w:noProof/>
              </w:rPr>
              <w:t>I.4.7 Platby prováděné agenturou ve prospěch koordinátora</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_Toc11236711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5</w:t>
            </w:r>
            <w:r w:rsidR="00550615" w:rsidRPr="00550615">
              <w:rPr>
                <w:rFonts w:ascii="Times New Roman" w:hAnsi="Times New Roman"/>
                <w:noProof/>
                <w:webHidden/>
              </w:rPr>
              <w:fldChar w:fldCharType="end"/>
            </w:r>
          </w:hyperlink>
        </w:p>
        <w:p w:rsidR="00550615" w:rsidRPr="00550615" w:rsidRDefault="006E14D2">
          <w:pPr>
            <w:pStyle w:val="Obsah2"/>
            <w:tabs>
              <w:tab w:val="right" w:leader="dot" w:pos="9016"/>
            </w:tabs>
            <w:rPr>
              <w:rFonts w:ascii="Times New Roman" w:eastAsiaTheme="minorEastAsia" w:hAnsi="Times New Roman"/>
              <w:noProof/>
              <w:lang w:bidi="ar-SA"/>
            </w:rPr>
          </w:pPr>
          <w:hyperlink w:anchor="_Toc11236712" w:history="1">
            <w:r w:rsidR="00550615" w:rsidRPr="00550615">
              <w:rPr>
                <w:rStyle w:val="Hypertextovodkaz"/>
                <w:rFonts w:ascii="Times New Roman" w:hAnsi="Times New Roman"/>
                <w:noProof/>
              </w:rPr>
              <w:t>I.4.8 Platby prováděné koordinátorem ve prospěch ostatních příjemců</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_Toc11236712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6</w:t>
            </w:r>
            <w:r w:rsidR="00550615" w:rsidRPr="00550615">
              <w:rPr>
                <w:rFonts w:ascii="Times New Roman" w:hAnsi="Times New Roman"/>
                <w:noProof/>
                <w:webHidden/>
              </w:rPr>
              <w:fldChar w:fldCharType="end"/>
            </w:r>
          </w:hyperlink>
        </w:p>
        <w:p w:rsidR="00550615" w:rsidRPr="00550615" w:rsidRDefault="006E14D2">
          <w:pPr>
            <w:pStyle w:val="Obsah2"/>
            <w:tabs>
              <w:tab w:val="right" w:leader="dot" w:pos="9016"/>
            </w:tabs>
            <w:rPr>
              <w:rFonts w:ascii="Times New Roman" w:eastAsiaTheme="minorEastAsia" w:hAnsi="Times New Roman"/>
              <w:noProof/>
              <w:lang w:bidi="ar-SA"/>
            </w:rPr>
          </w:pPr>
          <w:hyperlink w:anchor="_Toc11236713" w:history="1">
            <w:r w:rsidR="00550615" w:rsidRPr="00550615">
              <w:rPr>
                <w:rStyle w:val="Hypertextovodkaz"/>
                <w:rFonts w:ascii="Times New Roman" w:hAnsi="Times New Roman"/>
                <w:noProof/>
              </w:rPr>
              <w:t>I.4.9 Jazyk žádostí o platby a zpráv</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_Toc11236713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6</w:t>
            </w:r>
            <w:r w:rsidR="00550615" w:rsidRPr="00550615">
              <w:rPr>
                <w:rFonts w:ascii="Times New Roman" w:hAnsi="Times New Roman"/>
                <w:noProof/>
                <w:webHidden/>
              </w:rPr>
              <w:fldChar w:fldCharType="end"/>
            </w:r>
          </w:hyperlink>
        </w:p>
        <w:p w:rsidR="00550615" w:rsidRPr="00550615" w:rsidRDefault="006E14D2">
          <w:pPr>
            <w:pStyle w:val="Obsah2"/>
            <w:tabs>
              <w:tab w:val="right" w:leader="dot" w:pos="9016"/>
            </w:tabs>
            <w:rPr>
              <w:rFonts w:ascii="Times New Roman" w:eastAsiaTheme="minorEastAsia" w:hAnsi="Times New Roman"/>
              <w:noProof/>
              <w:lang w:bidi="ar-SA"/>
            </w:rPr>
          </w:pPr>
          <w:hyperlink w:anchor="_Toc11236714" w:history="1">
            <w:r w:rsidR="00550615" w:rsidRPr="00550615">
              <w:rPr>
                <w:rStyle w:val="Hypertextovodkaz"/>
                <w:rFonts w:ascii="Times New Roman" w:hAnsi="Times New Roman"/>
                <w:noProof/>
              </w:rPr>
              <w:t>I.4.10 Měna pro žádosti o platby a přepočet na eura</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_Toc11236714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6</w:t>
            </w:r>
            <w:r w:rsidR="00550615" w:rsidRPr="00550615">
              <w:rPr>
                <w:rFonts w:ascii="Times New Roman" w:hAnsi="Times New Roman"/>
                <w:noProof/>
                <w:webHidden/>
              </w:rPr>
              <w:fldChar w:fldCharType="end"/>
            </w:r>
          </w:hyperlink>
        </w:p>
        <w:p w:rsidR="00550615" w:rsidRPr="00550615" w:rsidRDefault="006E14D2">
          <w:pPr>
            <w:pStyle w:val="Obsah2"/>
            <w:tabs>
              <w:tab w:val="right" w:leader="dot" w:pos="9016"/>
            </w:tabs>
            <w:rPr>
              <w:rFonts w:ascii="Times New Roman" w:eastAsiaTheme="minorEastAsia" w:hAnsi="Times New Roman"/>
              <w:noProof/>
              <w:lang w:bidi="ar-SA"/>
            </w:rPr>
          </w:pPr>
          <w:hyperlink w:anchor="_Toc11236715" w:history="1">
            <w:r w:rsidR="00550615" w:rsidRPr="00550615">
              <w:rPr>
                <w:rStyle w:val="Hypertextovodkaz"/>
                <w:rFonts w:ascii="Times New Roman" w:hAnsi="Times New Roman"/>
                <w:noProof/>
              </w:rPr>
              <w:t>I.4.11 Měna pro platby</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_Toc11236715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6</w:t>
            </w:r>
            <w:r w:rsidR="00550615" w:rsidRPr="00550615">
              <w:rPr>
                <w:rFonts w:ascii="Times New Roman" w:hAnsi="Times New Roman"/>
                <w:noProof/>
                <w:webHidden/>
              </w:rPr>
              <w:fldChar w:fldCharType="end"/>
            </w:r>
          </w:hyperlink>
        </w:p>
        <w:p w:rsidR="00550615" w:rsidRPr="00550615" w:rsidRDefault="006E14D2">
          <w:pPr>
            <w:pStyle w:val="Obsah2"/>
            <w:tabs>
              <w:tab w:val="left" w:pos="1100"/>
              <w:tab w:val="right" w:leader="dot" w:pos="9016"/>
            </w:tabs>
            <w:rPr>
              <w:rFonts w:ascii="Times New Roman" w:eastAsiaTheme="minorEastAsia" w:hAnsi="Times New Roman"/>
              <w:noProof/>
              <w:lang w:bidi="ar-SA"/>
            </w:rPr>
          </w:pPr>
          <w:hyperlink w:anchor="_Toc11236716" w:history="1">
            <w:r w:rsidR="00550615" w:rsidRPr="00550615">
              <w:rPr>
                <w:rStyle w:val="Hypertextovodkaz"/>
                <w:rFonts w:ascii="Times New Roman" w:hAnsi="Times New Roman"/>
                <w:noProof/>
              </w:rPr>
              <w:t>I.4.12</w:t>
            </w:r>
            <w:r w:rsidR="00550615" w:rsidRPr="00550615">
              <w:rPr>
                <w:rFonts w:ascii="Times New Roman" w:eastAsiaTheme="minorEastAsia" w:hAnsi="Times New Roman"/>
                <w:noProof/>
                <w:lang w:bidi="ar-SA"/>
              </w:rPr>
              <w:tab/>
            </w:r>
            <w:r w:rsidR="00550615" w:rsidRPr="00550615">
              <w:rPr>
                <w:rStyle w:val="Hypertextovodkaz"/>
                <w:rFonts w:ascii="Times New Roman" w:hAnsi="Times New Roman"/>
                <w:noProof/>
              </w:rPr>
              <w:t>Datum platby</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_Toc11236716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6</w:t>
            </w:r>
            <w:r w:rsidR="00550615" w:rsidRPr="00550615">
              <w:rPr>
                <w:rFonts w:ascii="Times New Roman" w:hAnsi="Times New Roman"/>
                <w:noProof/>
                <w:webHidden/>
              </w:rPr>
              <w:fldChar w:fldCharType="end"/>
            </w:r>
          </w:hyperlink>
        </w:p>
        <w:p w:rsidR="00550615" w:rsidRPr="00550615" w:rsidRDefault="006E14D2">
          <w:pPr>
            <w:pStyle w:val="Obsah2"/>
            <w:tabs>
              <w:tab w:val="left" w:pos="1100"/>
              <w:tab w:val="right" w:leader="dot" w:pos="9016"/>
            </w:tabs>
            <w:rPr>
              <w:rFonts w:ascii="Times New Roman" w:eastAsiaTheme="minorEastAsia" w:hAnsi="Times New Roman"/>
              <w:noProof/>
              <w:lang w:bidi="ar-SA"/>
            </w:rPr>
          </w:pPr>
          <w:hyperlink w:anchor="_Toc11236717" w:history="1">
            <w:r w:rsidR="00550615" w:rsidRPr="00550615">
              <w:rPr>
                <w:rStyle w:val="Hypertextovodkaz"/>
                <w:rFonts w:ascii="Times New Roman" w:hAnsi="Times New Roman"/>
                <w:noProof/>
              </w:rPr>
              <w:t>I.4.13</w:t>
            </w:r>
            <w:r w:rsidR="00550615" w:rsidRPr="00550615">
              <w:rPr>
                <w:rFonts w:ascii="Times New Roman" w:eastAsiaTheme="minorEastAsia" w:hAnsi="Times New Roman"/>
                <w:noProof/>
                <w:lang w:bidi="ar-SA"/>
              </w:rPr>
              <w:tab/>
            </w:r>
            <w:r w:rsidR="00550615" w:rsidRPr="00550615">
              <w:rPr>
                <w:rStyle w:val="Hypertextovodkaz"/>
                <w:rFonts w:ascii="Times New Roman" w:hAnsi="Times New Roman"/>
                <w:noProof/>
              </w:rPr>
              <w:t>Náklady na platební převody</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_Toc11236717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6</w:t>
            </w:r>
            <w:r w:rsidR="00550615" w:rsidRPr="00550615">
              <w:rPr>
                <w:rFonts w:ascii="Times New Roman" w:hAnsi="Times New Roman"/>
                <w:noProof/>
                <w:webHidden/>
              </w:rPr>
              <w:fldChar w:fldCharType="end"/>
            </w:r>
          </w:hyperlink>
        </w:p>
        <w:p w:rsidR="00550615" w:rsidRPr="00550615" w:rsidRDefault="006E14D2">
          <w:pPr>
            <w:pStyle w:val="Obsah2"/>
            <w:tabs>
              <w:tab w:val="left" w:pos="1100"/>
              <w:tab w:val="right" w:leader="dot" w:pos="9016"/>
            </w:tabs>
            <w:rPr>
              <w:rFonts w:ascii="Times New Roman" w:eastAsiaTheme="minorEastAsia" w:hAnsi="Times New Roman"/>
              <w:noProof/>
              <w:lang w:bidi="ar-SA"/>
            </w:rPr>
          </w:pPr>
          <w:hyperlink w:anchor="_Toc11236718" w:history="1">
            <w:r w:rsidR="00550615" w:rsidRPr="00550615">
              <w:rPr>
                <w:rStyle w:val="Hypertextovodkaz"/>
                <w:rFonts w:ascii="Times New Roman" w:hAnsi="Times New Roman"/>
                <w:noProof/>
              </w:rPr>
              <w:t>I.4.14</w:t>
            </w:r>
            <w:r w:rsidR="00550615" w:rsidRPr="00550615">
              <w:rPr>
                <w:rFonts w:ascii="Times New Roman" w:eastAsiaTheme="minorEastAsia" w:hAnsi="Times New Roman"/>
                <w:noProof/>
                <w:lang w:bidi="ar-SA"/>
              </w:rPr>
              <w:tab/>
            </w:r>
            <w:r w:rsidR="00550615" w:rsidRPr="00550615">
              <w:rPr>
                <w:rStyle w:val="Hypertextovodkaz"/>
                <w:rFonts w:ascii="Times New Roman" w:hAnsi="Times New Roman"/>
                <w:noProof/>
              </w:rPr>
              <w:t>Úroky z prodlení</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_Toc11236718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6</w:t>
            </w:r>
            <w:r w:rsidR="00550615" w:rsidRPr="00550615">
              <w:rPr>
                <w:rFonts w:ascii="Times New Roman" w:hAnsi="Times New Roman"/>
                <w:noProof/>
                <w:webHidden/>
              </w:rPr>
              <w:fldChar w:fldCharType="end"/>
            </w:r>
          </w:hyperlink>
        </w:p>
        <w:p w:rsidR="00550615" w:rsidRPr="00550615" w:rsidRDefault="006E14D2">
          <w:pPr>
            <w:pStyle w:val="Obsah1"/>
            <w:tabs>
              <w:tab w:val="right" w:leader="dot" w:pos="9016"/>
            </w:tabs>
            <w:rPr>
              <w:rFonts w:ascii="Times New Roman" w:eastAsiaTheme="minorEastAsia" w:hAnsi="Times New Roman"/>
              <w:noProof/>
              <w:lang w:bidi="ar-SA"/>
            </w:rPr>
          </w:pPr>
          <w:hyperlink w:anchor="_Toc11236719" w:history="1">
            <w:r w:rsidR="00550615" w:rsidRPr="00550615">
              <w:rPr>
                <w:rStyle w:val="Hypertextovodkaz"/>
                <w:rFonts w:ascii="Times New Roman" w:hAnsi="Times New Roman"/>
                <w:noProof/>
              </w:rPr>
              <w:t>ČLÁNEK I.5 – BANKOVNÍ ÚČET PRO PLATBY</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_Toc11236719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7</w:t>
            </w:r>
            <w:r w:rsidR="00550615" w:rsidRPr="00550615">
              <w:rPr>
                <w:rFonts w:ascii="Times New Roman" w:hAnsi="Times New Roman"/>
                <w:noProof/>
                <w:webHidden/>
              </w:rPr>
              <w:fldChar w:fldCharType="end"/>
            </w:r>
          </w:hyperlink>
        </w:p>
        <w:p w:rsidR="00550615" w:rsidRPr="00550615" w:rsidRDefault="006E14D2">
          <w:pPr>
            <w:pStyle w:val="Obsah1"/>
            <w:tabs>
              <w:tab w:val="right" w:leader="dot" w:pos="9016"/>
            </w:tabs>
            <w:rPr>
              <w:rFonts w:ascii="Times New Roman" w:eastAsiaTheme="minorEastAsia" w:hAnsi="Times New Roman"/>
              <w:noProof/>
              <w:lang w:bidi="ar-SA"/>
            </w:rPr>
          </w:pPr>
          <w:hyperlink w:anchor="_Toc11236720" w:history="1">
            <w:r w:rsidR="00550615" w:rsidRPr="00550615">
              <w:rPr>
                <w:rStyle w:val="Hypertextovodkaz"/>
                <w:rFonts w:ascii="Times New Roman" w:hAnsi="Times New Roman"/>
                <w:noProof/>
              </w:rPr>
              <w:t>ČLÁNEK I.6 –  ZPRACOVÁNÍ OSOBNÍCH ÚDAJŮ A ÚDAJE STRAN PRO KOMUNIKACI</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_Toc11236720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7</w:t>
            </w:r>
            <w:r w:rsidR="00550615" w:rsidRPr="00550615">
              <w:rPr>
                <w:rFonts w:ascii="Times New Roman" w:hAnsi="Times New Roman"/>
                <w:noProof/>
                <w:webHidden/>
              </w:rPr>
              <w:fldChar w:fldCharType="end"/>
            </w:r>
          </w:hyperlink>
        </w:p>
        <w:p w:rsidR="00550615" w:rsidRPr="00550615" w:rsidRDefault="006E14D2">
          <w:pPr>
            <w:pStyle w:val="Obsah2"/>
            <w:tabs>
              <w:tab w:val="right" w:leader="dot" w:pos="9016"/>
            </w:tabs>
            <w:rPr>
              <w:rFonts w:ascii="Times New Roman" w:eastAsiaTheme="minorEastAsia" w:hAnsi="Times New Roman"/>
              <w:noProof/>
              <w:lang w:bidi="ar-SA"/>
            </w:rPr>
          </w:pPr>
          <w:hyperlink w:anchor="_Toc11236721" w:history="1">
            <w:r w:rsidR="00550615" w:rsidRPr="00550615">
              <w:rPr>
                <w:rStyle w:val="Hypertextovodkaz"/>
                <w:rFonts w:ascii="Times New Roman" w:hAnsi="Times New Roman"/>
                <w:noProof/>
              </w:rPr>
              <w:t>I.6.1 Údaje pro komunikaci – agentura</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_Toc11236721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7</w:t>
            </w:r>
            <w:r w:rsidR="00550615" w:rsidRPr="00550615">
              <w:rPr>
                <w:rFonts w:ascii="Times New Roman" w:hAnsi="Times New Roman"/>
                <w:noProof/>
                <w:webHidden/>
              </w:rPr>
              <w:fldChar w:fldCharType="end"/>
            </w:r>
          </w:hyperlink>
        </w:p>
        <w:p w:rsidR="00550615" w:rsidRPr="00550615" w:rsidRDefault="006E14D2">
          <w:pPr>
            <w:pStyle w:val="Obsah2"/>
            <w:tabs>
              <w:tab w:val="right" w:leader="dot" w:pos="9016"/>
            </w:tabs>
            <w:rPr>
              <w:rFonts w:ascii="Times New Roman" w:eastAsiaTheme="minorEastAsia" w:hAnsi="Times New Roman"/>
              <w:noProof/>
              <w:lang w:bidi="ar-SA"/>
            </w:rPr>
          </w:pPr>
          <w:hyperlink w:anchor="_Toc11236722" w:history="1">
            <w:r w:rsidR="00550615" w:rsidRPr="00550615">
              <w:rPr>
                <w:rStyle w:val="Hypertextovodkaz"/>
                <w:rFonts w:ascii="Times New Roman" w:hAnsi="Times New Roman"/>
                <w:noProof/>
              </w:rPr>
              <w:t>I.6.2 Údaje pro komunikaci – příjemci</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_Toc11236722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8</w:t>
            </w:r>
            <w:r w:rsidR="00550615" w:rsidRPr="00550615">
              <w:rPr>
                <w:rFonts w:ascii="Times New Roman" w:hAnsi="Times New Roman"/>
                <w:noProof/>
                <w:webHidden/>
              </w:rPr>
              <w:fldChar w:fldCharType="end"/>
            </w:r>
          </w:hyperlink>
        </w:p>
        <w:p w:rsidR="00550615" w:rsidRPr="00550615" w:rsidRDefault="006E14D2">
          <w:pPr>
            <w:pStyle w:val="Obsah1"/>
            <w:tabs>
              <w:tab w:val="right" w:leader="dot" w:pos="9016"/>
            </w:tabs>
            <w:rPr>
              <w:rFonts w:ascii="Times New Roman" w:eastAsiaTheme="minorEastAsia" w:hAnsi="Times New Roman"/>
              <w:noProof/>
              <w:lang w:bidi="ar-SA"/>
            </w:rPr>
          </w:pPr>
          <w:hyperlink w:anchor="_Toc11236723" w:history="1">
            <w:r w:rsidR="00550615" w:rsidRPr="00550615">
              <w:rPr>
                <w:rStyle w:val="Hypertextovodkaz"/>
                <w:rFonts w:ascii="Times New Roman" w:hAnsi="Times New Roman"/>
                <w:noProof/>
              </w:rPr>
              <w:t>ČLÁNEK I.7 – OCHRANA A BEZPEČNOST ÚČASTNÍKŮ</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_Toc11236723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8</w:t>
            </w:r>
            <w:r w:rsidR="00550615" w:rsidRPr="00550615">
              <w:rPr>
                <w:rFonts w:ascii="Times New Roman" w:hAnsi="Times New Roman"/>
                <w:noProof/>
                <w:webHidden/>
              </w:rPr>
              <w:fldChar w:fldCharType="end"/>
            </w:r>
          </w:hyperlink>
        </w:p>
        <w:p w:rsidR="00550615" w:rsidRPr="00550615" w:rsidRDefault="006E14D2">
          <w:pPr>
            <w:pStyle w:val="Obsah1"/>
            <w:tabs>
              <w:tab w:val="right" w:leader="dot" w:pos="9016"/>
            </w:tabs>
            <w:rPr>
              <w:rFonts w:ascii="Times New Roman" w:eastAsiaTheme="minorEastAsia" w:hAnsi="Times New Roman"/>
              <w:noProof/>
              <w:lang w:bidi="ar-SA"/>
            </w:rPr>
          </w:pPr>
          <w:hyperlink w:anchor="_Toc11236724" w:history="1">
            <w:r w:rsidR="00550615" w:rsidRPr="00550615">
              <w:rPr>
                <w:rStyle w:val="Hypertextovodkaz"/>
                <w:rFonts w:ascii="Times New Roman" w:hAnsi="Times New Roman"/>
                <w:caps/>
                <w:noProof/>
              </w:rPr>
              <w:t>ČLÁNEK I.8 – DOPLŇUJÍCÍ USTANOVENÍ O VYUŽÍVÁNÍ VÝSLEDKŮ (VČETNĚ PRÁV DUŠEVNÍHO A PRŮMYSLOVÉHO VLASTNICTVÍ)</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_Toc11236724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8</w:t>
            </w:r>
            <w:r w:rsidR="00550615" w:rsidRPr="00550615">
              <w:rPr>
                <w:rFonts w:ascii="Times New Roman" w:hAnsi="Times New Roman"/>
                <w:noProof/>
                <w:webHidden/>
              </w:rPr>
              <w:fldChar w:fldCharType="end"/>
            </w:r>
          </w:hyperlink>
        </w:p>
        <w:p w:rsidR="00550615" w:rsidRPr="00550615" w:rsidRDefault="006E14D2">
          <w:pPr>
            <w:pStyle w:val="Obsah1"/>
            <w:tabs>
              <w:tab w:val="right" w:leader="dot" w:pos="9016"/>
            </w:tabs>
            <w:rPr>
              <w:rFonts w:ascii="Times New Roman" w:eastAsiaTheme="minorEastAsia" w:hAnsi="Times New Roman"/>
              <w:noProof/>
              <w:lang w:bidi="ar-SA"/>
            </w:rPr>
          </w:pPr>
          <w:hyperlink w:anchor="_Toc11236725" w:history="1">
            <w:r w:rsidR="00550615" w:rsidRPr="00550615">
              <w:rPr>
                <w:rStyle w:val="Hypertextovodkaz"/>
                <w:rFonts w:ascii="Times New Roman" w:hAnsi="Times New Roman"/>
                <w:caps/>
                <w:noProof/>
              </w:rPr>
              <w:t>ČLÁNEK I.9 – POUŽÍVÁNÍ NÁSTROJŮ IT</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_Toc11236725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8</w:t>
            </w:r>
            <w:r w:rsidR="00550615" w:rsidRPr="00550615">
              <w:rPr>
                <w:rFonts w:ascii="Times New Roman" w:hAnsi="Times New Roman"/>
                <w:noProof/>
                <w:webHidden/>
              </w:rPr>
              <w:fldChar w:fldCharType="end"/>
            </w:r>
          </w:hyperlink>
        </w:p>
        <w:p w:rsidR="00550615" w:rsidRPr="00550615" w:rsidRDefault="006E14D2">
          <w:pPr>
            <w:pStyle w:val="Obsah2"/>
            <w:tabs>
              <w:tab w:val="left" w:pos="1100"/>
              <w:tab w:val="right" w:leader="dot" w:pos="9016"/>
            </w:tabs>
            <w:rPr>
              <w:rFonts w:ascii="Times New Roman" w:eastAsiaTheme="minorEastAsia" w:hAnsi="Times New Roman"/>
              <w:noProof/>
              <w:lang w:bidi="ar-SA"/>
            </w:rPr>
          </w:pPr>
          <w:hyperlink w:anchor="_Toc11236726" w:history="1">
            <w:r w:rsidR="00550615" w:rsidRPr="00550615">
              <w:rPr>
                <w:rStyle w:val="Hypertextovodkaz"/>
                <w:rFonts w:ascii="Times New Roman" w:hAnsi="Times New Roman"/>
                <w:noProof/>
              </w:rPr>
              <w:t>I.9.1</w:t>
            </w:r>
            <w:r w:rsidR="00550615" w:rsidRPr="00550615">
              <w:rPr>
                <w:rFonts w:ascii="Times New Roman" w:eastAsiaTheme="minorEastAsia" w:hAnsi="Times New Roman"/>
                <w:noProof/>
                <w:lang w:bidi="ar-SA"/>
              </w:rPr>
              <w:tab/>
            </w:r>
            <w:r w:rsidR="00550615" w:rsidRPr="00550615">
              <w:rPr>
                <w:rStyle w:val="Hypertextovodkaz"/>
                <w:rFonts w:ascii="Times New Roman" w:hAnsi="Times New Roman"/>
                <w:noProof/>
              </w:rPr>
              <w:t>Mobility Tool+</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_Toc11236726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8</w:t>
            </w:r>
            <w:r w:rsidR="00550615" w:rsidRPr="00550615">
              <w:rPr>
                <w:rFonts w:ascii="Times New Roman" w:hAnsi="Times New Roman"/>
                <w:noProof/>
                <w:webHidden/>
              </w:rPr>
              <w:fldChar w:fldCharType="end"/>
            </w:r>
          </w:hyperlink>
        </w:p>
        <w:p w:rsidR="00550615" w:rsidRPr="00550615" w:rsidRDefault="006E14D2">
          <w:pPr>
            <w:pStyle w:val="Obsah2"/>
            <w:tabs>
              <w:tab w:val="left" w:pos="1100"/>
              <w:tab w:val="right" w:leader="dot" w:pos="9016"/>
            </w:tabs>
            <w:rPr>
              <w:rFonts w:ascii="Times New Roman" w:eastAsiaTheme="minorEastAsia" w:hAnsi="Times New Roman"/>
              <w:noProof/>
              <w:lang w:bidi="ar-SA"/>
            </w:rPr>
          </w:pPr>
          <w:hyperlink w:anchor="_Toc11236727" w:history="1">
            <w:r w:rsidR="00550615" w:rsidRPr="00550615">
              <w:rPr>
                <w:rStyle w:val="Hypertextovodkaz"/>
                <w:rFonts w:ascii="Times New Roman" w:hAnsi="Times New Roman"/>
                <w:noProof/>
              </w:rPr>
              <w:t>I.9.2</w:t>
            </w:r>
            <w:r w:rsidR="00550615" w:rsidRPr="00550615">
              <w:rPr>
                <w:rFonts w:ascii="Times New Roman" w:eastAsiaTheme="minorEastAsia" w:hAnsi="Times New Roman"/>
                <w:noProof/>
                <w:lang w:bidi="ar-SA"/>
              </w:rPr>
              <w:tab/>
            </w:r>
            <w:r w:rsidR="00550615" w:rsidRPr="00550615">
              <w:rPr>
                <w:rStyle w:val="Hypertextovodkaz"/>
                <w:rFonts w:ascii="Times New Roman" w:hAnsi="Times New Roman"/>
                <w:noProof/>
              </w:rPr>
              <w:t>Platforma pro šíření výsledků programu Erasmus+</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_Toc11236727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9</w:t>
            </w:r>
            <w:r w:rsidR="00550615" w:rsidRPr="00550615">
              <w:rPr>
                <w:rFonts w:ascii="Times New Roman" w:hAnsi="Times New Roman"/>
                <w:noProof/>
                <w:webHidden/>
              </w:rPr>
              <w:fldChar w:fldCharType="end"/>
            </w:r>
          </w:hyperlink>
        </w:p>
        <w:p w:rsidR="00550615" w:rsidRPr="00550615" w:rsidRDefault="006E14D2">
          <w:pPr>
            <w:pStyle w:val="Obsah1"/>
            <w:tabs>
              <w:tab w:val="right" w:leader="dot" w:pos="9016"/>
            </w:tabs>
            <w:rPr>
              <w:rFonts w:ascii="Times New Roman" w:eastAsiaTheme="minorEastAsia" w:hAnsi="Times New Roman"/>
              <w:noProof/>
              <w:lang w:bidi="ar-SA"/>
            </w:rPr>
          </w:pPr>
          <w:hyperlink w:anchor="_Toc11236728" w:history="1">
            <w:r w:rsidR="00550615" w:rsidRPr="00550615">
              <w:rPr>
                <w:rStyle w:val="Hypertextovodkaz"/>
                <w:rFonts w:ascii="Times New Roman" w:hAnsi="Times New Roman"/>
                <w:caps/>
                <w:noProof/>
              </w:rPr>
              <w:t>ČLÁNEK I.10 – DOPLŇUJÍCÍ USTANOVENÍ O SUBDODÁVKÁCH</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_Toc11236728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9</w:t>
            </w:r>
            <w:r w:rsidR="00550615" w:rsidRPr="00550615">
              <w:rPr>
                <w:rFonts w:ascii="Times New Roman" w:hAnsi="Times New Roman"/>
                <w:noProof/>
                <w:webHidden/>
              </w:rPr>
              <w:fldChar w:fldCharType="end"/>
            </w:r>
          </w:hyperlink>
        </w:p>
        <w:p w:rsidR="00550615" w:rsidRPr="00550615" w:rsidRDefault="006E14D2">
          <w:pPr>
            <w:pStyle w:val="Obsah1"/>
            <w:tabs>
              <w:tab w:val="right" w:leader="dot" w:pos="9016"/>
            </w:tabs>
            <w:rPr>
              <w:rFonts w:ascii="Times New Roman" w:eastAsiaTheme="minorEastAsia" w:hAnsi="Times New Roman"/>
              <w:noProof/>
              <w:lang w:bidi="ar-SA"/>
            </w:rPr>
          </w:pPr>
          <w:hyperlink w:anchor="_Toc11236729" w:history="1">
            <w:r w:rsidR="00550615" w:rsidRPr="00550615">
              <w:rPr>
                <w:rStyle w:val="Hypertextovodkaz"/>
                <w:rFonts w:ascii="Times New Roman" w:hAnsi="Times New Roman"/>
                <w:caps/>
                <w:noProof/>
              </w:rPr>
              <w:t>Článek I.11 – ZVLÁŠTNÍ USTANOVENÍ O FINANČNÍ ODPOVĚDNOSTI PŘI VYMÁHÁNÍ VYPLACENÝCH ČÁSTEK</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_Toc11236729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9</w:t>
            </w:r>
            <w:r w:rsidR="00550615" w:rsidRPr="00550615">
              <w:rPr>
                <w:rFonts w:ascii="Times New Roman" w:hAnsi="Times New Roman"/>
                <w:noProof/>
                <w:webHidden/>
              </w:rPr>
              <w:fldChar w:fldCharType="end"/>
            </w:r>
          </w:hyperlink>
        </w:p>
        <w:p w:rsidR="00550615" w:rsidRPr="00550615" w:rsidRDefault="006E14D2">
          <w:pPr>
            <w:pStyle w:val="Obsah1"/>
            <w:tabs>
              <w:tab w:val="right" w:leader="dot" w:pos="9016"/>
            </w:tabs>
            <w:rPr>
              <w:rFonts w:ascii="Times New Roman" w:eastAsiaTheme="minorEastAsia" w:hAnsi="Times New Roman"/>
              <w:noProof/>
              <w:lang w:bidi="ar-SA"/>
            </w:rPr>
          </w:pPr>
          <w:hyperlink w:anchor="_Toc11236730" w:history="1">
            <w:r w:rsidR="00550615" w:rsidRPr="00550615">
              <w:rPr>
                <w:rStyle w:val="Hypertextovodkaz"/>
                <w:rFonts w:ascii="Times New Roman" w:hAnsi="Times New Roman"/>
                <w:caps/>
                <w:noProof/>
              </w:rPr>
              <w:t>ČLÁNEK I.12 – DOPLŇUJÍCÍ USTANOVENÍ O VIDITELNOSTI FINANCOVÁNÍ Evropskou UNIí</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_Toc11236730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9</w:t>
            </w:r>
            <w:r w:rsidR="00550615" w:rsidRPr="00550615">
              <w:rPr>
                <w:rFonts w:ascii="Times New Roman" w:hAnsi="Times New Roman"/>
                <w:noProof/>
                <w:webHidden/>
              </w:rPr>
              <w:fldChar w:fldCharType="end"/>
            </w:r>
          </w:hyperlink>
        </w:p>
        <w:p w:rsidR="00550615" w:rsidRPr="00550615" w:rsidRDefault="006E14D2">
          <w:pPr>
            <w:pStyle w:val="Obsah1"/>
            <w:tabs>
              <w:tab w:val="right" w:leader="dot" w:pos="9016"/>
            </w:tabs>
            <w:rPr>
              <w:rFonts w:ascii="Times New Roman" w:eastAsiaTheme="minorEastAsia" w:hAnsi="Times New Roman"/>
              <w:noProof/>
              <w:lang w:bidi="ar-SA"/>
            </w:rPr>
          </w:pPr>
          <w:hyperlink w:anchor="_Toc11236731" w:history="1">
            <w:r w:rsidR="00550615" w:rsidRPr="00550615">
              <w:rPr>
                <w:rStyle w:val="Hypertextovodkaz"/>
                <w:rFonts w:ascii="Times New Roman" w:hAnsi="Times New Roman"/>
                <w:caps/>
                <w:noProof/>
              </w:rPr>
              <w:t>ČLÁNEK I. 13 – PODPORA ÚČASTNÍKŮ</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_Toc11236731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9</w:t>
            </w:r>
            <w:r w:rsidR="00550615" w:rsidRPr="00550615">
              <w:rPr>
                <w:rFonts w:ascii="Times New Roman" w:hAnsi="Times New Roman"/>
                <w:noProof/>
                <w:webHidden/>
              </w:rPr>
              <w:fldChar w:fldCharType="end"/>
            </w:r>
          </w:hyperlink>
        </w:p>
        <w:p w:rsidR="00550615" w:rsidRDefault="006E14D2">
          <w:pPr>
            <w:pStyle w:val="Obsah1"/>
            <w:tabs>
              <w:tab w:val="right" w:leader="dot" w:pos="9016"/>
            </w:tabs>
            <w:rPr>
              <w:rFonts w:asciiTheme="minorHAnsi" w:eastAsiaTheme="minorEastAsia" w:hAnsiTheme="minorHAnsi" w:cstheme="minorBidi"/>
              <w:noProof/>
              <w:lang w:bidi="ar-SA"/>
            </w:rPr>
          </w:pPr>
          <w:hyperlink w:anchor="_Toc11236732" w:history="1">
            <w:r w:rsidR="00550615" w:rsidRPr="00550615">
              <w:rPr>
                <w:rStyle w:val="Hypertextovodkaz"/>
                <w:rFonts w:ascii="Times New Roman" w:hAnsi="Times New Roman"/>
                <w:noProof/>
              </w:rPr>
              <w:t>ČLÁNEK I.14 – SPECIFICKÉ ODCHYLKY OD PŘÍLOHY I VŠEOBECNÉ PODMÍNKY</w:t>
            </w:r>
            <w:r w:rsidR="00550615" w:rsidRPr="00550615">
              <w:rPr>
                <w:rFonts w:ascii="Times New Roman" w:hAnsi="Times New Roman"/>
                <w:noProof/>
                <w:webHidden/>
              </w:rPr>
              <w:tab/>
            </w:r>
            <w:r w:rsidR="00550615" w:rsidRPr="00550615">
              <w:rPr>
                <w:rFonts w:ascii="Times New Roman" w:hAnsi="Times New Roman"/>
                <w:noProof/>
                <w:webHidden/>
              </w:rPr>
              <w:fldChar w:fldCharType="begin"/>
            </w:r>
            <w:r w:rsidR="00550615" w:rsidRPr="00550615">
              <w:rPr>
                <w:rFonts w:ascii="Times New Roman" w:hAnsi="Times New Roman"/>
                <w:noProof/>
                <w:webHidden/>
              </w:rPr>
              <w:instrText xml:space="preserve"> PAGEREF _Toc11236732 \h </w:instrText>
            </w:r>
            <w:r w:rsidR="00550615" w:rsidRPr="00550615">
              <w:rPr>
                <w:rFonts w:ascii="Times New Roman" w:hAnsi="Times New Roman"/>
                <w:noProof/>
                <w:webHidden/>
              </w:rPr>
            </w:r>
            <w:r w:rsidR="00550615" w:rsidRPr="00550615">
              <w:rPr>
                <w:rFonts w:ascii="Times New Roman" w:hAnsi="Times New Roman"/>
                <w:noProof/>
                <w:webHidden/>
              </w:rPr>
              <w:fldChar w:fldCharType="separate"/>
            </w:r>
            <w:r w:rsidR="001B6D95">
              <w:rPr>
                <w:rFonts w:ascii="Times New Roman" w:hAnsi="Times New Roman"/>
                <w:noProof/>
                <w:webHidden/>
              </w:rPr>
              <w:t>10</w:t>
            </w:r>
            <w:r w:rsidR="00550615" w:rsidRPr="00550615">
              <w:rPr>
                <w:rFonts w:ascii="Times New Roman" w:hAnsi="Times New Roman"/>
                <w:noProof/>
                <w:webHidden/>
              </w:rPr>
              <w:fldChar w:fldCharType="end"/>
            </w:r>
          </w:hyperlink>
        </w:p>
        <w:p w:rsidR="00550615" w:rsidRDefault="00550615">
          <w:r>
            <w:rPr>
              <w:b/>
              <w:bCs/>
            </w:rPr>
            <w:fldChar w:fldCharType="end"/>
          </w:r>
        </w:p>
      </w:sdtContent>
    </w:sdt>
    <w:p w:rsidR="00054FDD" w:rsidRPr="00FA12B5" w:rsidRDefault="00054FDD" w:rsidP="00104F36">
      <w:pPr>
        <w:rPr>
          <w:rFonts w:ascii="Times New Roman" w:hAnsi="Times New Roman"/>
        </w:rPr>
      </w:pPr>
    </w:p>
    <w:p w:rsidR="00054FDD" w:rsidRPr="00FA12B5" w:rsidRDefault="00054FDD" w:rsidP="00104F36">
      <w:pPr>
        <w:rPr>
          <w:rFonts w:ascii="Times New Roman" w:hAnsi="Times New Roman"/>
        </w:rPr>
        <w:sectPr w:rsidR="00054FDD" w:rsidRPr="00FA12B5" w:rsidSect="000D1F1D">
          <w:footerReference w:type="default" r:id="rId11"/>
          <w:pgSz w:w="11906" w:h="16838"/>
          <w:pgMar w:top="1440" w:right="1440" w:bottom="1440" w:left="1440" w:header="708" w:footer="708" w:gutter="0"/>
          <w:cols w:space="708"/>
          <w:docGrid w:linePitch="360"/>
        </w:sectPr>
      </w:pPr>
    </w:p>
    <w:p w:rsidR="00054FDD" w:rsidRDefault="00054FDD" w:rsidP="007F387D">
      <w:pPr>
        <w:pStyle w:val="Nadpis1"/>
        <w:spacing w:before="0"/>
        <w:rPr>
          <w:rFonts w:cs="Times New Roman"/>
        </w:rPr>
      </w:pPr>
      <w:bookmarkStart w:id="0" w:name="_Toc11236701"/>
      <w:r>
        <w:lastRenderedPageBreak/>
        <w:t>ČLÁNEK I.1 – PŘEDMĚT DOHODY</w:t>
      </w:r>
      <w:bookmarkEnd w:id="0"/>
      <w:r>
        <w:t xml:space="preserve"> </w:t>
      </w:r>
    </w:p>
    <w:p w:rsidR="00054FDD" w:rsidRPr="007F387D" w:rsidRDefault="00054FDD" w:rsidP="007F387D">
      <w:pPr>
        <w:spacing w:after="0"/>
      </w:pPr>
    </w:p>
    <w:p w:rsidR="00054FDD" w:rsidRPr="00FA12B5" w:rsidRDefault="00054FDD" w:rsidP="00924083">
      <w:pPr>
        <w:suppressAutoHyphens w:val="0"/>
        <w:spacing w:after="0" w:line="240" w:lineRule="auto"/>
        <w:ind w:left="567" w:hanging="567"/>
        <w:jc w:val="both"/>
        <w:rPr>
          <w:rFonts w:ascii="Times New Roman" w:eastAsia="Times New Roman" w:hAnsi="Times New Roman"/>
          <w:snapToGrid w:val="0"/>
          <w:sz w:val="24"/>
          <w:szCs w:val="24"/>
        </w:rPr>
      </w:pPr>
      <w:r>
        <w:rPr>
          <w:rFonts w:ascii="Times New Roman" w:hAnsi="Times New Roman"/>
          <w:b/>
          <w:snapToGrid w:val="0"/>
          <w:sz w:val="24"/>
        </w:rPr>
        <w:t>I.1.1</w:t>
      </w:r>
      <w:r>
        <w:tab/>
      </w:r>
      <w:r>
        <w:rPr>
          <w:rFonts w:ascii="Times New Roman" w:hAnsi="Times New Roman"/>
          <w:snapToGrid w:val="0"/>
          <w:sz w:val="24"/>
        </w:rPr>
        <w:t xml:space="preserve">Agentura se rozhodla udělit v souladu s podmínkami uvedenými ve zvláštních a všeobecných podmínkách, jakož i ostatních přílohách této dohody grant na projekt </w:t>
      </w:r>
      <w:r w:rsidRPr="00260B18">
        <w:rPr>
          <w:rFonts w:ascii="Times New Roman" w:eastAsia="Times New Roman" w:hAnsi="Times New Roman"/>
          <w:b/>
          <w:noProof/>
          <w:snapToGrid w:val="0"/>
          <w:sz w:val="24"/>
          <w:szCs w:val="24"/>
        </w:rPr>
        <w:t>Královéhradecký kraj - dva roky vzdělávání</w:t>
      </w:r>
      <w:r>
        <w:rPr>
          <w:rFonts w:ascii="Times New Roman" w:hAnsi="Times New Roman"/>
          <w:snapToGrid w:val="0"/>
          <w:sz w:val="24"/>
        </w:rPr>
        <w:t xml:space="preserve"> (dále jen „projekt“) v rámci programu Erasmus+ </w:t>
      </w:r>
      <w:r w:rsidRPr="00260B18">
        <w:rPr>
          <w:rFonts w:ascii="Times New Roman" w:hAnsi="Times New Roman"/>
          <w:snapToGrid w:val="0"/>
          <w:sz w:val="24"/>
        </w:rPr>
        <w:t>klíčová akce 1 Vzdělávací mobilita jednotlivců</w:t>
      </w:r>
      <w:r>
        <w:rPr>
          <w:rFonts w:ascii="Times New Roman" w:hAnsi="Times New Roman"/>
          <w:snapToGrid w:val="0"/>
          <w:sz w:val="24"/>
        </w:rPr>
        <w:t xml:space="preserve">, jak je popsáno v příloze II. </w:t>
      </w:r>
    </w:p>
    <w:p w:rsidR="00054FDD" w:rsidRPr="00FA12B5" w:rsidRDefault="00054FDD" w:rsidP="00924083">
      <w:pPr>
        <w:suppressAutoHyphens w:val="0"/>
        <w:spacing w:after="0" w:line="240" w:lineRule="auto"/>
        <w:ind w:left="567" w:hanging="567"/>
        <w:jc w:val="both"/>
        <w:rPr>
          <w:rFonts w:ascii="Times New Roman" w:eastAsia="Times New Roman" w:hAnsi="Times New Roman"/>
          <w:snapToGrid w:val="0"/>
          <w:sz w:val="24"/>
          <w:szCs w:val="24"/>
        </w:rPr>
      </w:pPr>
    </w:p>
    <w:p w:rsidR="00054FDD" w:rsidRPr="00FA12B5" w:rsidRDefault="00054FDD" w:rsidP="00924083">
      <w:pPr>
        <w:suppressAutoHyphens w:val="0"/>
        <w:spacing w:after="0" w:line="240" w:lineRule="auto"/>
        <w:ind w:left="567" w:hanging="567"/>
        <w:jc w:val="both"/>
        <w:rPr>
          <w:rFonts w:ascii="Times New Roman" w:eastAsia="Times New Roman" w:hAnsi="Times New Roman"/>
          <w:snapToGrid w:val="0"/>
          <w:sz w:val="24"/>
          <w:szCs w:val="24"/>
        </w:rPr>
      </w:pPr>
      <w:r>
        <w:rPr>
          <w:rFonts w:ascii="Times New Roman" w:hAnsi="Times New Roman"/>
          <w:b/>
          <w:snapToGrid w:val="0"/>
          <w:sz w:val="24"/>
        </w:rPr>
        <w:t>I.1.2</w:t>
      </w:r>
      <w:r>
        <w:tab/>
      </w:r>
      <w:r>
        <w:rPr>
          <w:rFonts w:ascii="Times New Roman" w:hAnsi="Times New Roman"/>
          <w:snapToGrid w:val="0"/>
          <w:sz w:val="24"/>
        </w:rPr>
        <w:t xml:space="preserve">Podpisem této dohody přijímají příjemci grant a souhlasí, že projekt na svou odpovědnost provedou. </w:t>
      </w:r>
    </w:p>
    <w:p w:rsidR="00054FDD" w:rsidRPr="00FA12B5" w:rsidRDefault="00054FDD" w:rsidP="005A2493">
      <w:pPr>
        <w:suppressAutoHyphens w:val="0"/>
        <w:spacing w:after="0" w:line="240" w:lineRule="auto"/>
        <w:jc w:val="both"/>
        <w:rPr>
          <w:rFonts w:ascii="Times New Roman" w:eastAsia="Times New Roman" w:hAnsi="Times New Roman"/>
          <w:snapToGrid w:val="0"/>
          <w:sz w:val="24"/>
          <w:szCs w:val="24"/>
        </w:rPr>
      </w:pPr>
      <w:r>
        <w:rPr>
          <w:rFonts w:ascii="Times New Roman" w:hAnsi="Times New Roman"/>
          <w:snapToGrid w:val="0"/>
          <w:sz w:val="24"/>
          <w:highlight w:val="lightGray"/>
        </w:rPr>
        <w:t xml:space="preserve"> </w:t>
      </w:r>
    </w:p>
    <w:p w:rsidR="00054FDD" w:rsidRPr="00FA12B5" w:rsidRDefault="00054FDD" w:rsidP="002E0B52">
      <w:pPr>
        <w:suppressAutoHyphens w:val="0"/>
        <w:spacing w:after="0" w:line="240" w:lineRule="auto"/>
        <w:ind w:left="567" w:hanging="567"/>
        <w:jc w:val="both"/>
        <w:rPr>
          <w:rFonts w:ascii="Times New Roman" w:eastAsia="Times New Roman" w:hAnsi="Times New Roman"/>
          <w:snapToGrid w:val="0"/>
          <w:sz w:val="24"/>
          <w:szCs w:val="24"/>
        </w:rPr>
      </w:pPr>
    </w:p>
    <w:p w:rsidR="00054FDD" w:rsidRDefault="00054FDD" w:rsidP="007F387D">
      <w:pPr>
        <w:pStyle w:val="Nadpis1"/>
        <w:spacing w:before="0"/>
        <w:rPr>
          <w:rFonts w:cs="Times New Roman"/>
        </w:rPr>
      </w:pPr>
      <w:bookmarkStart w:id="1" w:name="_Toc11236702"/>
      <w:r>
        <w:t>ČLÁNEK I.2 – NABYTÍ ÚČINNOSTI A OBDOBÍ PLNĚNÍ DOHODY</w:t>
      </w:r>
      <w:bookmarkEnd w:id="1"/>
    </w:p>
    <w:p w:rsidR="00054FDD" w:rsidRPr="007F387D" w:rsidRDefault="00054FDD" w:rsidP="007F387D">
      <w:pPr>
        <w:spacing w:after="0"/>
      </w:pPr>
    </w:p>
    <w:p w:rsidR="00054FDD" w:rsidRPr="00FA12B5" w:rsidRDefault="00054FDD">
      <w:pPr>
        <w:spacing w:after="0" w:line="240" w:lineRule="auto"/>
        <w:ind w:left="720" w:hanging="720"/>
        <w:jc w:val="both"/>
        <w:rPr>
          <w:rFonts w:ascii="Times New Roman" w:hAnsi="Times New Roman"/>
          <w:sz w:val="24"/>
          <w:szCs w:val="24"/>
        </w:rPr>
      </w:pPr>
      <w:r>
        <w:rPr>
          <w:rFonts w:ascii="Times New Roman" w:hAnsi="Times New Roman"/>
          <w:b/>
          <w:sz w:val="24"/>
        </w:rPr>
        <w:t>I.2.1</w:t>
      </w:r>
      <w:r>
        <w:tab/>
      </w:r>
      <w:r>
        <w:rPr>
          <w:rFonts w:ascii="Times New Roman" w:hAnsi="Times New Roman"/>
          <w:sz w:val="24"/>
        </w:rPr>
        <w:t>Dohoda nabývá účinnosti dnem, kdy ji podepíše poslední smluvní strana.</w:t>
      </w:r>
    </w:p>
    <w:p w:rsidR="00054FDD" w:rsidRPr="00FA12B5" w:rsidRDefault="00054FDD">
      <w:pPr>
        <w:spacing w:after="0" w:line="240" w:lineRule="auto"/>
        <w:ind w:left="720" w:hanging="720"/>
        <w:jc w:val="both"/>
        <w:rPr>
          <w:rFonts w:ascii="Times New Roman" w:hAnsi="Times New Roman"/>
          <w:sz w:val="24"/>
          <w:szCs w:val="24"/>
        </w:rPr>
      </w:pPr>
    </w:p>
    <w:p w:rsidR="00054FDD" w:rsidRPr="00FA12B5" w:rsidRDefault="00054FDD" w:rsidP="004771CF">
      <w:pPr>
        <w:spacing w:after="0" w:line="240" w:lineRule="auto"/>
        <w:ind w:left="720" w:hanging="720"/>
        <w:jc w:val="both"/>
        <w:rPr>
          <w:rFonts w:ascii="Times New Roman" w:hAnsi="Times New Roman"/>
          <w:sz w:val="24"/>
          <w:szCs w:val="24"/>
        </w:rPr>
      </w:pPr>
      <w:r>
        <w:rPr>
          <w:rFonts w:ascii="Times New Roman" w:hAnsi="Times New Roman"/>
          <w:b/>
          <w:sz w:val="24"/>
        </w:rPr>
        <w:t>I.2.2</w:t>
      </w:r>
      <w:r>
        <w:tab/>
      </w:r>
      <w:r w:rsidRPr="00260B18">
        <w:rPr>
          <w:rFonts w:ascii="Times New Roman" w:hAnsi="Times New Roman"/>
          <w:sz w:val="24"/>
        </w:rPr>
        <w:t xml:space="preserve">Projekt trvá po dobu </w:t>
      </w:r>
      <w:r w:rsidRPr="00260B18">
        <w:rPr>
          <w:rFonts w:ascii="Times New Roman" w:hAnsi="Times New Roman"/>
          <w:b/>
          <w:noProof/>
          <w:sz w:val="24"/>
        </w:rPr>
        <w:t>24</w:t>
      </w:r>
      <w:r w:rsidRPr="00260B18">
        <w:rPr>
          <w:rFonts w:ascii="Times New Roman" w:hAnsi="Times New Roman"/>
          <w:b/>
          <w:sz w:val="24"/>
        </w:rPr>
        <w:t xml:space="preserve"> měsíců</w:t>
      </w:r>
      <w:r w:rsidRPr="00260B18">
        <w:rPr>
          <w:rFonts w:ascii="Times New Roman" w:hAnsi="Times New Roman"/>
          <w:sz w:val="24"/>
        </w:rPr>
        <w:t xml:space="preserve"> od </w:t>
      </w:r>
      <w:r w:rsidRPr="00260B18">
        <w:rPr>
          <w:rFonts w:ascii="Times New Roman" w:eastAsia="Times New Roman" w:hAnsi="Times New Roman"/>
          <w:b/>
          <w:noProof/>
          <w:sz w:val="24"/>
          <w:szCs w:val="24"/>
        </w:rPr>
        <w:t>01.06.2019</w:t>
      </w:r>
      <w:r w:rsidRPr="00260B18">
        <w:rPr>
          <w:rFonts w:ascii="Times New Roman" w:hAnsi="Times New Roman"/>
          <w:sz w:val="24"/>
        </w:rPr>
        <w:t xml:space="preserve"> do </w:t>
      </w:r>
      <w:r w:rsidRPr="00260B18">
        <w:rPr>
          <w:rFonts w:ascii="Times New Roman" w:eastAsia="Times New Roman" w:hAnsi="Times New Roman"/>
          <w:b/>
          <w:noProof/>
          <w:sz w:val="24"/>
          <w:szCs w:val="24"/>
        </w:rPr>
        <w:t>31.05.2021</w:t>
      </w:r>
      <w:r w:rsidRPr="00260B18">
        <w:rPr>
          <w:rFonts w:ascii="Times New Roman" w:hAnsi="Times New Roman"/>
          <w:sz w:val="24"/>
          <w:szCs w:val="24"/>
        </w:rPr>
        <w:t>.</w:t>
      </w:r>
      <w:r>
        <w:rPr>
          <w:rFonts w:ascii="Times New Roman" w:hAnsi="Times New Roman"/>
          <w:sz w:val="24"/>
        </w:rPr>
        <w:t xml:space="preserve">  </w:t>
      </w:r>
    </w:p>
    <w:p w:rsidR="00054FDD" w:rsidRPr="00FA12B5" w:rsidRDefault="00054FDD" w:rsidP="000170DD">
      <w:pPr>
        <w:pStyle w:val="Nadpis1"/>
        <w:rPr>
          <w:rFonts w:cs="Times New Roman"/>
        </w:rPr>
      </w:pPr>
      <w:bookmarkStart w:id="2" w:name="_Toc11236703"/>
      <w:r>
        <w:t>ČLÁNEK I.3 — MAXIMÁLNÍ VÝŠE GRANTU A JEHO FORMA</w:t>
      </w:r>
      <w:bookmarkEnd w:id="2"/>
      <w:r>
        <w:t xml:space="preserve"> </w:t>
      </w:r>
      <w:r>
        <w:tab/>
      </w:r>
    </w:p>
    <w:p w:rsidR="00054FDD" w:rsidRPr="00FA12B5" w:rsidRDefault="00054FDD">
      <w:pPr>
        <w:spacing w:after="0" w:line="240" w:lineRule="auto"/>
        <w:jc w:val="both"/>
        <w:rPr>
          <w:rFonts w:ascii="Times New Roman" w:hAnsi="Times New Roman"/>
          <w:sz w:val="24"/>
          <w:szCs w:val="24"/>
        </w:rPr>
      </w:pPr>
    </w:p>
    <w:p w:rsidR="00054FDD" w:rsidRPr="00FA12B5" w:rsidRDefault="00054FDD" w:rsidP="007F387D">
      <w:pPr>
        <w:pStyle w:val="Odstavecseseznamem"/>
        <w:tabs>
          <w:tab w:val="left" w:pos="567"/>
        </w:tabs>
        <w:spacing w:after="0" w:line="360" w:lineRule="auto"/>
        <w:ind w:left="567" w:hanging="567"/>
        <w:jc w:val="both"/>
        <w:rPr>
          <w:rFonts w:ascii="Times New Roman" w:hAnsi="Times New Roman"/>
          <w:b/>
          <w:sz w:val="24"/>
          <w:szCs w:val="24"/>
        </w:rPr>
      </w:pPr>
      <w:r>
        <w:rPr>
          <w:rFonts w:ascii="Times New Roman" w:hAnsi="Times New Roman"/>
          <w:b/>
          <w:sz w:val="24"/>
        </w:rPr>
        <w:t xml:space="preserve">I.3.1 </w:t>
      </w:r>
      <w:r>
        <w:tab/>
      </w:r>
      <w:r>
        <w:rPr>
          <w:rFonts w:ascii="Times New Roman" w:hAnsi="Times New Roman"/>
          <w:b/>
          <w:sz w:val="24"/>
        </w:rPr>
        <w:t xml:space="preserve">Maximální výše grantu </w:t>
      </w:r>
      <w:r w:rsidRPr="00260B18">
        <w:rPr>
          <w:rFonts w:ascii="Times New Roman" w:hAnsi="Times New Roman"/>
          <w:b/>
          <w:sz w:val="24"/>
        </w:rPr>
        <w:t>činí</w:t>
      </w:r>
      <w:r w:rsidRPr="00260B18">
        <w:rPr>
          <w:rFonts w:ascii="Times New Roman" w:hAnsi="Times New Roman"/>
          <w:sz w:val="24"/>
        </w:rPr>
        <w:t xml:space="preserve"> </w:t>
      </w:r>
      <w:r w:rsidRPr="00260B18">
        <w:rPr>
          <w:rFonts w:ascii="Times New Roman" w:eastAsia="Times New Roman" w:hAnsi="Times New Roman"/>
          <w:b/>
          <w:noProof/>
          <w:sz w:val="24"/>
          <w:szCs w:val="24"/>
        </w:rPr>
        <w:t>50934,00</w:t>
      </w:r>
      <w:r w:rsidRPr="00260B18">
        <w:rPr>
          <w:rFonts w:ascii="Times New Roman" w:hAnsi="Times New Roman"/>
          <w:sz w:val="24"/>
        </w:rPr>
        <w:t xml:space="preserve"> </w:t>
      </w:r>
      <w:r w:rsidRPr="00260B18">
        <w:rPr>
          <w:rFonts w:ascii="Times New Roman" w:hAnsi="Times New Roman"/>
          <w:b/>
          <w:sz w:val="24"/>
        </w:rPr>
        <w:t>EUR</w:t>
      </w:r>
      <w:r w:rsidRPr="00260B18">
        <w:rPr>
          <w:rFonts w:ascii="Times New Roman" w:hAnsi="Times New Roman"/>
          <w:sz w:val="24"/>
        </w:rPr>
        <w:t>.</w:t>
      </w:r>
    </w:p>
    <w:p w:rsidR="00054FDD" w:rsidRPr="00BC6496" w:rsidRDefault="00054FDD" w:rsidP="00BC6496">
      <w:pPr>
        <w:tabs>
          <w:tab w:val="left" w:pos="851"/>
        </w:tabs>
        <w:spacing w:after="0"/>
        <w:jc w:val="both"/>
        <w:rPr>
          <w:rFonts w:ascii="Times New Roman" w:hAnsi="Times New Roman"/>
          <w:sz w:val="24"/>
          <w:szCs w:val="24"/>
        </w:rPr>
      </w:pPr>
      <w:r w:rsidRPr="00090DDC">
        <w:rPr>
          <w:rFonts w:ascii="Times New Roman" w:hAnsi="Times New Roman"/>
          <w:b/>
          <w:sz w:val="24"/>
          <w:szCs w:val="24"/>
        </w:rPr>
        <w:t>I.3.2</w:t>
      </w:r>
      <w:r>
        <w:t xml:space="preserve"> </w:t>
      </w:r>
      <w:r w:rsidRPr="00BC6496">
        <w:rPr>
          <w:rFonts w:ascii="Times New Roman" w:hAnsi="Times New Roman"/>
          <w:sz w:val="24"/>
          <w:szCs w:val="24"/>
        </w:rPr>
        <w:t>V souladu s odhadem rozpočtu uvedeným v příloze II a se způsobilými náklady a finančními pravidly uvedenými v příloze III má grant formu:</w:t>
      </w:r>
    </w:p>
    <w:p w:rsidR="00054FDD" w:rsidRPr="00BC6496" w:rsidRDefault="00054FDD" w:rsidP="00BC6496">
      <w:pPr>
        <w:tabs>
          <w:tab w:val="left" w:pos="851"/>
        </w:tabs>
        <w:spacing w:after="0"/>
        <w:jc w:val="both"/>
        <w:rPr>
          <w:rFonts w:ascii="Times New Roman" w:hAnsi="Times New Roman"/>
          <w:sz w:val="24"/>
          <w:szCs w:val="24"/>
        </w:rPr>
      </w:pPr>
    </w:p>
    <w:p w:rsidR="00054FDD" w:rsidRPr="00BC6496" w:rsidRDefault="00054FDD" w:rsidP="00BC6496">
      <w:pPr>
        <w:tabs>
          <w:tab w:val="left" w:pos="851"/>
        </w:tabs>
        <w:spacing w:after="0"/>
        <w:jc w:val="both"/>
        <w:rPr>
          <w:rFonts w:ascii="Times New Roman" w:hAnsi="Times New Roman"/>
          <w:sz w:val="24"/>
          <w:szCs w:val="24"/>
        </w:rPr>
      </w:pPr>
      <w:r w:rsidRPr="00BC6496">
        <w:rPr>
          <w:rFonts w:ascii="Times New Roman" w:hAnsi="Times New Roman"/>
          <w:sz w:val="24"/>
          <w:szCs w:val="24"/>
        </w:rPr>
        <w:t xml:space="preserve">a)  proplacení způsobilých nákladů na </w:t>
      </w:r>
      <w:r w:rsidRPr="00BC6496">
        <w:rPr>
          <w:rFonts w:ascii="Times New Roman" w:hAnsi="Times New Roman"/>
          <w:sz w:val="24"/>
        </w:rPr>
        <w:t>akci</w:t>
      </w:r>
      <w:r w:rsidRPr="00BC6496">
        <w:rPr>
          <w:rFonts w:ascii="Times New Roman" w:hAnsi="Times New Roman"/>
          <w:sz w:val="24"/>
          <w:szCs w:val="24"/>
        </w:rPr>
        <w:t xml:space="preserve"> („proplacení způsobilých nákladů“), které:</w:t>
      </w:r>
    </w:p>
    <w:p w:rsidR="00054FDD" w:rsidRPr="00BC6496" w:rsidRDefault="00054FDD" w:rsidP="00BC6496">
      <w:pPr>
        <w:tabs>
          <w:tab w:val="left" w:pos="851"/>
        </w:tabs>
        <w:spacing w:after="0"/>
        <w:jc w:val="both"/>
        <w:rPr>
          <w:rFonts w:ascii="Times New Roman" w:hAnsi="Times New Roman"/>
          <w:sz w:val="24"/>
          <w:szCs w:val="24"/>
        </w:rPr>
      </w:pPr>
    </w:p>
    <w:p w:rsidR="00054FDD" w:rsidRPr="00BC6496" w:rsidRDefault="00054FDD" w:rsidP="00BC6496">
      <w:pPr>
        <w:tabs>
          <w:tab w:val="left" w:pos="851"/>
          <w:tab w:val="left" w:pos="1843"/>
          <w:tab w:val="left" w:pos="1985"/>
        </w:tabs>
        <w:spacing w:after="0"/>
        <w:jc w:val="both"/>
        <w:rPr>
          <w:rFonts w:ascii="Times New Roman" w:hAnsi="Times New Roman"/>
          <w:sz w:val="24"/>
          <w:szCs w:val="24"/>
        </w:rPr>
      </w:pPr>
      <w:r w:rsidRPr="00BC6496">
        <w:rPr>
          <w:rFonts w:ascii="Times New Roman" w:hAnsi="Times New Roman"/>
          <w:sz w:val="24"/>
          <w:szCs w:val="24"/>
        </w:rPr>
        <w:t xml:space="preserve">                  i)</w:t>
      </w:r>
      <w:r w:rsidRPr="00BC6496">
        <w:rPr>
          <w:rFonts w:ascii="Times New Roman" w:hAnsi="Times New Roman"/>
          <w:sz w:val="24"/>
          <w:szCs w:val="24"/>
        </w:rPr>
        <w:tab/>
        <w:t xml:space="preserve">byly </w:t>
      </w:r>
      <w:r w:rsidRPr="00BC6496">
        <w:rPr>
          <w:rFonts w:ascii="Times New Roman" w:hAnsi="Times New Roman"/>
          <w:sz w:val="24"/>
        </w:rPr>
        <w:t>skutečně vynaloženy;</w:t>
      </w:r>
    </w:p>
    <w:p w:rsidR="00054FDD" w:rsidRPr="00BC6496" w:rsidRDefault="00054FDD" w:rsidP="00BC6496">
      <w:pPr>
        <w:tabs>
          <w:tab w:val="left" w:pos="851"/>
          <w:tab w:val="left" w:pos="1843"/>
          <w:tab w:val="left" w:pos="1985"/>
        </w:tabs>
        <w:spacing w:after="0"/>
        <w:jc w:val="both"/>
        <w:rPr>
          <w:rFonts w:ascii="Times New Roman" w:hAnsi="Times New Roman"/>
          <w:sz w:val="24"/>
          <w:szCs w:val="24"/>
        </w:rPr>
      </w:pPr>
      <w:r w:rsidRPr="00BC6496">
        <w:rPr>
          <w:rFonts w:ascii="Times New Roman" w:hAnsi="Times New Roman"/>
          <w:sz w:val="24"/>
          <w:szCs w:val="24"/>
        </w:rPr>
        <w:t xml:space="preserve">                  </w:t>
      </w:r>
      <w:proofErr w:type="spellStart"/>
      <w:r w:rsidRPr="00BC6496">
        <w:rPr>
          <w:rFonts w:ascii="Times New Roman" w:hAnsi="Times New Roman"/>
          <w:sz w:val="24"/>
          <w:szCs w:val="24"/>
        </w:rPr>
        <w:t>ii</w:t>
      </w:r>
      <w:proofErr w:type="spellEnd"/>
      <w:r w:rsidRPr="00BC6496">
        <w:rPr>
          <w:rFonts w:ascii="Times New Roman" w:hAnsi="Times New Roman"/>
          <w:sz w:val="24"/>
          <w:szCs w:val="24"/>
        </w:rPr>
        <w:t>)</w:t>
      </w:r>
      <w:r w:rsidRPr="00BC6496">
        <w:rPr>
          <w:rFonts w:ascii="Times New Roman" w:hAnsi="Times New Roman"/>
          <w:sz w:val="24"/>
          <w:szCs w:val="24"/>
        </w:rPr>
        <w:tab/>
        <w:t xml:space="preserve">byly vykázány na základě jednotkových nákladů; </w:t>
      </w:r>
    </w:p>
    <w:p w:rsidR="00054FDD" w:rsidRPr="00BC6496" w:rsidRDefault="00054FDD" w:rsidP="00BC6496">
      <w:pPr>
        <w:tabs>
          <w:tab w:val="left" w:pos="851"/>
          <w:tab w:val="left" w:pos="1843"/>
          <w:tab w:val="left" w:pos="1985"/>
        </w:tabs>
        <w:spacing w:after="0"/>
        <w:ind w:left="1843" w:hanging="1843"/>
        <w:jc w:val="both"/>
        <w:rPr>
          <w:rFonts w:ascii="Times New Roman" w:hAnsi="Times New Roman"/>
          <w:sz w:val="24"/>
          <w:szCs w:val="24"/>
        </w:rPr>
      </w:pPr>
      <w:r w:rsidRPr="00BC6496">
        <w:rPr>
          <w:rFonts w:ascii="Times New Roman" w:hAnsi="Times New Roman"/>
          <w:sz w:val="24"/>
          <w:szCs w:val="24"/>
        </w:rPr>
        <w:t xml:space="preserve">                  </w:t>
      </w:r>
      <w:proofErr w:type="spellStart"/>
      <w:r w:rsidRPr="00BC6496">
        <w:rPr>
          <w:rFonts w:ascii="Times New Roman" w:hAnsi="Times New Roman"/>
          <w:sz w:val="24"/>
          <w:szCs w:val="24"/>
        </w:rPr>
        <w:t>iii</w:t>
      </w:r>
      <w:proofErr w:type="spellEnd"/>
      <w:r w:rsidRPr="00BC6496">
        <w:rPr>
          <w:rFonts w:ascii="Times New Roman" w:hAnsi="Times New Roman"/>
          <w:sz w:val="24"/>
          <w:szCs w:val="24"/>
        </w:rPr>
        <w:t>)</w:t>
      </w:r>
      <w:r w:rsidRPr="00BC6496">
        <w:rPr>
          <w:rFonts w:ascii="Times New Roman" w:hAnsi="Times New Roman"/>
          <w:sz w:val="24"/>
          <w:szCs w:val="24"/>
        </w:rPr>
        <w:tab/>
        <w:t>proplacení nákladů vykázaných na základě jednorázové částky: nevztahuje se;</w:t>
      </w:r>
    </w:p>
    <w:p w:rsidR="00054FDD" w:rsidRPr="00BC6496" w:rsidRDefault="00054FDD" w:rsidP="00BC6496">
      <w:pPr>
        <w:tabs>
          <w:tab w:val="left" w:pos="851"/>
          <w:tab w:val="left" w:pos="1843"/>
          <w:tab w:val="left" w:pos="1985"/>
        </w:tabs>
        <w:spacing w:after="0"/>
        <w:jc w:val="both"/>
        <w:rPr>
          <w:rFonts w:ascii="Times New Roman" w:hAnsi="Times New Roman"/>
          <w:sz w:val="24"/>
          <w:szCs w:val="24"/>
        </w:rPr>
      </w:pPr>
      <w:r w:rsidRPr="00BC6496">
        <w:rPr>
          <w:rFonts w:ascii="Times New Roman" w:hAnsi="Times New Roman"/>
          <w:sz w:val="24"/>
          <w:szCs w:val="24"/>
        </w:rPr>
        <w:t xml:space="preserve">                   </w:t>
      </w:r>
      <w:proofErr w:type="spellStart"/>
      <w:r w:rsidRPr="00BC6496">
        <w:rPr>
          <w:rFonts w:ascii="Times New Roman" w:hAnsi="Times New Roman"/>
          <w:sz w:val="24"/>
          <w:szCs w:val="24"/>
        </w:rPr>
        <w:t>iv</w:t>
      </w:r>
      <w:proofErr w:type="spellEnd"/>
      <w:r w:rsidRPr="00BC6496">
        <w:rPr>
          <w:rFonts w:ascii="Times New Roman" w:hAnsi="Times New Roman"/>
          <w:sz w:val="24"/>
          <w:szCs w:val="24"/>
        </w:rPr>
        <w:t>)</w:t>
      </w:r>
      <w:r w:rsidRPr="00BC6496">
        <w:rPr>
          <w:rFonts w:ascii="Times New Roman" w:hAnsi="Times New Roman"/>
          <w:sz w:val="24"/>
          <w:szCs w:val="24"/>
        </w:rPr>
        <w:tab/>
        <w:t>proplacení nákladů vykázaných na základě paušální částky: nevztahuje se;</w:t>
      </w:r>
    </w:p>
    <w:p w:rsidR="00054FDD" w:rsidRPr="00BC6496" w:rsidRDefault="00054FDD" w:rsidP="00BC6496">
      <w:pPr>
        <w:tabs>
          <w:tab w:val="left" w:pos="851"/>
          <w:tab w:val="left" w:pos="1843"/>
          <w:tab w:val="left" w:pos="1985"/>
        </w:tabs>
        <w:spacing w:after="0"/>
        <w:ind w:left="1843" w:hanging="1843"/>
        <w:jc w:val="both"/>
        <w:rPr>
          <w:rFonts w:ascii="Times New Roman" w:hAnsi="Times New Roman"/>
          <w:sz w:val="24"/>
          <w:szCs w:val="24"/>
        </w:rPr>
      </w:pPr>
      <w:r w:rsidRPr="00BC6496">
        <w:rPr>
          <w:rFonts w:ascii="Times New Roman" w:hAnsi="Times New Roman"/>
          <w:sz w:val="24"/>
          <w:szCs w:val="24"/>
        </w:rPr>
        <w:t xml:space="preserve">                   v)</w:t>
      </w:r>
      <w:r w:rsidRPr="00BC6496">
        <w:rPr>
          <w:rFonts w:ascii="Times New Roman" w:hAnsi="Times New Roman"/>
          <w:sz w:val="24"/>
          <w:szCs w:val="24"/>
        </w:rPr>
        <w:tab/>
        <w:t>proplacení nákladů vykázaných na základě obvyklých postupů partnera pro účtování nákladů: nevztahuje se;</w:t>
      </w:r>
    </w:p>
    <w:p w:rsidR="00054FDD" w:rsidRPr="00BC6496" w:rsidRDefault="00054FDD" w:rsidP="00BC6496">
      <w:pPr>
        <w:tabs>
          <w:tab w:val="left" w:pos="851"/>
          <w:tab w:val="left" w:pos="1560"/>
          <w:tab w:val="left" w:pos="1843"/>
          <w:tab w:val="left" w:pos="1985"/>
        </w:tabs>
        <w:spacing w:after="0"/>
        <w:jc w:val="both"/>
        <w:rPr>
          <w:rFonts w:ascii="Times New Roman" w:hAnsi="Times New Roman"/>
          <w:sz w:val="24"/>
          <w:szCs w:val="24"/>
        </w:rPr>
      </w:pPr>
    </w:p>
    <w:p w:rsidR="00054FDD" w:rsidRPr="00BC6496" w:rsidRDefault="00054FDD" w:rsidP="00BC6496">
      <w:pPr>
        <w:pStyle w:val="Odstavecseseznamem"/>
        <w:numPr>
          <w:ilvl w:val="0"/>
          <w:numId w:val="43"/>
        </w:numPr>
        <w:suppressAutoHyphens w:val="0"/>
        <w:spacing w:after="0" w:line="240" w:lineRule="auto"/>
        <w:ind w:left="142" w:firstLine="0"/>
        <w:contextualSpacing/>
        <w:jc w:val="both"/>
        <w:rPr>
          <w:rFonts w:ascii="Times New Roman" w:hAnsi="Times New Roman"/>
          <w:sz w:val="24"/>
          <w:szCs w:val="24"/>
        </w:rPr>
      </w:pPr>
      <w:r w:rsidRPr="00BC6496">
        <w:rPr>
          <w:rFonts w:ascii="Times New Roman" w:hAnsi="Times New Roman"/>
          <w:sz w:val="24"/>
          <w:szCs w:val="24"/>
        </w:rPr>
        <w:t>jednotkových příspěvků: nevztahuje se;</w:t>
      </w:r>
    </w:p>
    <w:p w:rsidR="00054FDD" w:rsidRPr="00BC6496" w:rsidRDefault="00054FDD" w:rsidP="00BC6496">
      <w:pPr>
        <w:pStyle w:val="Odstavecseseznamem"/>
        <w:numPr>
          <w:ilvl w:val="0"/>
          <w:numId w:val="43"/>
        </w:numPr>
        <w:suppressAutoHyphens w:val="0"/>
        <w:spacing w:after="0" w:line="240" w:lineRule="auto"/>
        <w:ind w:hanging="578"/>
        <w:contextualSpacing/>
        <w:jc w:val="both"/>
        <w:rPr>
          <w:rFonts w:ascii="Times New Roman" w:hAnsi="Times New Roman"/>
          <w:sz w:val="24"/>
          <w:szCs w:val="24"/>
        </w:rPr>
      </w:pPr>
      <w:r w:rsidRPr="00BC6496">
        <w:rPr>
          <w:rFonts w:ascii="Times New Roman" w:hAnsi="Times New Roman"/>
          <w:sz w:val="24"/>
          <w:szCs w:val="24"/>
        </w:rPr>
        <w:t>jednorázových příspěvků: nevztahuje se;</w:t>
      </w:r>
    </w:p>
    <w:p w:rsidR="00054FDD" w:rsidRPr="00BC6496" w:rsidRDefault="00054FDD" w:rsidP="00BC6496">
      <w:pPr>
        <w:pStyle w:val="Odstavecseseznamem"/>
        <w:numPr>
          <w:ilvl w:val="0"/>
          <w:numId w:val="43"/>
        </w:numPr>
        <w:suppressAutoHyphens w:val="0"/>
        <w:spacing w:after="0" w:line="240" w:lineRule="auto"/>
        <w:ind w:left="709" w:hanging="567"/>
        <w:contextualSpacing/>
        <w:jc w:val="both"/>
        <w:rPr>
          <w:rFonts w:ascii="Times New Roman" w:hAnsi="Times New Roman"/>
          <w:sz w:val="24"/>
          <w:szCs w:val="24"/>
        </w:rPr>
      </w:pPr>
      <w:r w:rsidRPr="00BC6496">
        <w:rPr>
          <w:rFonts w:ascii="Times New Roman" w:hAnsi="Times New Roman"/>
          <w:sz w:val="24"/>
          <w:szCs w:val="24"/>
        </w:rPr>
        <w:t>paušálních příspěvků: nevztahuje se;</w:t>
      </w:r>
    </w:p>
    <w:p w:rsidR="00054FDD" w:rsidRPr="00BC6496" w:rsidRDefault="00054FDD" w:rsidP="00BC6496">
      <w:pPr>
        <w:pStyle w:val="Odstavecseseznamem"/>
        <w:spacing w:after="0" w:line="240" w:lineRule="auto"/>
        <w:ind w:left="709" w:hanging="567"/>
        <w:jc w:val="both"/>
        <w:rPr>
          <w:rFonts w:ascii="Times New Roman" w:hAnsi="Times New Roman"/>
          <w:sz w:val="24"/>
          <w:szCs w:val="24"/>
        </w:rPr>
      </w:pPr>
      <w:r w:rsidRPr="00BC6496">
        <w:rPr>
          <w:rFonts w:ascii="Times New Roman" w:hAnsi="Times New Roman"/>
          <w:sz w:val="24"/>
          <w:szCs w:val="24"/>
        </w:rPr>
        <w:t>e)</w:t>
      </w:r>
      <w:r w:rsidRPr="00BC6496">
        <w:rPr>
          <w:rFonts w:ascii="Times New Roman" w:hAnsi="Times New Roman"/>
          <w:sz w:val="24"/>
          <w:szCs w:val="24"/>
        </w:rPr>
        <w:tab/>
        <w:t>financování, které není vázáno na náklady: nevztahuje se.</w:t>
      </w:r>
    </w:p>
    <w:p w:rsidR="00054FDD" w:rsidRPr="00FA12B5" w:rsidRDefault="00054FDD" w:rsidP="00F23A9A">
      <w:pPr>
        <w:spacing w:after="0" w:line="240" w:lineRule="auto"/>
        <w:jc w:val="both"/>
        <w:rPr>
          <w:rFonts w:ascii="Times New Roman" w:eastAsia="Times New Roman" w:hAnsi="Times New Roman"/>
          <w:sz w:val="24"/>
          <w:szCs w:val="24"/>
        </w:rPr>
      </w:pPr>
    </w:p>
    <w:p w:rsidR="00054FDD" w:rsidRPr="00FA12B5" w:rsidRDefault="00054FDD" w:rsidP="007F387D">
      <w:pPr>
        <w:tabs>
          <w:tab w:val="left" w:pos="567"/>
        </w:tabs>
        <w:spacing w:after="0" w:line="240" w:lineRule="auto"/>
        <w:jc w:val="both"/>
        <w:rPr>
          <w:rFonts w:ascii="Times New Roman" w:hAnsi="Times New Roman"/>
          <w:b/>
          <w:sz w:val="24"/>
          <w:szCs w:val="24"/>
        </w:rPr>
      </w:pPr>
      <w:r>
        <w:rPr>
          <w:rFonts w:ascii="Times New Roman" w:hAnsi="Times New Roman"/>
          <w:b/>
          <w:sz w:val="24"/>
        </w:rPr>
        <w:t>I.3.3</w:t>
      </w:r>
      <w:r>
        <w:tab/>
      </w:r>
      <w:r>
        <w:rPr>
          <w:rFonts w:ascii="Times New Roman" w:hAnsi="Times New Roman"/>
          <w:b/>
          <w:sz w:val="24"/>
        </w:rPr>
        <w:t>Převody rozpočtových prostředků bez dodatku</w:t>
      </w:r>
    </w:p>
    <w:p w:rsidR="00054FDD" w:rsidRPr="00FA12B5" w:rsidRDefault="00054FDD" w:rsidP="00A47F3E">
      <w:pPr>
        <w:spacing w:after="0" w:line="240" w:lineRule="auto"/>
        <w:jc w:val="both"/>
        <w:rPr>
          <w:rFonts w:ascii="Times New Roman" w:hAnsi="Times New Roman"/>
          <w:b/>
          <w:sz w:val="24"/>
          <w:szCs w:val="24"/>
        </w:rPr>
      </w:pPr>
    </w:p>
    <w:p w:rsidR="00054FDD" w:rsidRDefault="00054FDD" w:rsidP="00F574FF">
      <w:pPr>
        <w:pStyle w:val="paragraph"/>
        <w:ind w:left="709"/>
        <w:rPr>
          <w:bCs/>
        </w:rPr>
      </w:pPr>
      <w:r>
        <w:t xml:space="preserve">Příjemce smí provádět převody finančních prostředků mezi různými rozpočtovými kategoriemi, které vedou k úpravě souhrnného rozpočtu a souvisejících aktivit popsaných v příloze II, aniž by požádal o změnu dohody podle článku II.13, za podmínky, že:  </w:t>
      </w:r>
    </w:p>
    <w:p w:rsidR="00054FDD" w:rsidRPr="00F65933" w:rsidRDefault="00054FDD" w:rsidP="00195CF2">
      <w:pPr>
        <w:pStyle w:val="paragraph"/>
        <w:numPr>
          <w:ilvl w:val="0"/>
          <w:numId w:val="25"/>
        </w:numPr>
        <w:rPr>
          <w:b/>
        </w:rPr>
      </w:pPr>
      <w:r w:rsidRPr="00392770">
        <w:lastRenderedPageBreak/>
        <w:t>je projekt prováděn v souladu se schválenou projektovou žádostí a celkovými cíli popsanými v příloze II</w:t>
      </w:r>
    </w:p>
    <w:p w:rsidR="00054FDD" w:rsidRDefault="00054FDD" w:rsidP="00F574FF">
      <w:pPr>
        <w:pStyle w:val="paragraph"/>
        <w:ind w:left="720" w:hanging="360"/>
        <w:rPr>
          <w:bCs/>
        </w:rPr>
      </w:pPr>
    </w:p>
    <w:p w:rsidR="00054FDD" w:rsidRDefault="00054FDD" w:rsidP="00195CF2">
      <w:pPr>
        <w:pStyle w:val="paragraph"/>
        <w:numPr>
          <w:ilvl w:val="0"/>
          <w:numId w:val="25"/>
        </w:numPr>
        <w:rPr>
          <w:color w:val="1F497D"/>
        </w:rPr>
      </w:pPr>
      <w:r w:rsidRPr="005A2493">
        <w:t>a jsou dodržena následující pravidla:</w:t>
      </w:r>
    </w:p>
    <w:p w:rsidR="00054FDD" w:rsidRPr="00480642" w:rsidRDefault="00054FDD" w:rsidP="00E30323">
      <w:pPr>
        <w:pStyle w:val="paragraph"/>
        <w:rPr>
          <w:b/>
        </w:rPr>
      </w:pPr>
    </w:p>
    <w:p w:rsidR="00054FDD" w:rsidRPr="00480642" w:rsidRDefault="00054FDD" w:rsidP="00195CF2">
      <w:pPr>
        <w:pStyle w:val="Odstavecseseznamem"/>
        <w:numPr>
          <w:ilvl w:val="0"/>
          <w:numId w:val="24"/>
        </w:numPr>
        <w:ind w:left="426" w:hanging="426"/>
        <w:jc w:val="both"/>
        <w:rPr>
          <w:rFonts w:ascii="Times New Roman" w:hAnsi="Times New Roman"/>
          <w:sz w:val="24"/>
        </w:rPr>
      </w:pPr>
      <w:r>
        <w:rPr>
          <w:rFonts w:ascii="Times New Roman" w:hAnsi="Times New Roman"/>
          <w:sz w:val="24"/>
        </w:rPr>
        <w:t xml:space="preserve">Příjemci smí až 100 % finančních prostředků, které byly vyčleněny na náklady na organizaci mobilit, převést na jiné rozpočtové kategorie. </w:t>
      </w:r>
    </w:p>
    <w:p w:rsidR="00054FDD" w:rsidRPr="00480642" w:rsidRDefault="00054FDD" w:rsidP="00195CF2">
      <w:pPr>
        <w:pStyle w:val="Odstavecseseznamem"/>
        <w:numPr>
          <w:ilvl w:val="0"/>
          <w:numId w:val="24"/>
        </w:numPr>
        <w:ind w:left="426" w:hanging="426"/>
        <w:jc w:val="both"/>
        <w:rPr>
          <w:rFonts w:ascii="Times New Roman" w:hAnsi="Times New Roman"/>
          <w:sz w:val="24"/>
        </w:rPr>
      </w:pPr>
      <w:r>
        <w:rPr>
          <w:rFonts w:ascii="Times New Roman" w:hAnsi="Times New Roman"/>
          <w:sz w:val="24"/>
        </w:rPr>
        <w:t>Příjemci smí až 50 % finančních prostředků, které byly vyčleněny na cestovní náklady, pobytové náklady a kurzovné, převést mezi těmito třemi rozpočtovými kategoriemi.</w:t>
      </w:r>
    </w:p>
    <w:p w:rsidR="00054FDD" w:rsidRPr="000A38C7" w:rsidRDefault="00054FDD" w:rsidP="00195CF2">
      <w:pPr>
        <w:pStyle w:val="Odstavecseseznamem"/>
        <w:numPr>
          <w:ilvl w:val="0"/>
          <w:numId w:val="24"/>
        </w:numPr>
        <w:ind w:left="426" w:hanging="426"/>
        <w:jc w:val="both"/>
        <w:rPr>
          <w:rFonts w:ascii="Times New Roman" w:hAnsi="Times New Roman"/>
          <w:sz w:val="24"/>
        </w:rPr>
      </w:pPr>
      <w:r>
        <w:rPr>
          <w:rFonts w:ascii="Times New Roman" w:hAnsi="Times New Roman"/>
          <w:sz w:val="24"/>
        </w:rPr>
        <w:t xml:space="preserve">Příjemci smí přidělené finanční prostředky převést z kterékoli rozpočtové kategorie na náklady </w:t>
      </w:r>
      <w:proofErr w:type="gramStart"/>
      <w:r>
        <w:rPr>
          <w:rFonts w:ascii="Times New Roman" w:hAnsi="Times New Roman"/>
          <w:sz w:val="24"/>
        </w:rPr>
        <w:t>na  účastníky</w:t>
      </w:r>
      <w:proofErr w:type="gramEnd"/>
      <w:r>
        <w:rPr>
          <w:rFonts w:ascii="Times New Roman" w:hAnsi="Times New Roman"/>
          <w:sz w:val="24"/>
        </w:rPr>
        <w:t xml:space="preserve"> se specifickými potřebami a na mimořádné náklady v souvislosti s finanční zárukou nebo vysokými cestovními náklady, třebaže původně nebyly na tyto kategorie podle přílohy II vyčleněny žádné finanční prostředky.]</w:t>
      </w:r>
    </w:p>
    <w:p w:rsidR="00054FDD" w:rsidRPr="006B3C42" w:rsidRDefault="00054FDD" w:rsidP="006B3C42">
      <w:pPr>
        <w:pStyle w:val="Nadpis1"/>
        <w:keepNext w:val="0"/>
        <w:keepLines w:val="0"/>
        <w:spacing w:before="0" w:after="200"/>
        <w:ind w:left="357" w:hanging="357"/>
        <w:rPr>
          <w:rFonts w:eastAsia="Calibri" w:cs="Times New Roman"/>
          <w:bCs w:val="0"/>
          <w:szCs w:val="24"/>
        </w:rPr>
      </w:pPr>
      <w:bookmarkStart w:id="3" w:name="_Toc11236704"/>
      <w:r>
        <w:t>ČLÁNEK I.4 – PODÁVÁNÍ ZPRÁV A PLATEBNÍ UJEDNÁNÍ</w:t>
      </w:r>
      <w:bookmarkEnd w:id="3"/>
      <w:r>
        <w:t xml:space="preserve"> </w:t>
      </w:r>
    </w:p>
    <w:p w:rsidR="00054FDD" w:rsidRPr="00FA12B5" w:rsidRDefault="00054FDD" w:rsidP="00E3012E">
      <w:pPr>
        <w:spacing w:after="0" w:line="240" w:lineRule="auto"/>
        <w:jc w:val="both"/>
        <w:rPr>
          <w:rFonts w:ascii="Times New Roman" w:hAnsi="Times New Roman"/>
          <w:sz w:val="24"/>
          <w:szCs w:val="24"/>
        </w:rPr>
      </w:pPr>
      <w:r>
        <w:rPr>
          <w:rFonts w:ascii="Times New Roman" w:hAnsi="Times New Roman"/>
          <w:sz w:val="24"/>
        </w:rPr>
        <w:t>Platí následující ustanovení o podávání zpráv a platbách:</w:t>
      </w:r>
    </w:p>
    <w:p w:rsidR="00054FDD" w:rsidRPr="00FA12B5" w:rsidRDefault="00054FDD" w:rsidP="00E3012E">
      <w:pPr>
        <w:spacing w:after="0" w:line="240" w:lineRule="auto"/>
        <w:jc w:val="both"/>
        <w:rPr>
          <w:rFonts w:ascii="Times New Roman" w:hAnsi="Times New Roman"/>
          <w:sz w:val="24"/>
          <w:szCs w:val="24"/>
        </w:rPr>
      </w:pPr>
    </w:p>
    <w:p w:rsidR="00054FDD" w:rsidRPr="00FA12B5" w:rsidRDefault="00054FDD" w:rsidP="00190728">
      <w:pPr>
        <w:pStyle w:val="Nadpis2"/>
      </w:pPr>
      <w:bookmarkStart w:id="4" w:name="_Toc11236705"/>
      <w:r>
        <w:t>I.4.1</w:t>
      </w:r>
      <w:r>
        <w:tab/>
        <w:t>Platby</w:t>
      </w:r>
      <w:bookmarkEnd w:id="4"/>
    </w:p>
    <w:p w:rsidR="00054FDD" w:rsidRPr="00FA12B5" w:rsidRDefault="00054FDD" w:rsidP="001F49B6">
      <w:pPr>
        <w:suppressAutoHyphens w:val="0"/>
        <w:spacing w:before="100" w:beforeAutospacing="1" w:after="0" w:afterAutospacing="1" w:line="240" w:lineRule="auto"/>
        <w:jc w:val="both"/>
        <w:rPr>
          <w:rFonts w:ascii="Times New Roman" w:eastAsia="Times New Roman" w:hAnsi="Times New Roman"/>
          <w:sz w:val="24"/>
          <w:szCs w:val="24"/>
        </w:rPr>
      </w:pPr>
      <w:r>
        <w:rPr>
          <w:rFonts w:ascii="Times New Roman" w:hAnsi="Times New Roman"/>
          <w:sz w:val="24"/>
        </w:rPr>
        <w:t>Agentura musí provést tyto platby ve prospěch koordinátora:</w:t>
      </w:r>
    </w:p>
    <w:p w:rsidR="00054FDD" w:rsidRPr="00FA12B5" w:rsidRDefault="00054FDD"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rPr>
      </w:pPr>
      <w:r>
        <w:rPr>
          <w:rFonts w:ascii="Times New Roman" w:hAnsi="Times New Roman"/>
          <w:sz w:val="24"/>
        </w:rPr>
        <w:t xml:space="preserve">– </w:t>
      </w:r>
      <w:r>
        <w:tab/>
      </w:r>
      <w:r>
        <w:rPr>
          <w:rFonts w:ascii="Times New Roman" w:hAnsi="Times New Roman"/>
          <w:sz w:val="24"/>
        </w:rPr>
        <w:t>první zálohu,</w:t>
      </w:r>
    </w:p>
    <w:p w:rsidR="00054FDD" w:rsidRPr="00FA12B5" w:rsidRDefault="00054FDD"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rPr>
      </w:pPr>
      <w:r>
        <w:rPr>
          <w:rFonts w:ascii="Times New Roman" w:hAnsi="Times New Roman"/>
          <w:sz w:val="24"/>
        </w:rPr>
        <w:t xml:space="preserve">– </w:t>
      </w:r>
      <w:r>
        <w:tab/>
      </w:r>
      <w:r>
        <w:rPr>
          <w:rFonts w:ascii="Times New Roman" w:hAnsi="Times New Roman"/>
          <w:sz w:val="24"/>
        </w:rPr>
        <w:t>doplatek na základě žádosti o doplatek podle článku I.4.4.</w:t>
      </w:r>
    </w:p>
    <w:p w:rsidR="00054FDD" w:rsidRPr="00FA12B5" w:rsidRDefault="00054FDD" w:rsidP="00190728">
      <w:pPr>
        <w:pStyle w:val="Nadpis2"/>
      </w:pPr>
      <w:bookmarkStart w:id="5" w:name="_Toc11236706"/>
      <w:r>
        <w:t>I.4.2 První záloha</w:t>
      </w:r>
      <w:bookmarkEnd w:id="5"/>
    </w:p>
    <w:p w:rsidR="00054FDD" w:rsidRPr="00FA12B5" w:rsidRDefault="00054FDD" w:rsidP="00DF2C6E">
      <w:pPr>
        <w:spacing w:after="0" w:line="240" w:lineRule="auto"/>
        <w:jc w:val="both"/>
        <w:rPr>
          <w:rFonts w:ascii="Times New Roman" w:hAnsi="Times New Roman"/>
          <w:b/>
        </w:rPr>
      </w:pPr>
    </w:p>
    <w:p w:rsidR="00054FDD" w:rsidRPr="00FA12B5" w:rsidRDefault="00054FDD" w:rsidP="00190728">
      <w:pPr>
        <w:spacing w:after="0" w:line="240" w:lineRule="auto"/>
        <w:jc w:val="both"/>
        <w:rPr>
          <w:rFonts w:ascii="Times New Roman" w:hAnsi="Times New Roman"/>
          <w:bCs/>
          <w:sz w:val="24"/>
          <w:szCs w:val="24"/>
        </w:rPr>
      </w:pPr>
      <w:r>
        <w:rPr>
          <w:rFonts w:ascii="Times New Roman" w:hAnsi="Times New Roman"/>
          <w:sz w:val="24"/>
        </w:rPr>
        <w:t xml:space="preserve">Účelem zálohových plateb je poskytnout příjemcům počáteční finanční prostředky.  Tyto prostředky zůstávají až do výplaty doplatku majetkem agentury. </w:t>
      </w:r>
    </w:p>
    <w:p w:rsidR="00054FDD" w:rsidRPr="00FA12B5" w:rsidRDefault="00054FDD" w:rsidP="00752BA6">
      <w:pPr>
        <w:spacing w:after="0" w:line="240" w:lineRule="auto"/>
        <w:jc w:val="both"/>
        <w:rPr>
          <w:rFonts w:ascii="Times New Roman" w:hAnsi="Times New Roman"/>
          <w:sz w:val="24"/>
          <w:szCs w:val="24"/>
        </w:rPr>
      </w:pPr>
      <w:r>
        <w:rPr>
          <w:rFonts w:ascii="Times New Roman" w:hAnsi="Times New Roman"/>
          <w:sz w:val="24"/>
        </w:rPr>
        <w:t xml:space="preserve">Agentura musí koordinátorovi uhradit do 30 dnů po nabytí účinnosti dohody </w:t>
      </w:r>
      <w:proofErr w:type="gramStart"/>
      <w:r>
        <w:rPr>
          <w:rFonts w:ascii="Times New Roman" w:hAnsi="Times New Roman"/>
          <w:sz w:val="24"/>
        </w:rPr>
        <w:t>platbu  zálohy</w:t>
      </w:r>
      <w:proofErr w:type="gramEnd"/>
      <w:r>
        <w:rPr>
          <w:rFonts w:ascii="Times New Roman" w:hAnsi="Times New Roman"/>
          <w:sz w:val="24"/>
        </w:rPr>
        <w:t xml:space="preserve"> ve výši </w:t>
      </w:r>
      <w:r w:rsidRPr="007567FA">
        <w:rPr>
          <w:rFonts w:ascii="Times New Roman" w:eastAsia="Times New Roman" w:hAnsi="Times New Roman"/>
          <w:b/>
          <w:noProof/>
          <w:sz w:val="24"/>
          <w:szCs w:val="24"/>
        </w:rPr>
        <w:t>40747,20</w:t>
      </w:r>
      <w:r>
        <w:rPr>
          <w:rFonts w:ascii="Times New Roman" w:hAnsi="Times New Roman"/>
          <w:sz w:val="24"/>
        </w:rPr>
        <w:t xml:space="preserve"> EUR odpovídající 80 % maximální výše grantu uvedené v článku I.3.1.</w:t>
      </w:r>
    </w:p>
    <w:p w:rsidR="00054FDD" w:rsidRPr="00FA12B5" w:rsidRDefault="00054FDD" w:rsidP="00795C02">
      <w:pPr>
        <w:spacing w:after="0"/>
        <w:jc w:val="both"/>
        <w:rPr>
          <w:rFonts w:ascii="Times New Roman" w:hAnsi="Times New Roman"/>
          <w:sz w:val="24"/>
          <w:szCs w:val="24"/>
        </w:rPr>
      </w:pPr>
    </w:p>
    <w:p w:rsidR="00054FDD" w:rsidRPr="00FA12B5" w:rsidRDefault="00054FDD" w:rsidP="00752BA6">
      <w:pPr>
        <w:spacing w:after="0" w:line="240" w:lineRule="auto"/>
        <w:jc w:val="both"/>
        <w:rPr>
          <w:rFonts w:ascii="Times New Roman" w:hAnsi="Times New Roman"/>
          <w:sz w:val="24"/>
        </w:rPr>
      </w:pPr>
    </w:p>
    <w:p w:rsidR="00054FDD" w:rsidRPr="00FA12B5" w:rsidRDefault="00054FDD" w:rsidP="00190728">
      <w:pPr>
        <w:pStyle w:val="Nadpis2"/>
      </w:pPr>
      <w:bookmarkStart w:id="6" w:name="_Toc11236707"/>
      <w:r>
        <w:t>I.4.3 Průběžné zprávy a další zálohy</w:t>
      </w:r>
      <w:bookmarkEnd w:id="6"/>
    </w:p>
    <w:p w:rsidR="00054FDD" w:rsidRPr="00FA12B5" w:rsidRDefault="00054FDD">
      <w:pPr>
        <w:spacing w:after="0" w:line="240" w:lineRule="auto"/>
        <w:jc w:val="both"/>
        <w:rPr>
          <w:rFonts w:ascii="Times New Roman" w:hAnsi="Times New Roman"/>
          <w:sz w:val="24"/>
          <w:szCs w:val="24"/>
          <w:shd w:val="clear" w:color="auto" w:fill="00FFFF"/>
        </w:rPr>
      </w:pPr>
    </w:p>
    <w:p w:rsidR="00054FDD" w:rsidRPr="00FA12B5" w:rsidRDefault="00054FDD" w:rsidP="0043574C">
      <w:pPr>
        <w:spacing w:after="0" w:line="240" w:lineRule="auto"/>
        <w:jc w:val="both"/>
        <w:rPr>
          <w:rFonts w:ascii="Times New Roman" w:hAnsi="Times New Roman"/>
          <w:sz w:val="24"/>
          <w:szCs w:val="24"/>
        </w:rPr>
      </w:pPr>
      <w:r>
        <w:rPr>
          <w:rFonts w:ascii="Times New Roman" w:hAnsi="Times New Roman"/>
          <w:sz w:val="24"/>
        </w:rPr>
        <w:t xml:space="preserve">Nepoužije se. </w:t>
      </w:r>
    </w:p>
    <w:p w:rsidR="00054FDD" w:rsidRPr="00FA12B5" w:rsidRDefault="00054FDD" w:rsidP="0043574C">
      <w:pPr>
        <w:spacing w:after="0" w:line="240" w:lineRule="auto"/>
        <w:jc w:val="both"/>
        <w:rPr>
          <w:rFonts w:ascii="Times New Roman" w:hAnsi="Times New Roman"/>
          <w:i/>
          <w:sz w:val="24"/>
          <w:szCs w:val="24"/>
        </w:rPr>
      </w:pPr>
    </w:p>
    <w:p w:rsidR="00054FDD" w:rsidRPr="00FA12B5" w:rsidRDefault="00054FDD" w:rsidP="00190728">
      <w:pPr>
        <w:pStyle w:val="Nadpis2"/>
      </w:pPr>
      <w:bookmarkStart w:id="7" w:name="_Toc11236708"/>
      <w:r>
        <w:t>I.4.4 Závěrečná zpráva a žádost o doplatek</w:t>
      </w:r>
      <w:bookmarkEnd w:id="7"/>
      <w:r>
        <w:t xml:space="preserve"> </w:t>
      </w:r>
    </w:p>
    <w:p w:rsidR="00054FDD" w:rsidRPr="00FA12B5" w:rsidRDefault="00054FDD">
      <w:pPr>
        <w:spacing w:after="0" w:line="240" w:lineRule="auto"/>
        <w:jc w:val="both"/>
        <w:rPr>
          <w:rFonts w:ascii="Times New Roman" w:hAnsi="Times New Roman"/>
          <w:sz w:val="24"/>
          <w:szCs w:val="24"/>
        </w:rPr>
      </w:pPr>
    </w:p>
    <w:p w:rsidR="00054FDD" w:rsidRPr="00FA12B5" w:rsidRDefault="00054FDD" w:rsidP="00190728">
      <w:pPr>
        <w:spacing w:after="0" w:line="240" w:lineRule="auto"/>
        <w:jc w:val="both"/>
        <w:rPr>
          <w:rFonts w:ascii="Times New Roman" w:hAnsi="Times New Roman"/>
          <w:sz w:val="24"/>
          <w:szCs w:val="24"/>
        </w:rPr>
      </w:pPr>
      <w:r>
        <w:rPr>
          <w:rFonts w:ascii="Times New Roman" w:hAnsi="Times New Roman"/>
          <w:sz w:val="24"/>
        </w:rPr>
        <w:t xml:space="preserve">Koordinátor musí do 30 dnů po datu ukončení projektu podle článku I.2.2 vyhotovit závěrečnou zprávu o provádění projektu, a je-li to relevantní, musí nahrát všechny výsledky projektu na Platformu pro šíření výsledků programu Erasmus+, jak je uvedeno v článku I.9.2. Zpráva musí obsahovat informace, které jsou nezbytné k odůvodnění grantového příspěvku požadovaného </w:t>
      </w:r>
      <w:r>
        <w:rPr>
          <w:rFonts w:ascii="Times New Roman" w:hAnsi="Times New Roman"/>
          <w:sz w:val="24"/>
        </w:rPr>
        <w:lastRenderedPageBreak/>
        <w:t xml:space="preserve">na základě jednotkových příspěvků, má-li grant formu proplacení jednotkového příspěvku, nebo způsobilých nákladů skutečně vzniklých v souladu s přílohou III. </w:t>
      </w:r>
    </w:p>
    <w:p w:rsidR="00054FDD" w:rsidRPr="00FA12B5" w:rsidRDefault="00054FDD" w:rsidP="00190728">
      <w:pPr>
        <w:spacing w:after="0" w:line="240" w:lineRule="auto"/>
        <w:jc w:val="both"/>
        <w:rPr>
          <w:rFonts w:ascii="Times New Roman" w:hAnsi="Times New Roman"/>
          <w:sz w:val="24"/>
          <w:szCs w:val="24"/>
        </w:rPr>
      </w:pPr>
    </w:p>
    <w:p w:rsidR="00054FDD" w:rsidRPr="00FA12B5" w:rsidRDefault="00054FDD" w:rsidP="00190728">
      <w:pPr>
        <w:spacing w:after="0" w:line="240" w:lineRule="auto"/>
        <w:jc w:val="both"/>
        <w:rPr>
          <w:rFonts w:ascii="Times New Roman" w:hAnsi="Times New Roman"/>
          <w:sz w:val="24"/>
          <w:szCs w:val="24"/>
        </w:rPr>
      </w:pPr>
      <w:r>
        <w:rPr>
          <w:rFonts w:ascii="Times New Roman" w:hAnsi="Times New Roman"/>
          <w:sz w:val="24"/>
        </w:rPr>
        <w:t>Závěrečná zpráva je pokládána za žádost koordinátora o vyplacení doplatku grantu.</w:t>
      </w:r>
    </w:p>
    <w:p w:rsidR="00054FDD" w:rsidRPr="00FA12B5" w:rsidRDefault="00054FDD" w:rsidP="00517626">
      <w:pPr>
        <w:tabs>
          <w:tab w:val="left" w:pos="3709"/>
        </w:tabs>
        <w:spacing w:after="0" w:line="240" w:lineRule="auto"/>
        <w:jc w:val="both"/>
        <w:rPr>
          <w:rFonts w:ascii="Times New Roman" w:hAnsi="Times New Roman"/>
          <w:sz w:val="24"/>
          <w:szCs w:val="24"/>
        </w:rPr>
      </w:pPr>
    </w:p>
    <w:p w:rsidR="00054FDD" w:rsidRDefault="00054FDD">
      <w:pPr>
        <w:spacing w:after="0" w:line="240" w:lineRule="auto"/>
        <w:jc w:val="both"/>
        <w:rPr>
          <w:rFonts w:ascii="Times New Roman" w:hAnsi="Times New Roman"/>
          <w:color w:val="000000"/>
          <w:sz w:val="24"/>
        </w:rPr>
      </w:pPr>
      <w:r>
        <w:rPr>
          <w:rFonts w:ascii="Times New Roman" w:hAnsi="Times New Roman"/>
          <w:sz w:val="24"/>
        </w:rPr>
        <w:t>Koordinátor musí potvrdit, že informace uvedené v žádosti o vyplacení doplatku jsou úplné, spolehlivé a pravdivé.</w:t>
      </w:r>
      <w:r>
        <w:rPr>
          <w:rFonts w:ascii="Times New Roman" w:hAnsi="Times New Roman"/>
          <w:color w:val="000000"/>
          <w:sz w:val="24"/>
        </w:rPr>
        <w:t xml:space="preserve"> </w:t>
      </w:r>
      <w:r>
        <w:rPr>
          <w:rFonts w:ascii="Times New Roman" w:hAnsi="Times New Roman"/>
          <w:sz w:val="24"/>
        </w:rPr>
        <w:t>Musí rovněž potvrdit, že vzniklé náklady lze pokládat za způsobilé v souladu s dohodou a že žádost o platbu dokládají patřičné podpůrné dokumenty, které lze předložit v souvislosti s kontrolami nebo audity popsanými v článku II.27.</w:t>
      </w:r>
    </w:p>
    <w:p w:rsidR="00054FDD" w:rsidRPr="00FA12B5" w:rsidRDefault="00054FDD">
      <w:pPr>
        <w:spacing w:after="0" w:line="240" w:lineRule="auto"/>
        <w:jc w:val="both"/>
        <w:rPr>
          <w:rFonts w:ascii="Times New Roman" w:hAnsi="Times New Roman"/>
          <w:sz w:val="24"/>
          <w:szCs w:val="24"/>
        </w:rPr>
      </w:pPr>
    </w:p>
    <w:p w:rsidR="00054FDD" w:rsidRPr="00FA12B5" w:rsidRDefault="00054FDD" w:rsidP="00190728">
      <w:pPr>
        <w:pStyle w:val="Nadpis2"/>
      </w:pPr>
      <w:bookmarkStart w:id="8" w:name="_Toc11236709"/>
      <w:r>
        <w:t>I.4.5 Platba doplatku</w:t>
      </w:r>
      <w:bookmarkEnd w:id="8"/>
    </w:p>
    <w:p w:rsidR="00054FDD" w:rsidRPr="00FA12B5" w:rsidRDefault="00054FDD">
      <w:pPr>
        <w:spacing w:after="0" w:line="240" w:lineRule="auto"/>
        <w:jc w:val="both"/>
        <w:rPr>
          <w:rFonts w:ascii="Times New Roman" w:hAnsi="Times New Roman"/>
        </w:rPr>
      </w:pPr>
    </w:p>
    <w:p w:rsidR="00054FDD" w:rsidRPr="00FA12B5" w:rsidRDefault="00054FDD" w:rsidP="001B374D">
      <w:pPr>
        <w:spacing w:after="0" w:line="240" w:lineRule="auto"/>
        <w:jc w:val="both"/>
        <w:rPr>
          <w:rFonts w:ascii="Times New Roman" w:hAnsi="Times New Roman"/>
          <w:sz w:val="24"/>
          <w:szCs w:val="24"/>
        </w:rPr>
      </w:pPr>
      <w:r>
        <w:rPr>
          <w:rFonts w:ascii="Times New Roman" w:hAnsi="Times New Roman"/>
          <w:sz w:val="24"/>
        </w:rPr>
        <w:t xml:space="preserve">Platbou doplatku se proplácí či hradí zbývající část způsobilých nákladů, které příjemcům vznikly v souvislosti s prováděním projektu. </w:t>
      </w:r>
    </w:p>
    <w:p w:rsidR="00054FDD" w:rsidRPr="00FA12B5" w:rsidRDefault="00054FDD" w:rsidP="001B374D">
      <w:pPr>
        <w:spacing w:after="0" w:line="240" w:lineRule="auto"/>
        <w:jc w:val="both"/>
        <w:rPr>
          <w:rFonts w:ascii="Times New Roman" w:hAnsi="Times New Roman"/>
          <w:sz w:val="24"/>
          <w:szCs w:val="24"/>
        </w:rPr>
      </w:pPr>
    </w:p>
    <w:p w:rsidR="00054FDD" w:rsidRPr="00FA12B5" w:rsidRDefault="00054FDD" w:rsidP="00F712A5">
      <w:pPr>
        <w:spacing w:after="0" w:line="240" w:lineRule="auto"/>
        <w:jc w:val="both"/>
        <w:rPr>
          <w:rFonts w:ascii="Times New Roman" w:hAnsi="Times New Roman"/>
          <w:bCs/>
          <w:sz w:val="24"/>
          <w:szCs w:val="24"/>
        </w:rPr>
      </w:pPr>
      <w:r>
        <w:rPr>
          <w:rFonts w:ascii="Times New Roman" w:hAnsi="Times New Roman"/>
          <w:sz w:val="24"/>
        </w:rPr>
        <w:t>Agentura určí splatnou částku jako doplatek odečtením celkové částky záloh již vyplacených od konečné výše grantu, která byla vypočtena v souladu s článkem II.25.</w:t>
      </w:r>
    </w:p>
    <w:p w:rsidR="00054FDD" w:rsidRPr="00FA12B5" w:rsidRDefault="00054FDD" w:rsidP="00F712A5">
      <w:pPr>
        <w:spacing w:after="0" w:line="240" w:lineRule="auto"/>
        <w:jc w:val="both"/>
        <w:rPr>
          <w:rFonts w:ascii="Times New Roman" w:hAnsi="Times New Roman"/>
          <w:bCs/>
          <w:sz w:val="24"/>
          <w:szCs w:val="24"/>
        </w:rPr>
      </w:pPr>
    </w:p>
    <w:p w:rsidR="00054FDD" w:rsidRPr="00FA12B5" w:rsidRDefault="00054FDD" w:rsidP="001B374D">
      <w:pPr>
        <w:spacing w:after="0" w:line="240" w:lineRule="auto"/>
        <w:jc w:val="both"/>
        <w:rPr>
          <w:rFonts w:ascii="Times New Roman" w:hAnsi="Times New Roman"/>
          <w:bCs/>
          <w:sz w:val="24"/>
          <w:szCs w:val="24"/>
        </w:rPr>
      </w:pPr>
      <w:r>
        <w:rPr>
          <w:rFonts w:ascii="Times New Roman" w:hAnsi="Times New Roman"/>
          <w:sz w:val="24"/>
        </w:rPr>
        <w:t>Je-li celková výše doposud provedených plateb vyšší nežli konečná výše grantu vypočtená podle článku II.25, probíhá výplata doplatku formou vratky podle článku II.26.</w:t>
      </w:r>
    </w:p>
    <w:p w:rsidR="00054FDD" w:rsidRPr="00FA12B5" w:rsidRDefault="00054FDD" w:rsidP="001B374D">
      <w:pPr>
        <w:spacing w:after="0" w:line="240" w:lineRule="auto"/>
        <w:jc w:val="both"/>
        <w:rPr>
          <w:rFonts w:ascii="Times New Roman" w:hAnsi="Times New Roman"/>
          <w:bCs/>
          <w:sz w:val="24"/>
          <w:szCs w:val="24"/>
        </w:rPr>
      </w:pPr>
      <w:r>
        <w:rPr>
          <w:rFonts w:ascii="Times New Roman" w:hAnsi="Times New Roman"/>
          <w:sz w:val="24"/>
        </w:rPr>
        <w:t xml:space="preserve"> </w:t>
      </w:r>
    </w:p>
    <w:p w:rsidR="00054FDD" w:rsidRPr="00FA12B5" w:rsidRDefault="00054FDD" w:rsidP="001B374D">
      <w:pPr>
        <w:spacing w:after="0" w:line="240" w:lineRule="auto"/>
        <w:jc w:val="both"/>
        <w:rPr>
          <w:rFonts w:ascii="Times New Roman" w:hAnsi="Times New Roman"/>
          <w:bCs/>
          <w:sz w:val="24"/>
          <w:szCs w:val="24"/>
        </w:rPr>
      </w:pPr>
      <w:r>
        <w:rPr>
          <w:rFonts w:ascii="Times New Roman" w:hAnsi="Times New Roman"/>
          <w:sz w:val="24"/>
        </w:rPr>
        <w:t xml:space="preserve">Je-li celková částka dřívějších záloh nižší než konečná výše grantu vypočtená podle článku II.25, musí agentura vyplatit doplatek do 60 kalendářních dnů od dne, kdy obdrží doklady uvedené v článku I.4.4, s výjimkou případů, kdy se použije článek II.24.1 nebo II.24.2. </w:t>
      </w:r>
    </w:p>
    <w:p w:rsidR="00054FDD" w:rsidRPr="00FA12B5" w:rsidRDefault="00054FDD" w:rsidP="001B374D">
      <w:pPr>
        <w:spacing w:after="0" w:line="240" w:lineRule="auto"/>
        <w:jc w:val="both"/>
        <w:rPr>
          <w:rFonts w:ascii="Times New Roman" w:hAnsi="Times New Roman"/>
          <w:bCs/>
          <w:sz w:val="24"/>
          <w:szCs w:val="24"/>
        </w:rPr>
      </w:pPr>
    </w:p>
    <w:p w:rsidR="00054FDD" w:rsidRPr="00FA12B5" w:rsidRDefault="00054FDD" w:rsidP="001B374D">
      <w:pPr>
        <w:spacing w:after="0" w:line="240" w:lineRule="auto"/>
        <w:jc w:val="both"/>
        <w:rPr>
          <w:rFonts w:ascii="Times New Roman" w:hAnsi="Times New Roman"/>
          <w:bCs/>
          <w:sz w:val="24"/>
          <w:szCs w:val="24"/>
        </w:rPr>
      </w:pPr>
      <w:r>
        <w:rPr>
          <w:rFonts w:ascii="Times New Roman" w:hAnsi="Times New Roman"/>
          <w:sz w:val="24"/>
        </w:rPr>
        <w:t>Podmínkou pro provedení platby je schválení žádosti o vyplacení doplatku a podpůrných dokumentů. Toto schválení neznamená, že bylo uznáno splnění požadavků, pravost, úplnost nebo správnost jejich obsahu.</w:t>
      </w:r>
    </w:p>
    <w:p w:rsidR="00054FDD" w:rsidRPr="00FA12B5" w:rsidRDefault="00054FDD" w:rsidP="001B374D">
      <w:pPr>
        <w:spacing w:after="0" w:line="240" w:lineRule="auto"/>
        <w:jc w:val="both"/>
        <w:rPr>
          <w:rFonts w:ascii="Times New Roman" w:hAnsi="Times New Roman"/>
          <w:bCs/>
          <w:sz w:val="24"/>
          <w:szCs w:val="24"/>
        </w:rPr>
      </w:pPr>
    </w:p>
    <w:p w:rsidR="00054FDD" w:rsidRDefault="00054FDD" w:rsidP="00F23654">
      <w:pPr>
        <w:spacing w:after="0" w:line="240" w:lineRule="auto"/>
        <w:jc w:val="both"/>
        <w:rPr>
          <w:rFonts w:ascii="Times New Roman" w:hAnsi="Times New Roman"/>
          <w:sz w:val="24"/>
          <w:szCs w:val="24"/>
        </w:rPr>
      </w:pPr>
      <w:r>
        <w:rPr>
          <w:rFonts w:ascii="Times New Roman" w:hAnsi="Times New Roman"/>
          <w:sz w:val="24"/>
        </w:rPr>
        <w:t>Částka k vyplacení však může být bez souhlasu koordinátora započtena proti případné jiné dlužné částce, kterou je koordinátor povinen uhradit agentuře, až do výše maximálního příspěvku pro tohoto koordinátora, který je uveden v souhrnném rozpočtu v příloze II.</w:t>
      </w:r>
    </w:p>
    <w:p w:rsidR="00054FDD" w:rsidRPr="00FA12B5" w:rsidRDefault="00054FDD" w:rsidP="00F23654">
      <w:pPr>
        <w:spacing w:after="0" w:line="240" w:lineRule="auto"/>
        <w:jc w:val="both"/>
        <w:rPr>
          <w:rFonts w:ascii="Times New Roman" w:hAnsi="Times New Roman"/>
          <w:sz w:val="24"/>
          <w:szCs w:val="24"/>
        </w:rPr>
      </w:pPr>
    </w:p>
    <w:p w:rsidR="00054FDD" w:rsidRPr="00FA12B5" w:rsidRDefault="00054FDD" w:rsidP="00190728">
      <w:pPr>
        <w:pStyle w:val="Nadpis2"/>
      </w:pPr>
      <w:bookmarkStart w:id="9" w:name="_Toc11236710"/>
      <w:r>
        <w:t>I.4.6 Oznámení o výši plateb</w:t>
      </w:r>
      <w:bookmarkEnd w:id="9"/>
    </w:p>
    <w:p w:rsidR="00054FDD" w:rsidRPr="00FA12B5" w:rsidRDefault="00054FDD" w:rsidP="00DC313F">
      <w:pPr>
        <w:tabs>
          <w:tab w:val="left" w:pos="851"/>
        </w:tabs>
        <w:spacing w:after="0" w:line="240" w:lineRule="auto"/>
        <w:jc w:val="both"/>
        <w:rPr>
          <w:rFonts w:ascii="Times New Roman" w:hAnsi="Times New Roman"/>
          <w:sz w:val="24"/>
          <w:szCs w:val="24"/>
        </w:rPr>
      </w:pPr>
    </w:p>
    <w:p w:rsidR="00054FDD" w:rsidRPr="00FA12B5" w:rsidRDefault="00054FDD" w:rsidP="00F23654">
      <w:pPr>
        <w:tabs>
          <w:tab w:val="left" w:pos="851"/>
        </w:tabs>
        <w:spacing w:after="0" w:line="240" w:lineRule="auto"/>
        <w:jc w:val="both"/>
        <w:rPr>
          <w:rFonts w:ascii="Times New Roman" w:hAnsi="Times New Roman"/>
          <w:sz w:val="24"/>
          <w:szCs w:val="24"/>
        </w:rPr>
      </w:pPr>
      <w:r>
        <w:rPr>
          <w:rFonts w:ascii="Times New Roman" w:hAnsi="Times New Roman"/>
          <w:sz w:val="24"/>
        </w:rPr>
        <w:t xml:space="preserve">Agentura musí zaslat koordinátorovi </w:t>
      </w:r>
      <w:r>
        <w:rPr>
          <w:rFonts w:ascii="Times New Roman" w:hAnsi="Times New Roman"/>
          <w:i/>
          <w:sz w:val="24"/>
        </w:rPr>
        <w:t>formální oznámení</w:t>
      </w:r>
      <w:r>
        <w:rPr>
          <w:rFonts w:ascii="Times New Roman" w:hAnsi="Times New Roman"/>
          <w:sz w:val="24"/>
        </w:rPr>
        <w:t>:</w:t>
      </w:r>
    </w:p>
    <w:p w:rsidR="00054FDD" w:rsidRPr="00FA12B5" w:rsidRDefault="00054FDD" w:rsidP="00DE149E">
      <w:pPr>
        <w:numPr>
          <w:ilvl w:val="0"/>
          <w:numId w:val="13"/>
        </w:numPr>
        <w:tabs>
          <w:tab w:val="left" w:pos="851"/>
        </w:tabs>
        <w:spacing w:after="0" w:line="240" w:lineRule="auto"/>
        <w:jc w:val="both"/>
        <w:rPr>
          <w:rFonts w:ascii="Times New Roman" w:hAnsi="Times New Roman"/>
          <w:sz w:val="24"/>
          <w:szCs w:val="24"/>
        </w:rPr>
      </w:pPr>
      <w:r>
        <w:rPr>
          <w:rFonts w:ascii="Times New Roman" w:hAnsi="Times New Roman"/>
          <w:sz w:val="24"/>
        </w:rPr>
        <w:t>kterým ho informuje o výši platby a</w:t>
      </w:r>
    </w:p>
    <w:p w:rsidR="00054FDD" w:rsidRPr="00FA12B5" w:rsidRDefault="00054FDD" w:rsidP="00DE149E">
      <w:pPr>
        <w:numPr>
          <w:ilvl w:val="0"/>
          <w:numId w:val="13"/>
        </w:numPr>
        <w:tabs>
          <w:tab w:val="left" w:pos="851"/>
        </w:tabs>
        <w:spacing w:after="0" w:line="240" w:lineRule="auto"/>
        <w:jc w:val="both"/>
        <w:rPr>
          <w:rFonts w:ascii="Times New Roman" w:hAnsi="Times New Roman"/>
          <w:sz w:val="24"/>
          <w:szCs w:val="24"/>
        </w:rPr>
      </w:pPr>
      <w:r>
        <w:rPr>
          <w:rFonts w:ascii="Times New Roman" w:hAnsi="Times New Roman"/>
          <w:sz w:val="24"/>
        </w:rPr>
        <w:t>ve kterém uvádí, zda se oznámení týká další zálohy nebo vyplacení doplatku.</w:t>
      </w:r>
    </w:p>
    <w:p w:rsidR="00054FDD" w:rsidRPr="00FA12B5" w:rsidRDefault="00054FDD" w:rsidP="00C863FF">
      <w:pPr>
        <w:tabs>
          <w:tab w:val="left" w:pos="851"/>
        </w:tabs>
        <w:spacing w:after="0" w:line="240" w:lineRule="auto"/>
        <w:ind w:left="720"/>
        <w:jc w:val="both"/>
        <w:rPr>
          <w:rFonts w:ascii="Times New Roman" w:hAnsi="Times New Roman"/>
          <w:sz w:val="24"/>
          <w:szCs w:val="24"/>
        </w:rPr>
      </w:pPr>
    </w:p>
    <w:p w:rsidR="00054FDD" w:rsidRDefault="00054FDD" w:rsidP="00DC313F">
      <w:pPr>
        <w:tabs>
          <w:tab w:val="left" w:pos="851"/>
        </w:tabs>
        <w:spacing w:after="0" w:line="240" w:lineRule="auto"/>
        <w:jc w:val="both"/>
        <w:rPr>
          <w:rFonts w:ascii="Times New Roman" w:hAnsi="Times New Roman"/>
          <w:sz w:val="24"/>
        </w:rPr>
      </w:pPr>
      <w:r>
        <w:rPr>
          <w:rFonts w:ascii="Times New Roman" w:hAnsi="Times New Roman"/>
          <w:sz w:val="24"/>
        </w:rPr>
        <w:t>Pokud jde o vyplacení doplatku, agentura musí rovněž uvést konečnou částku grantu vypočtenou v souladu s článkem II.25.</w:t>
      </w:r>
    </w:p>
    <w:p w:rsidR="00054FDD" w:rsidRPr="00FA12B5" w:rsidRDefault="00054FDD" w:rsidP="00DC313F">
      <w:pPr>
        <w:tabs>
          <w:tab w:val="left" w:pos="851"/>
        </w:tabs>
        <w:spacing w:after="0" w:line="240" w:lineRule="auto"/>
        <w:jc w:val="both"/>
        <w:rPr>
          <w:rFonts w:ascii="Times New Roman" w:hAnsi="Times New Roman"/>
          <w:sz w:val="24"/>
          <w:szCs w:val="24"/>
        </w:rPr>
      </w:pPr>
    </w:p>
    <w:p w:rsidR="00054FDD" w:rsidRPr="00FA12B5" w:rsidRDefault="00054FDD" w:rsidP="008C75C1">
      <w:pPr>
        <w:pStyle w:val="Nadpis2"/>
        <w:spacing w:before="0"/>
      </w:pPr>
      <w:bookmarkStart w:id="10" w:name="_Toc11236711"/>
      <w:r>
        <w:t>I.4.7 Platby prováděné agenturou ve prospěch koordinátora</w:t>
      </w:r>
      <w:bookmarkEnd w:id="10"/>
    </w:p>
    <w:p w:rsidR="00054FDD" w:rsidRPr="00FA12B5" w:rsidRDefault="00054FDD" w:rsidP="008C75C1">
      <w:pPr>
        <w:tabs>
          <w:tab w:val="left" w:pos="851"/>
        </w:tabs>
        <w:spacing w:after="0" w:line="240" w:lineRule="auto"/>
        <w:jc w:val="both"/>
        <w:rPr>
          <w:rFonts w:ascii="Times New Roman" w:hAnsi="Times New Roman"/>
          <w:b/>
          <w:sz w:val="24"/>
          <w:szCs w:val="24"/>
        </w:rPr>
      </w:pPr>
    </w:p>
    <w:p w:rsidR="00054FDD" w:rsidRDefault="00054FDD" w:rsidP="008C75C1">
      <w:pPr>
        <w:tabs>
          <w:tab w:val="left" w:pos="851"/>
        </w:tabs>
        <w:spacing w:after="0" w:line="240" w:lineRule="auto"/>
        <w:jc w:val="both"/>
        <w:rPr>
          <w:rFonts w:ascii="Times New Roman" w:hAnsi="Times New Roman"/>
          <w:sz w:val="24"/>
          <w:szCs w:val="24"/>
        </w:rPr>
      </w:pPr>
      <w:r>
        <w:rPr>
          <w:rFonts w:ascii="Times New Roman" w:hAnsi="Times New Roman"/>
          <w:sz w:val="24"/>
        </w:rPr>
        <w:t>Agentura musí provést platby ve prospěch koordinátora.</w:t>
      </w:r>
    </w:p>
    <w:p w:rsidR="00054FDD" w:rsidRPr="00FA12B5" w:rsidRDefault="00054FDD" w:rsidP="008C75C1">
      <w:pPr>
        <w:tabs>
          <w:tab w:val="left" w:pos="851"/>
        </w:tabs>
        <w:spacing w:after="0" w:line="240" w:lineRule="auto"/>
        <w:jc w:val="both"/>
        <w:rPr>
          <w:rFonts w:ascii="Times New Roman" w:hAnsi="Times New Roman"/>
          <w:sz w:val="24"/>
          <w:szCs w:val="24"/>
        </w:rPr>
      </w:pPr>
    </w:p>
    <w:p w:rsidR="00054FDD" w:rsidRDefault="00054FDD" w:rsidP="008C75C1">
      <w:pPr>
        <w:tabs>
          <w:tab w:val="left" w:pos="851"/>
        </w:tabs>
        <w:spacing w:after="0" w:line="240" w:lineRule="auto"/>
        <w:jc w:val="both"/>
        <w:rPr>
          <w:rFonts w:ascii="Times New Roman" w:hAnsi="Times New Roman"/>
          <w:sz w:val="24"/>
          <w:szCs w:val="24"/>
        </w:rPr>
      </w:pPr>
      <w:r>
        <w:rPr>
          <w:rFonts w:ascii="Times New Roman" w:hAnsi="Times New Roman"/>
          <w:sz w:val="24"/>
        </w:rPr>
        <w:t>Platbou ve prospěch koordinátora bude splněna platební povinnost agentury.</w:t>
      </w:r>
    </w:p>
    <w:p w:rsidR="00054FDD" w:rsidRPr="00FA12B5" w:rsidRDefault="00054FDD" w:rsidP="008C75C1">
      <w:pPr>
        <w:tabs>
          <w:tab w:val="left" w:pos="851"/>
        </w:tabs>
        <w:spacing w:after="0" w:line="240" w:lineRule="auto"/>
        <w:jc w:val="both"/>
        <w:rPr>
          <w:rFonts w:ascii="Times New Roman" w:hAnsi="Times New Roman"/>
          <w:sz w:val="24"/>
          <w:szCs w:val="24"/>
        </w:rPr>
      </w:pPr>
    </w:p>
    <w:p w:rsidR="00054FDD" w:rsidRPr="00FA12B5" w:rsidRDefault="00054FDD" w:rsidP="008C75C1">
      <w:pPr>
        <w:pStyle w:val="Nadpis2"/>
        <w:spacing w:before="0"/>
      </w:pPr>
      <w:bookmarkStart w:id="11" w:name="_Toc11236712"/>
      <w:r>
        <w:t>I.4.8 Platby prováděné koordinátorem ve prospěch ostatních příjemců</w:t>
      </w:r>
      <w:bookmarkEnd w:id="11"/>
    </w:p>
    <w:p w:rsidR="00054FDD" w:rsidRPr="00FA12B5" w:rsidRDefault="00054FDD" w:rsidP="008C75C1">
      <w:pPr>
        <w:spacing w:after="0" w:line="240" w:lineRule="auto"/>
        <w:jc w:val="both"/>
        <w:rPr>
          <w:rFonts w:ascii="Times New Roman" w:hAnsi="Times New Roman"/>
          <w:sz w:val="24"/>
          <w:szCs w:val="24"/>
        </w:rPr>
      </w:pPr>
    </w:p>
    <w:p w:rsidR="00054FDD" w:rsidRDefault="00054FDD" w:rsidP="008C75C1">
      <w:pPr>
        <w:spacing w:after="0" w:line="240" w:lineRule="auto"/>
        <w:jc w:val="both"/>
        <w:rPr>
          <w:rFonts w:ascii="Times New Roman" w:eastAsia="Times New Roman" w:hAnsi="Times New Roman"/>
          <w:sz w:val="24"/>
          <w:szCs w:val="24"/>
        </w:rPr>
      </w:pPr>
      <w:r>
        <w:rPr>
          <w:rFonts w:ascii="Times New Roman" w:hAnsi="Times New Roman"/>
          <w:sz w:val="24"/>
        </w:rPr>
        <w:t xml:space="preserve">Pro účely kontrol a auditů podle článku II.27 je koordinátor povinen provádět veškeré platby ve prospěch ostatních příjemců bankovním převodem a uchovávat odpovídající doklady o částkách převedených každému příjemci. </w:t>
      </w:r>
    </w:p>
    <w:p w:rsidR="00054FDD" w:rsidRPr="00FA12B5" w:rsidRDefault="00054FDD" w:rsidP="008C75C1">
      <w:pPr>
        <w:spacing w:after="0" w:line="240" w:lineRule="auto"/>
        <w:jc w:val="both"/>
        <w:rPr>
          <w:rFonts w:ascii="Times New Roman" w:hAnsi="Times New Roman"/>
        </w:rPr>
      </w:pPr>
    </w:p>
    <w:p w:rsidR="00054FDD" w:rsidRPr="00FA12B5" w:rsidRDefault="00054FDD" w:rsidP="008C75C1">
      <w:pPr>
        <w:pStyle w:val="Nadpis2"/>
        <w:spacing w:before="0"/>
      </w:pPr>
      <w:bookmarkStart w:id="12" w:name="_Toc11236713"/>
      <w:r>
        <w:t>I.4.9 Jazyk žádostí o platby a zpráv</w:t>
      </w:r>
      <w:bookmarkEnd w:id="12"/>
      <w:r>
        <w:t xml:space="preserve"> </w:t>
      </w:r>
    </w:p>
    <w:p w:rsidR="00054FDD" w:rsidRPr="00FA12B5" w:rsidRDefault="00054FDD" w:rsidP="008C75C1">
      <w:pPr>
        <w:spacing w:after="0" w:line="240" w:lineRule="auto"/>
        <w:jc w:val="both"/>
        <w:rPr>
          <w:rFonts w:ascii="Times New Roman" w:hAnsi="Times New Roman"/>
          <w:b/>
          <w:sz w:val="24"/>
          <w:szCs w:val="24"/>
        </w:rPr>
      </w:pPr>
    </w:p>
    <w:p w:rsidR="00054FDD" w:rsidRPr="00FA12B5" w:rsidRDefault="00054FDD" w:rsidP="008C75C1">
      <w:pPr>
        <w:spacing w:after="0" w:line="240" w:lineRule="auto"/>
        <w:jc w:val="both"/>
        <w:rPr>
          <w:rFonts w:ascii="Times New Roman" w:hAnsi="Times New Roman"/>
          <w:b/>
          <w:sz w:val="24"/>
          <w:szCs w:val="24"/>
          <w:highlight w:val="yellow"/>
        </w:rPr>
      </w:pPr>
      <w:r>
        <w:rPr>
          <w:rFonts w:ascii="Times New Roman" w:hAnsi="Times New Roman"/>
          <w:sz w:val="24"/>
        </w:rPr>
        <w:t>Všechny žádosti o platby a zprávy musí být předkládány v</w:t>
      </w:r>
      <w:r w:rsidR="006C0CE7">
        <w:rPr>
          <w:rFonts w:ascii="Times New Roman" w:hAnsi="Times New Roman"/>
          <w:sz w:val="24"/>
        </w:rPr>
        <w:t> českém jazyce</w:t>
      </w:r>
      <w:r>
        <w:rPr>
          <w:rFonts w:ascii="Times New Roman" w:hAnsi="Times New Roman"/>
          <w:sz w:val="24"/>
        </w:rPr>
        <w:t>.</w:t>
      </w:r>
      <w:r>
        <w:rPr>
          <w:rFonts w:ascii="Times New Roman" w:hAnsi="Times New Roman"/>
          <w:sz w:val="24"/>
          <w:highlight w:val="lightGray"/>
        </w:rPr>
        <w:t xml:space="preserve"> </w:t>
      </w:r>
      <w:r>
        <w:rPr>
          <w:rFonts w:ascii="Times New Roman" w:hAnsi="Times New Roman"/>
          <w:sz w:val="24"/>
          <w:szCs w:val="24"/>
          <w:highlight w:val="yellow"/>
          <w:shd w:val="clear" w:color="auto" w:fill="00FFFF"/>
        </w:rPr>
        <w:br/>
      </w:r>
    </w:p>
    <w:p w:rsidR="00054FDD" w:rsidRPr="00FA12B5" w:rsidRDefault="00054FDD" w:rsidP="008C75C1">
      <w:pPr>
        <w:pStyle w:val="Nadpis2"/>
        <w:spacing w:before="0"/>
        <w:rPr>
          <w:szCs w:val="24"/>
        </w:rPr>
      </w:pPr>
      <w:bookmarkStart w:id="13" w:name="_Toc11236714"/>
      <w:r>
        <w:t>I.4.10 Měna pro žádosti o platby a přepočet na eura</w:t>
      </w:r>
      <w:bookmarkEnd w:id="13"/>
    </w:p>
    <w:p w:rsidR="00054FDD" w:rsidRPr="0034381B" w:rsidRDefault="00054FDD" w:rsidP="008C75C1">
      <w:pPr>
        <w:spacing w:after="0" w:line="240" w:lineRule="auto"/>
        <w:jc w:val="both"/>
        <w:rPr>
          <w:rFonts w:ascii="Times New Roman" w:hAnsi="Times New Roman"/>
          <w:sz w:val="24"/>
          <w:szCs w:val="24"/>
        </w:rPr>
      </w:pPr>
    </w:p>
    <w:p w:rsidR="00054FDD" w:rsidRPr="0034381B" w:rsidRDefault="00054FDD" w:rsidP="008C75C1">
      <w:pPr>
        <w:spacing w:after="0" w:line="240" w:lineRule="auto"/>
        <w:jc w:val="both"/>
        <w:rPr>
          <w:rFonts w:ascii="Times New Roman" w:hAnsi="Times New Roman"/>
          <w:sz w:val="24"/>
          <w:szCs w:val="24"/>
        </w:rPr>
      </w:pPr>
      <w:r>
        <w:rPr>
          <w:rFonts w:ascii="Times New Roman" w:hAnsi="Times New Roman"/>
          <w:sz w:val="24"/>
        </w:rPr>
        <w:t>Žádost o platbu musí být předložena v EUR.</w:t>
      </w:r>
    </w:p>
    <w:p w:rsidR="00054FDD" w:rsidRPr="00FA12B5" w:rsidRDefault="00054FDD" w:rsidP="008C75C1">
      <w:pPr>
        <w:spacing w:after="0" w:line="240" w:lineRule="auto"/>
        <w:jc w:val="both"/>
        <w:rPr>
          <w:rFonts w:ascii="Times New Roman" w:hAnsi="Times New Roman"/>
          <w:i/>
          <w:sz w:val="24"/>
          <w:szCs w:val="24"/>
          <w:highlight w:val="lightGray"/>
          <w:shd w:val="clear" w:color="auto" w:fill="00FFFF"/>
        </w:rPr>
      </w:pPr>
    </w:p>
    <w:p w:rsidR="00054FDD" w:rsidRPr="001D295F" w:rsidRDefault="00054FDD" w:rsidP="007141FC">
      <w:pPr>
        <w:spacing w:after="0" w:line="240" w:lineRule="auto"/>
        <w:jc w:val="both"/>
        <w:rPr>
          <w:rFonts w:ascii="Times New Roman" w:hAnsi="Times New Roman"/>
          <w:sz w:val="24"/>
          <w:szCs w:val="24"/>
        </w:rPr>
      </w:pPr>
      <w:r w:rsidRPr="001D295F">
        <w:rPr>
          <w:rFonts w:ascii="Times New Roman" w:hAnsi="Times New Roman"/>
          <w:sz w:val="24"/>
        </w:rPr>
        <w:t>Každý přepočet nákladů (v rámci rozpočtových kategorií stanovených na základě skutečně vynaložených nákladů) vzniklých v jiných měnách na euro mu</w:t>
      </w:r>
      <w:r>
        <w:rPr>
          <w:rFonts w:ascii="Times New Roman" w:hAnsi="Times New Roman"/>
          <w:sz w:val="24"/>
        </w:rPr>
        <w:t xml:space="preserve">sí příjemci provést s použitím </w:t>
      </w:r>
      <w:r w:rsidRPr="001D295F">
        <w:rPr>
          <w:rFonts w:ascii="Times New Roman" w:hAnsi="Times New Roman"/>
          <w:sz w:val="24"/>
        </w:rPr>
        <w:t>měsíčního směnného kurzu stanoveného Komisí a zveřejněného na jejích internetových stránkách</w:t>
      </w:r>
      <w:r w:rsidRPr="001D295F">
        <w:rPr>
          <w:rStyle w:val="Znakapoznpodarou"/>
          <w:rFonts w:ascii="Times New Roman" w:hAnsi="Times New Roman"/>
          <w:sz w:val="24"/>
        </w:rPr>
        <w:footnoteReference w:id="2"/>
      </w:r>
      <w:r>
        <w:rPr>
          <w:rFonts w:ascii="Times New Roman" w:hAnsi="Times New Roman"/>
          <w:sz w:val="24"/>
        </w:rPr>
        <w:t xml:space="preserve"> </w:t>
      </w:r>
      <w:r w:rsidRPr="001D295F">
        <w:rPr>
          <w:rFonts w:ascii="Times New Roman" w:hAnsi="Times New Roman"/>
          <w:sz w:val="24"/>
        </w:rPr>
        <w:t>platných</w:t>
      </w:r>
      <w:r>
        <w:rPr>
          <w:rFonts w:ascii="Times New Roman" w:hAnsi="Times New Roman"/>
          <w:sz w:val="24"/>
        </w:rPr>
        <w:t xml:space="preserve"> v den, kdy </w:t>
      </w:r>
      <w:r w:rsidRPr="001D295F">
        <w:rPr>
          <w:rFonts w:ascii="Times New Roman" w:hAnsi="Times New Roman"/>
          <w:sz w:val="24"/>
        </w:rPr>
        <w:t>dohodu podepíše poslední z obou smluvních stran.</w:t>
      </w:r>
    </w:p>
    <w:p w:rsidR="00054FDD" w:rsidRPr="00FA12B5" w:rsidRDefault="00054FDD" w:rsidP="007141FC">
      <w:pPr>
        <w:spacing w:after="0" w:line="240" w:lineRule="auto"/>
        <w:jc w:val="both"/>
        <w:rPr>
          <w:rFonts w:ascii="Times New Roman" w:hAnsi="Times New Roman"/>
          <w:i/>
          <w:sz w:val="24"/>
          <w:szCs w:val="24"/>
        </w:rPr>
      </w:pPr>
    </w:p>
    <w:p w:rsidR="00054FDD" w:rsidRPr="00FA12B5" w:rsidRDefault="00054FDD" w:rsidP="008C75C1">
      <w:pPr>
        <w:pStyle w:val="Nadpis2"/>
        <w:spacing w:before="0"/>
      </w:pPr>
      <w:bookmarkStart w:id="14" w:name="_Toc11236715"/>
      <w:r>
        <w:t>I.4.11 Měna pro platby</w:t>
      </w:r>
      <w:bookmarkEnd w:id="14"/>
      <w:r>
        <w:t xml:space="preserve"> </w:t>
      </w:r>
    </w:p>
    <w:p w:rsidR="00054FDD" w:rsidRPr="00FA12B5" w:rsidRDefault="00054FDD" w:rsidP="008C75C1">
      <w:pPr>
        <w:spacing w:after="0" w:line="240" w:lineRule="auto"/>
        <w:jc w:val="both"/>
        <w:rPr>
          <w:rFonts w:ascii="Times New Roman" w:hAnsi="Times New Roman"/>
          <w:bCs/>
          <w:sz w:val="24"/>
          <w:szCs w:val="24"/>
        </w:rPr>
      </w:pPr>
    </w:p>
    <w:p w:rsidR="00054FDD" w:rsidRDefault="00054FDD" w:rsidP="008C75C1">
      <w:pPr>
        <w:spacing w:after="0" w:line="240" w:lineRule="auto"/>
        <w:jc w:val="both"/>
        <w:rPr>
          <w:rFonts w:ascii="Times New Roman" w:hAnsi="Times New Roman"/>
          <w:bCs/>
          <w:sz w:val="24"/>
          <w:szCs w:val="24"/>
        </w:rPr>
      </w:pPr>
      <w:r>
        <w:rPr>
          <w:rFonts w:ascii="Times New Roman" w:hAnsi="Times New Roman"/>
          <w:sz w:val="24"/>
        </w:rPr>
        <w:t>Agentura je povinna provádět platby v EUR.</w:t>
      </w:r>
    </w:p>
    <w:p w:rsidR="00054FDD" w:rsidRPr="00FA12B5" w:rsidRDefault="00054FDD" w:rsidP="008C75C1">
      <w:pPr>
        <w:spacing w:after="0" w:line="240" w:lineRule="auto"/>
        <w:jc w:val="both"/>
        <w:rPr>
          <w:rFonts w:ascii="Times New Roman" w:hAnsi="Times New Roman"/>
          <w:bCs/>
          <w:sz w:val="24"/>
          <w:szCs w:val="24"/>
        </w:rPr>
      </w:pPr>
    </w:p>
    <w:p w:rsidR="00054FDD" w:rsidRDefault="00054FDD" w:rsidP="008C75C1">
      <w:pPr>
        <w:pStyle w:val="Nadpis2"/>
        <w:spacing w:before="0"/>
      </w:pPr>
      <w:bookmarkStart w:id="15" w:name="_Toc11236716"/>
      <w:r>
        <w:t>I.4.12</w:t>
      </w:r>
      <w:r>
        <w:tab/>
        <w:t>Datum platby</w:t>
      </w:r>
      <w:bookmarkEnd w:id="15"/>
      <w:r>
        <w:t xml:space="preserve"> </w:t>
      </w:r>
    </w:p>
    <w:p w:rsidR="00054FDD" w:rsidRDefault="00054FDD" w:rsidP="008C75C1">
      <w:pPr>
        <w:spacing w:after="0"/>
        <w:jc w:val="both"/>
        <w:rPr>
          <w:rFonts w:ascii="Times New Roman" w:hAnsi="Times New Roman"/>
          <w:bCs/>
          <w:sz w:val="24"/>
          <w:szCs w:val="24"/>
        </w:rPr>
      </w:pPr>
    </w:p>
    <w:p w:rsidR="00054FDD" w:rsidRDefault="00054FDD" w:rsidP="008C75C1">
      <w:pPr>
        <w:spacing w:after="0"/>
        <w:jc w:val="both"/>
        <w:rPr>
          <w:rFonts w:ascii="Times New Roman" w:hAnsi="Times New Roman"/>
          <w:bCs/>
          <w:sz w:val="24"/>
          <w:szCs w:val="24"/>
        </w:rPr>
      </w:pPr>
      <w:r>
        <w:rPr>
          <w:rFonts w:ascii="Times New Roman" w:hAnsi="Times New Roman"/>
          <w:sz w:val="24"/>
        </w:rPr>
        <w:t>Platby prováděné agenturou jsou považovány za provedené v den, kdy jsou připsány k tíži jejího účtu, nestanoví-li vnitrostátní právo jinak.</w:t>
      </w:r>
    </w:p>
    <w:p w:rsidR="00054FDD" w:rsidRPr="00FA12B5" w:rsidRDefault="00054FDD" w:rsidP="008C75C1">
      <w:pPr>
        <w:spacing w:after="0"/>
        <w:jc w:val="both"/>
        <w:rPr>
          <w:rFonts w:ascii="Times New Roman" w:hAnsi="Times New Roman"/>
          <w:bCs/>
          <w:sz w:val="24"/>
          <w:szCs w:val="24"/>
        </w:rPr>
      </w:pPr>
    </w:p>
    <w:p w:rsidR="00054FDD" w:rsidRDefault="00054FDD" w:rsidP="00C04634">
      <w:pPr>
        <w:pStyle w:val="Nadpis2"/>
        <w:spacing w:before="0"/>
      </w:pPr>
      <w:bookmarkStart w:id="16" w:name="_Toc11236717"/>
      <w:r>
        <w:t>I.4.13</w:t>
      </w:r>
      <w:r>
        <w:tab/>
        <w:t>Náklady na platební převody</w:t>
      </w:r>
      <w:bookmarkEnd w:id="16"/>
      <w:r>
        <w:t xml:space="preserve"> </w:t>
      </w:r>
    </w:p>
    <w:p w:rsidR="00054FDD" w:rsidRPr="008C75C1" w:rsidRDefault="00054FDD" w:rsidP="00C04634">
      <w:pPr>
        <w:spacing w:after="0"/>
      </w:pPr>
    </w:p>
    <w:p w:rsidR="00054FDD" w:rsidRPr="00FA12B5" w:rsidRDefault="00054FDD" w:rsidP="00C04634">
      <w:pPr>
        <w:spacing w:after="0"/>
        <w:rPr>
          <w:rFonts w:ascii="Times New Roman" w:hAnsi="Times New Roman"/>
          <w:color w:val="000000"/>
          <w:sz w:val="24"/>
          <w:szCs w:val="24"/>
        </w:rPr>
      </w:pPr>
      <w:r>
        <w:rPr>
          <w:rFonts w:ascii="Times New Roman" w:hAnsi="Times New Roman"/>
          <w:color w:val="000000"/>
          <w:sz w:val="24"/>
        </w:rPr>
        <w:t>Náklady na platební převody ponesou strany dohody takto:</w:t>
      </w:r>
    </w:p>
    <w:p w:rsidR="00054FDD" w:rsidRPr="00FA12B5" w:rsidRDefault="00054FDD" w:rsidP="00DE149E">
      <w:pPr>
        <w:numPr>
          <w:ilvl w:val="0"/>
          <w:numId w:val="14"/>
        </w:numPr>
        <w:spacing w:after="0" w:line="240" w:lineRule="auto"/>
        <w:jc w:val="both"/>
        <w:rPr>
          <w:rFonts w:ascii="Times New Roman" w:hAnsi="Times New Roman"/>
          <w:bCs/>
          <w:sz w:val="24"/>
          <w:szCs w:val="24"/>
        </w:rPr>
      </w:pPr>
      <w:r>
        <w:rPr>
          <w:rFonts w:ascii="Times New Roman" w:hAnsi="Times New Roman"/>
          <w:sz w:val="24"/>
        </w:rPr>
        <w:t>agentura ponese náklady na převod účtované její bankou;</w:t>
      </w:r>
    </w:p>
    <w:p w:rsidR="00054FDD" w:rsidRPr="00FA12B5" w:rsidRDefault="00054FDD" w:rsidP="00DE149E">
      <w:pPr>
        <w:numPr>
          <w:ilvl w:val="0"/>
          <w:numId w:val="14"/>
        </w:numPr>
        <w:spacing w:after="0" w:line="240" w:lineRule="auto"/>
        <w:jc w:val="both"/>
        <w:rPr>
          <w:rFonts w:ascii="Times New Roman" w:hAnsi="Times New Roman"/>
          <w:bCs/>
          <w:sz w:val="24"/>
          <w:szCs w:val="24"/>
        </w:rPr>
      </w:pPr>
      <w:r>
        <w:rPr>
          <w:rFonts w:ascii="Times New Roman" w:hAnsi="Times New Roman"/>
          <w:sz w:val="24"/>
        </w:rPr>
        <w:t>koordinátor ponese náklady na převod účtované jeho bankou;</w:t>
      </w:r>
    </w:p>
    <w:p w:rsidR="00054FDD" w:rsidRPr="00FA12B5" w:rsidRDefault="00054FDD" w:rsidP="00DE149E">
      <w:pPr>
        <w:numPr>
          <w:ilvl w:val="0"/>
          <w:numId w:val="14"/>
        </w:numPr>
        <w:spacing w:after="0" w:line="240" w:lineRule="auto"/>
        <w:jc w:val="both"/>
        <w:rPr>
          <w:rFonts w:ascii="Times New Roman" w:hAnsi="Times New Roman"/>
          <w:bCs/>
          <w:sz w:val="24"/>
          <w:szCs w:val="24"/>
        </w:rPr>
      </w:pPr>
      <w:r>
        <w:rPr>
          <w:rFonts w:ascii="Times New Roman" w:hAnsi="Times New Roman"/>
          <w:sz w:val="24"/>
        </w:rPr>
        <w:t>strana, která zapříčiní opakování určitého převodu, ponese veškeré náklady spojené s opakovanými převody.</w:t>
      </w:r>
    </w:p>
    <w:p w:rsidR="00054FDD" w:rsidRPr="00FA12B5" w:rsidRDefault="00054FDD" w:rsidP="00C1296D">
      <w:pPr>
        <w:spacing w:after="0" w:line="240" w:lineRule="auto"/>
        <w:jc w:val="both"/>
        <w:rPr>
          <w:rFonts w:ascii="Times New Roman" w:hAnsi="Times New Roman"/>
          <w:bCs/>
          <w:sz w:val="24"/>
          <w:szCs w:val="24"/>
        </w:rPr>
      </w:pPr>
    </w:p>
    <w:p w:rsidR="00054FDD" w:rsidRDefault="00054FDD" w:rsidP="008C75C1">
      <w:pPr>
        <w:pStyle w:val="Nadpis2"/>
        <w:spacing w:before="0"/>
      </w:pPr>
      <w:bookmarkStart w:id="17" w:name="_Toc11236718"/>
      <w:r>
        <w:t>I.4.14</w:t>
      </w:r>
      <w:r>
        <w:tab/>
        <w:t>Úroky z prodlení</w:t>
      </w:r>
      <w:bookmarkEnd w:id="17"/>
    </w:p>
    <w:p w:rsidR="00054FDD" w:rsidRPr="008C75C1" w:rsidRDefault="00054FDD" w:rsidP="008C75C1">
      <w:pPr>
        <w:spacing w:after="0"/>
      </w:pPr>
    </w:p>
    <w:p w:rsidR="00054FDD" w:rsidRPr="00FA12B5" w:rsidRDefault="00054FDD" w:rsidP="00C115B1">
      <w:pPr>
        <w:spacing w:after="120"/>
        <w:jc w:val="both"/>
        <w:rPr>
          <w:rFonts w:ascii="Times New Roman" w:hAnsi="Times New Roman"/>
          <w:sz w:val="24"/>
          <w:szCs w:val="24"/>
        </w:rPr>
      </w:pPr>
      <w:r>
        <w:rPr>
          <w:rFonts w:ascii="Times New Roman" w:hAnsi="Times New Roman"/>
          <w:sz w:val="24"/>
        </w:rPr>
        <w:t xml:space="preserve">Neprovede-li agentura platbu ve lhůtě stanovené pro platby, mají příjemci nárok na úrok z prodlení. Splatný úrok se určuje v souladu s ustanoveními ve vnitrostátním právu, která se vztahují na dohodu, nebo v pravidlech agentury. Neexistují-li taková ustanovení, vypočítá se splatný úrok podle sazby Evropské centrální banky, kterou tato banka používá pro své hlavní refinanční operace v eurech („referenční sazba“), plus tři a půl bodu. Referenční sazbou je </w:t>
      </w:r>
      <w:r>
        <w:rPr>
          <w:rFonts w:ascii="Times New Roman" w:hAnsi="Times New Roman"/>
          <w:sz w:val="24"/>
        </w:rPr>
        <w:lastRenderedPageBreak/>
        <w:t xml:space="preserve">sazba platná v první den měsíce, v němž uplyne platební lhůta, zveřejněná v řadě C </w:t>
      </w:r>
      <w:r>
        <w:rPr>
          <w:rFonts w:ascii="Times New Roman" w:hAnsi="Times New Roman"/>
          <w:i/>
          <w:sz w:val="24"/>
        </w:rPr>
        <w:t>Úředního věstníku Evropské unie</w:t>
      </w:r>
      <w:r>
        <w:rPr>
          <w:rFonts w:ascii="Times New Roman" w:hAnsi="Times New Roman"/>
          <w:sz w:val="24"/>
        </w:rPr>
        <w:t>.</w:t>
      </w:r>
    </w:p>
    <w:p w:rsidR="00054FDD" w:rsidRPr="00FA12B5" w:rsidRDefault="00054FDD" w:rsidP="00C115B1">
      <w:pPr>
        <w:spacing w:after="120"/>
        <w:jc w:val="both"/>
        <w:rPr>
          <w:rFonts w:ascii="Times New Roman" w:hAnsi="Times New Roman"/>
          <w:sz w:val="24"/>
          <w:szCs w:val="24"/>
        </w:rPr>
      </w:pPr>
      <w:r>
        <w:rPr>
          <w:rFonts w:ascii="Times New Roman" w:hAnsi="Times New Roman"/>
          <w:sz w:val="24"/>
        </w:rPr>
        <w:t xml:space="preserve">Pokud </w:t>
      </w:r>
      <w:r w:rsidRPr="00957FF8">
        <w:rPr>
          <w:rFonts w:ascii="Times New Roman" w:hAnsi="Times New Roman"/>
          <w:sz w:val="24"/>
        </w:rPr>
        <w:t>agentura pozastaví lhůtu pro platbu podle článku II.24.2 nebo pozastaví skutečné platby podle článku</w:t>
      </w:r>
      <w:r>
        <w:rPr>
          <w:rFonts w:ascii="Times New Roman" w:hAnsi="Times New Roman"/>
          <w:sz w:val="24"/>
        </w:rPr>
        <w:t xml:space="preserve"> II.24.1, nelze je považovat za opožděné platby.</w:t>
      </w:r>
    </w:p>
    <w:p w:rsidR="00054FDD" w:rsidRPr="00FA12B5" w:rsidRDefault="00054FDD" w:rsidP="00C115B1">
      <w:pPr>
        <w:spacing w:after="120"/>
        <w:jc w:val="both"/>
        <w:rPr>
          <w:rFonts w:ascii="Times New Roman" w:hAnsi="Times New Roman"/>
          <w:sz w:val="24"/>
          <w:szCs w:val="24"/>
        </w:rPr>
      </w:pPr>
      <w:r>
        <w:rPr>
          <w:rFonts w:ascii="Times New Roman" w:hAnsi="Times New Roman"/>
          <w:sz w:val="24"/>
        </w:rPr>
        <w:t>Úroky z prodlení se počítají za období ode dne, jenž následuje po dni splatnosti platby, až do dne provedení skutečné platby včetně ve smyslu článku I.4.12. Při výpočtu konečné výše grantu ve smyslu článku II.25 agentura nepřihlíží ke splatnému úroku.</w:t>
      </w:r>
    </w:p>
    <w:p w:rsidR="00054FDD" w:rsidRPr="00FA12B5" w:rsidRDefault="00054FDD" w:rsidP="00C109D9">
      <w:pPr>
        <w:spacing w:after="0" w:line="240" w:lineRule="auto"/>
        <w:jc w:val="both"/>
        <w:rPr>
          <w:rFonts w:ascii="Times New Roman" w:hAnsi="Times New Roman"/>
          <w:color w:val="000000"/>
          <w:sz w:val="24"/>
          <w:szCs w:val="24"/>
        </w:rPr>
      </w:pPr>
      <w:r>
        <w:rPr>
          <w:rFonts w:ascii="Times New Roman" w:hAnsi="Times New Roman"/>
          <w:color w:val="000000"/>
          <w:sz w:val="24"/>
        </w:rPr>
        <w:t>Odchylně od prvního pododstavce platí, že činí-li vypočtené úroky 200 EUR nebo jsou nižší, musí být koordinátorovi vyplaceny pouze na jeho žádost podanou do dvou měsíců od připsání opožděné platby.</w:t>
      </w:r>
    </w:p>
    <w:p w:rsidR="00054FDD" w:rsidRPr="00FA12B5" w:rsidRDefault="00054FDD" w:rsidP="000170DD">
      <w:pPr>
        <w:pStyle w:val="Nadpis1"/>
        <w:rPr>
          <w:rFonts w:cs="Times New Roman"/>
        </w:rPr>
      </w:pPr>
      <w:bookmarkStart w:id="18" w:name="_Toc11236719"/>
      <w:r>
        <w:t>ČLÁNEK I.5 – BANKOVNÍ ÚČET PRO PLATBY</w:t>
      </w:r>
      <w:bookmarkEnd w:id="18"/>
      <w:r>
        <w:t xml:space="preserve"> </w:t>
      </w:r>
    </w:p>
    <w:p w:rsidR="00054FDD" w:rsidRPr="00FA12B5" w:rsidRDefault="00054FDD">
      <w:pPr>
        <w:spacing w:after="0"/>
        <w:jc w:val="both"/>
        <w:rPr>
          <w:rFonts w:ascii="Times New Roman" w:hAnsi="Times New Roman"/>
          <w:sz w:val="24"/>
          <w:szCs w:val="24"/>
        </w:rPr>
      </w:pPr>
    </w:p>
    <w:p w:rsidR="00054FDD" w:rsidRPr="00FA12B5" w:rsidRDefault="00054FDD" w:rsidP="00C04634">
      <w:pPr>
        <w:spacing w:after="0"/>
        <w:jc w:val="both"/>
        <w:rPr>
          <w:rFonts w:ascii="Times New Roman" w:hAnsi="Times New Roman"/>
          <w:sz w:val="24"/>
          <w:szCs w:val="24"/>
        </w:rPr>
      </w:pPr>
      <w:r>
        <w:rPr>
          <w:rFonts w:ascii="Times New Roman" w:hAnsi="Times New Roman"/>
          <w:sz w:val="24"/>
        </w:rPr>
        <w:t>Veškeré platby jsou poukazovány na níže uvedený bankovní účet koordinátora:</w:t>
      </w:r>
    </w:p>
    <w:p w:rsidR="00054FDD" w:rsidRPr="00FA12B5" w:rsidRDefault="00054FDD" w:rsidP="00C04634">
      <w:pPr>
        <w:spacing w:after="0"/>
        <w:rPr>
          <w:rFonts w:ascii="Times New Roman" w:hAnsi="Times New Roman"/>
          <w:sz w:val="24"/>
          <w:szCs w:val="24"/>
        </w:rPr>
      </w:pPr>
      <w:r>
        <w:tab/>
      </w:r>
    </w:p>
    <w:p w:rsidR="00054FDD" w:rsidRPr="00260B18" w:rsidRDefault="00054FDD" w:rsidP="00C04634">
      <w:pPr>
        <w:spacing w:after="0"/>
        <w:rPr>
          <w:rFonts w:ascii="Times New Roman" w:hAnsi="Times New Roman"/>
          <w:sz w:val="24"/>
          <w:szCs w:val="24"/>
          <w:shd w:val="clear" w:color="auto" w:fill="FFFF00"/>
        </w:rPr>
      </w:pPr>
      <w:r w:rsidRPr="00260B18">
        <w:rPr>
          <w:rFonts w:ascii="Times New Roman" w:hAnsi="Times New Roman"/>
          <w:sz w:val="24"/>
        </w:rPr>
        <w:t xml:space="preserve">Název banky: </w:t>
      </w:r>
      <w:r w:rsidRPr="00260B18">
        <w:rPr>
          <w:rFonts w:ascii="Times New Roman" w:eastAsia="Times New Roman" w:hAnsi="Times New Roman"/>
          <w:b/>
          <w:noProof/>
          <w:sz w:val="24"/>
          <w:szCs w:val="24"/>
        </w:rPr>
        <w:t>Komerční banka, a.s.</w:t>
      </w:r>
      <w:r w:rsidRPr="00260B18">
        <w:rPr>
          <w:rFonts w:ascii="Times New Roman" w:eastAsia="Times New Roman" w:hAnsi="Times New Roman"/>
          <w:sz w:val="24"/>
          <w:szCs w:val="24"/>
        </w:rPr>
        <w:tab/>
      </w:r>
      <w:r w:rsidRPr="00260B18">
        <w:tab/>
      </w:r>
      <w:r w:rsidRPr="00260B18">
        <w:tab/>
      </w:r>
      <w:r w:rsidRPr="00260B18">
        <w:rPr>
          <w:rFonts w:ascii="Times New Roman" w:hAnsi="Times New Roman"/>
          <w:sz w:val="24"/>
          <w:szCs w:val="24"/>
        </w:rPr>
        <w:br/>
      </w:r>
      <w:r w:rsidRPr="00260B18">
        <w:rPr>
          <w:rFonts w:ascii="Times New Roman" w:hAnsi="Times New Roman"/>
          <w:sz w:val="24"/>
        </w:rPr>
        <w:t xml:space="preserve">Přesný název/jméno majitele účtu: </w:t>
      </w:r>
      <w:r w:rsidRPr="00260B18">
        <w:rPr>
          <w:rFonts w:ascii="Times New Roman" w:eastAsia="Times New Roman" w:hAnsi="Times New Roman"/>
          <w:b/>
          <w:noProof/>
          <w:sz w:val="24"/>
          <w:szCs w:val="24"/>
        </w:rPr>
        <w:t>Královéhradecký kraj</w:t>
      </w:r>
      <w:r w:rsidRPr="00260B18">
        <w:rPr>
          <w:rFonts w:ascii="Times New Roman" w:hAnsi="Times New Roman"/>
          <w:sz w:val="24"/>
          <w:szCs w:val="24"/>
        </w:rPr>
        <w:tab/>
      </w:r>
      <w:r w:rsidRPr="00260B18">
        <w:rPr>
          <w:rFonts w:ascii="Times New Roman" w:hAnsi="Times New Roman"/>
          <w:sz w:val="24"/>
          <w:szCs w:val="24"/>
        </w:rPr>
        <w:br/>
      </w:r>
      <w:r w:rsidRPr="00260B18">
        <w:rPr>
          <w:rFonts w:ascii="Times New Roman" w:hAnsi="Times New Roman"/>
          <w:sz w:val="24"/>
        </w:rPr>
        <w:t xml:space="preserve">Úplné číslo účtu (včetně bankovních kódů): </w:t>
      </w:r>
      <w:r w:rsidRPr="00260B18">
        <w:rPr>
          <w:rFonts w:ascii="Times New Roman" w:hAnsi="Times New Roman"/>
          <w:sz w:val="24"/>
          <w:szCs w:val="24"/>
        </w:rPr>
        <w:br/>
      </w:r>
      <w:r w:rsidRPr="00260B18">
        <w:rPr>
          <w:rFonts w:ascii="Times New Roman" w:hAnsi="Times New Roman"/>
          <w:sz w:val="24"/>
        </w:rPr>
        <w:t xml:space="preserve">Kód IBAN: </w:t>
      </w:r>
    </w:p>
    <w:p w:rsidR="00054FDD" w:rsidRPr="00853FE5" w:rsidRDefault="00054FDD">
      <w:pPr>
        <w:spacing w:after="0"/>
        <w:rPr>
          <w:rFonts w:ascii="Times New Roman" w:hAnsi="Times New Roman"/>
          <w:sz w:val="24"/>
        </w:rPr>
      </w:pPr>
      <w:r w:rsidRPr="00260B18">
        <w:rPr>
          <w:rFonts w:ascii="Times New Roman" w:hAnsi="Times New Roman"/>
          <w:sz w:val="24"/>
        </w:rPr>
        <w:t xml:space="preserve">Měna: </w:t>
      </w:r>
      <w:r w:rsidRPr="00260B18">
        <w:rPr>
          <w:rFonts w:ascii="Times New Roman" w:eastAsia="Times New Roman" w:hAnsi="Times New Roman"/>
          <w:b/>
          <w:noProof/>
          <w:sz w:val="24"/>
          <w:szCs w:val="24"/>
        </w:rPr>
        <w:t>EUR</w:t>
      </w:r>
    </w:p>
    <w:p w:rsidR="00054FDD" w:rsidRPr="00FA12B5" w:rsidRDefault="00054FDD">
      <w:pPr>
        <w:spacing w:after="0"/>
        <w:rPr>
          <w:rFonts w:ascii="Times New Roman" w:hAnsi="Times New Roman"/>
        </w:rPr>
      </w:pPr>
    </w:p>
    <w:p w:rsidR="00054FDD" w:rsidRPr="00FA12B5" w:rsidRDefault="00054FDD" w:rsidP="00DE149E">
      <w:pPr>
        <w:pStyle w:val="Nadpis1"/>
        <w:spacing w:before="0"/>
        <w:jc w:val="both"/>
        <w:rPr>
          <w:rFonts w:eastAsia="Times New Roman" w:cs="Times New Roman"/>
        </w:rPr>
      </w:pPr>
      <w:bookmarkStart w:id="19" w:name="_Toc11236720"/>
      <w:r>
        <w:t xml:space="preserve">ČLÁNEK I.6 </w:t>
      </w:r>
      <w:proofErr w:type="gramStart"/>
      <w:r>
        <w:t>–  ZPRACOVÁNÍ</w:t>
      </w:r>
      <w:proofErr w:type="gramEnd"/>
      <w:r>
        <w:t xml:space="preserve"> OSOBNÍCH ÚDAJŮ A ÚDAJE STRAN PRO KOMUNIKACI</w:t>
      </w:r>
      <w:bookmarkEnd w:id="19"/>
      <w:r>
        <w:t xml:space="preserve"> </w:t>
      </w:r>
    </w:p>
    <w:p w:rsidR="00054FDD" w:rsidRPr="00FA12B5" w:rsidRDefault="00054FDD" w:rsidP="008C75C1">
      <w:pPr>
        <w:spacing w:after="0" w:line="240" w:lineRule="auto"/>
        <w:jc w:val="both"/>
        <w:rPr>
          <w:rFonts w:ascii="Times New Roman" w:eastAsia="Times New Roman" w:hAnsi="Times New Roman"/>
          <w:b/>
          <w:sz w:val="24"/>
          <w:szCs w:val="24"/>
        </w:rPr>
      </w:pPr>
      <w:r>
        <w:rPr>
          <w:rFonts w:ascii="Times New Roman" w:hAnsi="Times New Roman"/>
          <w:b/>
          <w:sz w:val="24"/>
        </w:rPr>
        <w:t xml:space="preserve"> </w:t>
      </w:r>
    </w:p>
    <w:p w:rsidR="00054FDD" w:rsidRPr="00550615" w:rsidRDefault="00054FDD" w:rsidP="00550615">
      <w:pPr>
        <w:spacing w:after="0"/>
        <w:rPr>
          <w:rFonts w:ascii="Times New Roman" w:eastAsia="Times New Roman" w:hAnsi="Times New Roman"/>
          <w:bCs/>
          <w:sz w:val="24"/>
          <w:szCs w:val="26"/>
        </w:rPr>
      </w:pPr>
      <w:r w:rsidRPr="00550615">
        <w:rPr>
          <w:rFonts w:ascii="Times New Roman" w:eastAsia="Times New Roman" w:hAnsi="Times New Roman"/>
          <w:bCs/>
          <w:sz w:val="24"/>
          <w:szCs w:val="26"/>
        </w:rPr>
        <w:t xml:space="preserve">Pro účely článku II.7 je správcem údajů: </w:t>
      </w:r>
    </w:p>
    <w:p w:rsidR="00054FDD" w:rsidRDefault="00054FDD" w:rsidP="00F02393">
      <w:pPr>
        <w:spacing w:after="0"/>
        <w:rPr>
          <w:rFonts w:ascii="Times New Roman" w:eastAsia="Times New Roman" w:hAnsi="Times New Roman"/>
          <w:bCs/>
          <w:sz w:val="24"/>
          <w:szCs w:val="26"/>
        </w:rPr>
      </w:pPr>
    </w:p>
    <w:p w:rsidR="00054FDD" w:rsidRDefault="00054FDD" w:rsidP="00F02393">
      <w:pPr>
        <w:spacing w:after="0"/>
        <w:rPr>
          <w:rFonts w:ascii="Times New Roman" w:eastAsia="Times New Roman" w:hAnsi="Times New Roman"/>
          <w:bCs/>
          <w:sz w:val="24"/>
          <w:szCs w:val="26"/>
        </w:rPr>
      </w:pPr>
      <w:r w:rsidRPr="00F02393">
        <w:rPr>
          <w:rFonts w:ascii="Times New Roman" w:eastAsia="Times New Roman" w:hAnsi="Times New Roman"/>
          <w:bCs/>
          <w:sz w:val="24"/>
          <w:szCs w:val="26"/>
        </w:rPr>
        <w:t xml:space="preserve">Vedoucí </w:t>
      </w:r>
      <w:r>
        <w:rPr>
          <w:rFonts w:ascii="Times New Roman" w:eastAsia="Times New Roman" w:hAnsi="Times New Roman"/>
          <w:bCs/>
          <w:sz w:val="24"/>
          <w:szCs w:val="26"/>
        </w:rPr>
        <w:t>oddělení B4</w:t>
      </w:r>
    </w:p>
    <w:p w:rsidR="00054FDD" w:rsidRDefault="00054FDD" w:rsidP="00F02393">
      <w:pPr>
        <w:spacing w:after="0"/>
        <w:rPr>
          <w:rFonts w:ascii="Times New Roman" w:eastAsia="Times New Roman" w:hAnsi="Times New Roman"/>
          <w:bCs/>
          <w:sz w:val="24"/>
          <w:szCs w:val="26"/>
        </w:rPr>
      </w:pPr>
      <w:r>
        <w:rPr>
          <w:rFonts w:ascii="Times New Roman" w:eastAsia="Times New Roman" w:hAnsi="Times New Roman"/>
          <w:bCs/>
          <w:sz w:val="24"/>
          <w:szCs w:val="26"/>
        </w:rPr>
        <w:t>Ředitelství B – Mládež, vzdělávání a Erasmus+</w:t>
      </w:r>
    </w:p>
    <w:p w:rsidR="00054FDD" w:rsidRDefault="00054FDD" w:rsidP="00F02393">
      <w:pPr>
        <w:spacing w:after="0"/>
        <w:rPr>
          <w:rFonts w:ascii="Times New Roman" w:eastAsia="Times New Roman" w:hAnsi="Times New Roman"/>
          <w:bCs/>
          <w:sz w:val="24"/>
          <w:szCs w:val="26"/>
        </w:rPr>
      </w:pPr>
      <w:r>
        <w:rPr>
          <w:rFonts w:ascii="Times New Roman" w:eastAsia="Times New Roman" w:hAnsi="Times New Roman"/>
          <w:bCs/>
          <w:sz w:val="24"/>
          <w:szCs w:val="26"/>
        </w:rPr>
        <w:t>Generální ředitelství pro vzdělávání, mládež, sport a kulturu</w:t>
      </w:r>
    </w:p>
    <w:p w:rsidR="00054FDD" w:rsidRDefault="00054FDD" w:rsidP="00F02393">
      <w:pPr>
        <w:spacing w:after="0"/>
        <w:rPr>
          <w:rFonts w:ascii="Times New Roman" w:eastAsia="Times New Roman" w:hAnsi="Times New Roman"/>
          <w:bCs/>
          <w:sz w:val="24"/>
          <w:szCs w:val="26"/>
        </w:rPr>
      </w:pPr>
      <w:r>
        <w:rPr>
          <w:rFonts w:ascii="Times New Roman" w:eastAsia="Times New Roman" w:hAnsi="Times New Roman"/>
          <w:bCs/>
          <w:sz w:val="24"/>
          <w:szCs w:val="26"/>
        </w:rPr>
        <w:t>Evropská komise</w:t>
      </w:r>
    </w:p>
    <w:p w:rsidR="00054FDD" w:rsidRDefault="00054FDD" w:rsidP="00F02393">
      <w:pPr>
        <w:spacing w:after="0"/>
        <w:rPr>
          <w:rFonts w:ascii="Times New Roman" w:eastAsia="Times New Roman" w:hAnsi="Times New Roman"/>
          <w:bCs/>
          <w:sz w:val="24"/>
          <w:szCs w:val="26"/>
        </w:rPr>
      </w:pPr>
      <w:r>
        <w:rPr>
          <w:rFonts w:ascii="Times New Roman" w:eastAsia="Times New Roman" w:hAnsi="Times New Roman"/>
          <w:bCs/>
          <w:sz w:val="24"/>
          <w:szCs w:val="26"/>
        </w:rPr>
        <w:t>B-1049 Brusel</w:t>
      </w:r>
    </w:p>
    <w:p w:rsidR="00054FDD" w:rsidRDefault="00054FDD" w:rsidP="00F02393">
      <w:pPr>
        <w:spacing w:after="0"/>
        <w:rPr>
          <w:rFonts w:ascii="Times New Roman" w:eastAsia="Times New Roman" w:hAnsi="Times New Roman"/>
          <w:bCs/>
          <w:sz w:val="24"/>
          <w:szCs w:val="26"/>
        </w:rPr>
      </w:pPr>
      <w:r>
        <w:rPr>
          <w:rFonts w:ascii="Times New Roman" w:eastAsia="Times New Roman" w:hAnsi="Times New Roman"/>
          <w:bCs/>
          <w:sz w:val="24"/>
          <w:szCs w:val="26"/>
        </w:rPr>
        <w:t>Belgie</w:t>
      </w:r>
    </w:p>
    <w:p w:rsidR="00054FDD" w:rsidRPr="00FA12B5" w:rsidRDefault="00054FDD" w:rsidP="008C75C1">
      <w:pPr>
        <w:spacing w:after="0" w:line="240" w:lineRule="auto"/>
        <w:rPr>
          <w:rFonts w:ascii="Times New Roman" w:eastAsia="Times New Roman" w:hAnsi="Times New Roman"/>
          <w:sz w:val="24"/>
          <w:szCs w:val="24"/>
        </w:rPr>
      </w:pPr>
    </w:p>
    <w:p w:rsidR="00054FDD" w:rsidRPr="00FA12B5" w:rsidRDefault="00054FDD" w:rsidP="008C75C1">
      <w:pPr>
        <w:pStyle w:val="Nadpis2"/>
        <w:spacing w:before="0"/>
      </w:pPr>
      <w:bookmarkStart w:id="20" w:name="_Toc11236721"/>
      <w:r>
        <w:t>I.6.1 Údaje pro komunikaci – agentura</w:t>
      </w:r>
      <w:bookmarkEnd w:id="20"/>
    </w:p>
    <w:p w:rsidR="00054FDD" w:rsidRPr="00FA12B5" w:rsidRDefault="00054FDD" w:rsidP="008C75C1">
      <w:pPr>
        <w:spacing w:after="0" w:line="240" w:lineRule="auto"/>
        <w:ind w:left="720" w:hanging="720"/>
        <w:jc w:val="both"/>
        <w:rPr>
          <w:rFonts w:ascii="Times New Roman" w:eastAsia="Times New Roman" w:hAnsi="Times New Roman"/>
          <w:sz w:val="24"/>
          <w:szCs w:val="24"/>
        </w:rPr>
      </w:pPr>
    </w:p>
    <w:p w:rsidR="00054FDD" w:rsidRPr="00FA12B5" w:rsidRDefault="00054FDD" w:rsidP="008C75C1">
      <w:pPr>
        <w:spacing w:after="0" w:line="240" w:lineRule="auto"/>
        <w:jc w:val="both"/>
        <w:rPr>
          <w:rFonts w:ascii="Times New Roman" w:eastAsia="Times New Roman" w:hAnsi="Times New Roman"/>
          <w:i/>
          <w:sz w:val="24"/>
          <w:szCs w:val="24"/>
        </w:rPr>
      </w:pPr>
      <w:r>
        <w:rPr>
          <w:rFonts w:ascii="Times New Roman" w:hAnsi="Times New Roman"/>
          <w:sz w:val="24"/>
        </w:rPr>
        <w:t>Veškerá sdělení určená agentuře musí koordinátor zasílat na tuto adresu:</w:t>
      </w:r>
    </w:p>
    <w:p w:rsidR="00054FDD" w:rsidRPr="00FA12B5" w:rsidRDefault="00054FDD">
      <w:pPr>
        <w:spacing w:after="0" w:line="240" w:lineRule="auto"/>
        <w:ind w:left="720"/>
        <w:rPr>
          <w:rFonts w:ascii="Times New Roman" w:eastAsia="Times New Roman" w:hAnsi="Times New Roman"/>
          <w:i/>
          <w:sz w:val="24"/>
          <w:szCs w:val="24"/>
        </w:rPr>
      </w:pPr>
    </w:p>
    <w:p w:rsidR="00054FDD" w:rsidRPr="00995EA3" w:rsidRDefault="00054FDD" w:rsidP="00995EA3">
      <w:pPr>
        <w:suppressAutoHyphens w:val="0"/>
        <w:autoSpaceDE w:val="0"/>
        <w:autoSpaceDN w:val="0"/>
        <w:adjustRightInd w:val="0"/>
        <w:spacing w:after="0" w:line="240" w:lineRule="auto"/>
        <w:rPr>
          <w:rFonts w:ascii="Times New Roman" w:eastAsia="Times New Roman" w:hAnsi="Times New Roman"/>
          <w:color w:val="000000"/>
          <w:sz w:val="23"/>
          <w:szCs w:val="23"/>
          <w:lang w:bidi="ar-SA"/>
        </w:rPr>
      </w:pPr>
      <w:r w:rsidRPr="00995EA3">
        <w:rPr>
          <w:rFonts w:ascii="Times New Roman" w:eastAsia="Times New Roman" w:hAnsi="Times New Roman"/>
          <w:i/>
          <w:iCs/>
          <w:color w:val="000000"/>
          <w:sz w:val="23"/>
          <w:szCs w:val="23"/>
          <w:lang w:bidi="ar-SA"/>
        </w:rPr>
        <w:t xml:space="preserve">Dům zahraniční spolupráce </w:t>
      </w:r>
    </w:p>
    <w:p w:rsidR="00054FDD" w:rsidRPr="00995EA3" w:rsidRDefault="00054FDD" w:rsidP="00995EA3">
      <w:pPr>
        <w:suppressAutoHyphens w:val="0"/>
        <w:autoSpaceDE w:val="0"/>
        <w:autoSpaceDN w:val="0"/>
        <w:adjustRightInd w:val="0"/>
        <w:spacing w:after="0" w:line="240" w:lineRule="auto"/>
        <w:rPr>
          <w:rFonts w:ascii="Times New Roman" w:eastAsia="Times New Roman" w:hAnsi="Times New Roman"/>
          <w:color w:val="000000"/>
          <w:sz w:val="23"/>
          <w:szCs w:val="23"/>
          <w:lang w:bidi="ar-SA"/>
        </w:rPr>
      </w:pPr>
      <w:r w:rsidRPr="00995EA3">
        <w:rPr>
          <w:rFonts w:ascii="Times New Roman" w:eastAsia="Times New Roman" w:hAnsi="Times New Roman"/>
          <w:i/>
          <w:iCs/>
          <w:color w:val="000000"/>
          <w:sz w:val="23"/>
          <w:szCs w:val="23"/>
          <w:lang w:bidi="ar-SA"/>
        </w:rPr>
        <w:t xml:space="preserve">Na Poříčí 1035/4 </w:t>
      </w:r>
    </w:p>
    <w:p w:rsidR="00054FDD" w:rsidRDefault="00054FDD" w:rsidP="00995EA3">
      <w:pPr>
        <w:suppressAutoHyphens w:val="0"/>
        <w:autoSpaceDE w:val="0"/>
        <w:autoSpaceDN w:val="0"/>
        <w:adjustRightInd w:val="0"/>
        <w:spacing w:after="0" w:line="240" w:lineRule="auto"/>
        <w:rPr>
          <w:rFonts w:ascii="Times New Roman" w:eastAsia="Times New Roman" w:hAnsi="Times New Roman"/>
          <w:i/>
          <w:iCs/>
          <w:color w:val="000000"/>
          <w:sz w:val="23"/>
          <w:szCs w:val="23"/>
          <w:lang w:bidi="ar-SA"/>
        </w:rPr>
      </w:pPr>
      <w:r w:rsidRPr="00995EA3">
        <w:rPr>
          <w:rFonts w:ascii="Times New Roman" w:eastAsia="Times New Roman" w:hAnsi="Times New Roman"/>
          <w:i/>
          <w:iCs/>
          <w:color w:val="000000"/>
          <w:sz w:val="23"/>
          <w:szCs w:val="23"/>
          <w:lang w:bidi="ar-SA"/>
        </w:rPr>
        <w:t>110 00, Praha 1, Česká republika</w:t>
      </w:r>
    </w:p>
    <w:p w:rsidR="00054FDD" w:rsidRPr="00995EA3" w:rsidRDefault="00054FDD" w:rsidP="00995EA3">
      <w:pPr>
        <w:suppressAutoHyphens w:val="0"/>
        <w:autoSpaceDE w:val="0"/>
        <w:autoSpaceDN w:val="0"/>
        <w:adjustRightInd w:val="0"/>
        <w:spacing w:after="0" w:line="240" w:lineRule="auto"/>
        <w:rPr>
          <w:rFonts w:ascii="Times New Roman" w:eastAsia="Times New Roman" w:hAnsi="Times New Roman"/>
          <w:color w:val="000000"/>
          <w:sz w:val="23"/>
          <w:szCs w:val="23"/>
          <w:lang w:bidi="ar-SA"/>
        </w:rPr>
      </w:pPr>
      <w:r w:rsidRPr="00995EA3">
        <w:rPr>
          <w:rFonts w:ascii="Times New Roman" w:eastAsia="Times New Roman" w:hAnsi="Times New Roman"/>
          <w:i/>
          <w:iCs/>
          <w:color w:val="000000"/>
          <w:sz w:val="23"/>
          <w:szCs w:val="23"/>
          <w:lang w:bidi="ar-SA"/>
        </w:rPr>
        <w:t xml:space="preserve"> </w:t>
      </w:r>
    </w:p>
    <w:p w:rsidR="00054FDD" w:rsidRPr="00FA12B5" w:rsidRDefault="00054FDD" w:rsidP="00995EA3">
      <w:pPr>
        <w:spacing w:after="0" w:line="240" w:lineRule="auto"/>
        <w:rPr>
          <w:rFonts w:ascii="Times New Roman" w:eastAsia="Times New Roman" w:hAnsi="Times New Roman"/>
          <w:color w:val="000000"/>
          <w:sz w:val="24"/>
          <w:szCs w:val="24"/>
        </w:rPr>
      </w:pPr>
      <w:r w:rsidRPr="00995EA3">
        <w:rPr>
          <w:rFonts w:ascii="Times New Roman" w:eastAsia="Times New Roman" w:hAnsi="Times New Roman"/>
          <w:i/>
          <w:iCs/>
          <w:color w:val="000000"/>
          <w:sz w:val="23"/>
          <w:szCs w:val="23"/>
          <w:lang w:bidi="ar-SA"/>
        </w:rPr>
        <w:t xml:space="preserve">E-mailová adresa: </w:t>
      </w:r>
    </w:p>
    <w:p w:rsidR="00054FDD" w:rsidRPr="00FA12B5" w:rsidRDefault="00054FDD">
      <w:pPr>
        <w:spacing w:after="0" w:line="240" w:lineRule="auto"/>
        <w:ind w:firstLine="720"/>
        <w:rPr>
          <w:rFonts w:ascii="Times New Roman" w:eastAsia="Times New Roman" w:hAnsi="Times New Roman"/>
          <w:color w:val="000000"/>
          <w:sz w:val="24"/>
          <w:szCs w:val="24"/>
        </w:rPr>
      </w:pPr>
    </w:p>
    <w:p w:rsidR="00054FDD" w:rsidRDefault="00054FDD" w:rsidP="00A23DD1">
      <w:pPr>
        <w:spacing w:after="0" w:line="240" w:lineRule="auto"/>
        <w:jc w:val="both"/>
        <w:rPr>
          <w:rFonts w:ascii="Times New Roman" w:eastAsia="Times New Roman" w:hAnsi="Times New Roman"/>
          <w:i/>
          <w:sz w:val="24"/>
          <w:szCs w:val="24"/>
        </w:rPr>
      </w:pPr>
    </w:p>
    <w:p w:rsidR="00054FDD" w:rsidRPr="00FA12B5" w:rsidRDefault="00054FDD" w:rsidP="00853FE5">
      <w:pPr>
        <w:spacing w:after="0" w:line="240" w:lineRule="auto"/>
        <w:jc w:val="both"/>
        <w:rPr>
          <w:rFonts w:ascii="Times New Roman" w:eastAsia="Times New Roman" w:hAnsi="Times New Roman"/>
          <w:i/>
          <w:sz w:val="24"/>
          <w:szCs w:val="24"/>
        </w:rPr>
      </w:pPr>
      <w:r w:rsidRPr="00853FE5">
        <w:t xml:space="preserve"> </w:t>
      </w:r>
    </w:p>
    <w:p w:rsidR="00054FDD" w:rsidRPr="00FA12B5" w:rsidRDefault="00054FDD" w:rsidP="00190728">
      <w:pPr>
        <w:pStyle w:val="Nadpis2"/>
      </w:pPr>
      <w:bookmarkStart w:id="21" w:name="_Toc11236722"/>
      <w:r>
        <w:t>I.6.2 Údaje pro komunikaci – příjemci</w:t>
      </w:r>
      <w:bookmarkEnd w:id="21"/>
    </w:p>
    <w:p w:rsidR="00054FDD" w:rsidRPr="00FA12B5" w:rsidRDefault="00054FDD">
      <w:pPr>
        <w:spacing w:after="0" w:line="240" w:lineRule="auto"/>
        <w:ind w:left="720" w:hanging="720"/>
        <w:jc w:val="both"/>
        <w:rPr>
          <w:rFonts w:ascii="Times New Roman" w:eastAsia="Times New Roman" w:hAnsi="Times New Roman"/>
          <w:b/>
          <w:sz w:val="24"/>
          <w:szCs w:val="24"/>
        </w:rPr>
      </w:pPr>
    </w:p>
    <w:p w:rsidR="00054FDD" w:rsidRPr="00FA12B5" w:rsidRDefault="00054FDD">
      <w:pPr>
        <w:spacing w:after="0" w:line="240" w:lineRule="auto"/>
        <w:jc w:val="both"/>
        <w:rPr>
          <w:rFonts w:ascii="Times New Roman" w:eastAsia="Times New Roman" w:hAnsi="Times New Roman"/>
          <w:sz w:val="24"/>
          <w:szCs w:val="24"/>
        </w:rPr>
      </w:pPr>
      <w:r>
        <w:rPr>
          <w:rFonts w:ascii="Times New Roman" w:hAnsi="Times New Roman"/>
          <w:sz w:val="24"/>
        </w:rPr>
        <w:t>Veškerá sdělení určená příjemcům musí agentura zaslat koordinátorovi na tuto adresu:</w:t>
      </w:r>
    </w:p>
    <w:p w:rsidR="00054FDD" w:rsidRPr="00FA12B5" w:rsidRDefault="00054FDD">
      <w:pPr>
        <w:spacing w:after="0" w:line="240" w:lineRule="auto"/>
        <w:rPr>
          <w:rFonts w:ascii="Times New Roman" w:eastAsia="Times New Roman" w:hAnsi="Times New Roman"/>
          <w:sz w:val="24"/>
          <w:szCs w:val="24"/>
        </w:rPr>
      </w:pPr>
    </w:p>
    <w:p w:rsidR="00054FDD" w:rsidRPr="00260B18" w:rsidRDefault="00054FDD" w:rsidP="00260B18">
      <w:pPr>
        <w:suppressAutoHyphens w:val="0"/>
        <w:autoSpaceDE w:val="0"/>
        <w:autoSpaceDN w:val="0"/>
        <w:adjustRightInd w:val="0"/>
        <w:spacing w:after="0" w:line="240" w:lineRule="auto"/>
        <w:rPr>
          <w:rFonts w:ascii="Times New Roman" w:eastAsia="Times New Roman" w:hAnsi="Times New Roman"/>
          <w:i/>
          <w:iCs/>
          <w:color w:val="000000"/>
          <w:sz w:val="23"/>
          <w:szCs w:val="23"/>
          <w:lang w:bidi="ar-SA"/>
        </w:rPr>
      </w:pPr>
      <w:r w:rsidRPr="00260B18">
        <w:rPr>
          <w:rFonts w:ascii="Times New Roman" w:eastAsia="Times New Roman" w:hAnsi="Times New Roman"/>
          <w:i/>
          <w:iCs/>
          <w:color w:val="000000"/>
          <w:sz w:val="23"/>
          <w:szCs w:val="23"/>
          <w:lang w:bidi="ar-SA"/>
        </w:rPr>
        <w:t xml:space="preserve">PhDr. Jiří Štěpán </w:t>
      </w:r>
    </w:p>
    <w:p w:rsidR="00054FDD" w:rsidRPr="00260B18" w:rsidRDefault="00054FDD" w:rsidP="00260B18">
      <w:pPr>
        <w:suppressAutoHyphens w:val="0"/>
        <w:autoSpaceDE w:val="0"/>
        <w:autoSpaceDN w:val="0"/>
        <w:adjustRightInd w:val="0"/>
        <w:spacing w:after="0" w:line="240" w:lineRule="auto"/>
        <w:rPr>
          <w:rFonts w:ascii="Times New Roman" w:eastAsia="Times New Roman" w:hAnsi="Times New Roman"/>
          <w:i/>
          <w:iCs/>
          <w:color w:val="000000"/>
          <w:sz w:val="23"/>
          <w:szCs w:val="23"/>
          <w:lang w:bidi="ar-SA"/>
        </w:rPr>
      </w:pPr>
      <w:r w:rsidRPr="00260B18">
        <w:rPr>
          <w:rFonts w:ascii="Times New Roman" w:eastAsia="Times New Roman" w:hAnsi="Times New Roman"/>
          <w:i/>
          <w:iCs/>
          <w:color w:val="000000"/>
          <w:sz w:val="23"/>
          <w:szCs w:val="23"/>
          <w:lang w:bidi="ar-SA"/>
        </w:rPr>
        <w:t>hejtman</w:t>
      </w:r>
    </w:p>
    <w:p w:rsidR="00054FDD" w:rsidRPr="00260B18" w:rsidRDefault="00054FDD" w:rsidP="00260B18">
      <w:pPr>
        <w:suppressAutoHyphens w:val="0"/>
        <w:autoSpaceDE w:val="0"/>
        <w:autoSpaceDN w:val="0"/>
        <w:adjustRightInd w:val="0"/>
        <w:spacing w:after="0" w:line="240" w:lineRule="auto"/>
        <w:rPr>
          <w:rFonts w:ascii="Times New Roman" w:eastAsia="Times New Roman" w:hAnsi="Times New Roman"/>
          <w:i/>
          <w:iCs/>
          <w:color w:val="000000"/>
          <w:sz w:val="23"/>
          <w:szCs w:val="23"/>
          <w:lang w:bidi="ar-SA"/>
        </w:rPr>
      </w:pPr>
      <w:r w:rsidRPr="00260B18">
        <w:rPr>
          <w:rFonts w:ascii="Times New Roman" w:eastAsia="Times New Roman" w:hAnsi="Times New Roman"/>
          <w:i/>
          <w:iCs/>
          <w:color w:val="000000"/>
          <w:sz w:val="23"/>
          <w:szCs w:val="23"/>
          <w:lang w:bidi="ar-SA"/>
        </w:rPr>
        <w:t>Královéhradecký kraj</w:t>
      </w:r>
    </w:p>
    <w:p w:rsidR="00054FDD" w:rsidRPr="00260B18" w:rsidRDefault="00054FDD" w:rsidP="00260B18">
      <w:pPr>
        <w:suppressAutoHyphens w:val="0"/>
        <w:autoSpaceDE w:val="0"/>
        <w:autoSpaceDN w:val="0"/>
        <w:adjustRightInd w:val="0"/>
        <w:spacing w:after="0" w:line="240" w:lineRule="auto"/>
        <w:rPr>
          <w:rFonts w:ascii="Times New Roman" w:eastAsia="Times New Roman" w:hAnsi="Times New Roman"/>
          <w:i/>
          <w:iCs/>
          <w:color w:val="000000"/>
          <w:sz w:val="23"/>
          <w:szCs w:val="23"/>
          <w:lang w:bidi="ar-SA"/>
        </w:rPr>
      </w:pPr>
      <w:r w:rsidRPr="00260B18">
        <w:rPr>
          <w:rFonts w:ascii="Times New Roman" w:eastAsia="Times New Roman" w:hAnsi="Times New Roman"/>
          <w:i/>
          <w:iCs/>
          <w:color w:val="000000"/>
          <w:sz w:val="23"/>
          <w:szCs w:val="23"/>
          <w:lang w:bidi="ar-SA"/>
        </w:rPr>
        <w:t xml:space="preserve">Pivovarské náměstí 1245/2, 500 03 Hradec </w:t>
      </w:r>
      <w:proofErr w:type="spellStart"/>
      <w:r w:rsidRPr="00260B18">
        <w:rPr>
          <w:rFonts w:ascii="Times New Roman" w:eastAsia="Times New Roman" w:hAnsi="Times New Roman"/>
          <w:i/>
          <w:iCs/>
          <w:color w:val="000000"/>
          <w:sz w:val="23"/>
          <w:szCs w:val="23"/>
          <w:lang w:bidi="ar-SA"/>
        </w:rPr>
        <w:t>Kralov</w:t>
      </w:r>
      <w:r w:rsidR="00260B18">
        <w:rPr>
          <w:rFonts w:ascii="Times New Roman" w:eastAsia="Times New Roman" w:hAnsi="Times New Roman"/>
          <w:i/>
          <w:iCs/>
          <w:color w:val="000000"/>
          <w:sz w:val="23"/>
          <w:szCs w:val="23"/>
          <w:lang w:bidi="ar-SA"/>
        </w:rPr>
        <w:t>é</w:t>
      </w:r>
      <w:proofErr w:type="spellEnd"/>
    </w:p>
    <w:p w:rsidR="00054FDD" w:rsidRPr="00260B18" w:rsidRDefault="00054FDD" w:rsidP="00260B18">
      <w:pPr>
        <w:suppressAutoHyphens w:val="0"/>
        <w:autoSpaceDE w:val="0"/>
        <w:autoSpaceDN w:val="0"/>
        <w:adjustRightInd w:val="0"/>
        <w:spacing w:after="0" w:line="240" w:lineRule="auto"/>
        <w:rPr>
          <w:rFonts w:ascii="Times New Roman" w:eastAsia="Times New Roman" w:hAnsi="Times New Roman"/>
          <w:i/>
          <w:iCs/>
          <w:color w:val="000000"/>
          <w:sz w:val="23"/>
          <w:szCs w:val="23"/>
          <w:lang w:bidi="ar-SA"/>
        </w:rPr>
      </w:pPr>
      <w:r w:rsidRPr="00260B18">
        <w:rPr>
          <w:rFonts w:ascii="Times New Roman" w:eastAsia="Times New Roman" w:hAnsi="Times New Roman"/>
          <w:i/>
          <w:iCs/>
          <w:color w:val="000000"/>
          <w:sz w:val="23"/>
          <w:szCs w:val="23"/>
          <w:lang w:bidi="ar-SA"/>
        </w:rPr>
        <w:t xml:space="preserve">E-mailová adresa: </w:t>
      </w:r>
      <w:bookmarkStart w:id="22" w:name="_GoBack"/>
      <w:bookmarkEnd w:id="22"/>
    </w:p>
    <w:p w:rsidR="00054FDD" w:rsidRPr="00FA12B5" w:rsidRDefault="00054FDD">
      <w:pPr>
        <w:spacing w:after="0" w:line="240" w:lineRule="auto"/>
        <w:rPr>
          <w:rFonts w:ascii="Times New Roman" w:eastAsia="Times New Roman" w:hAnsi="Times New Roman"/>
          <w:i/>
          <w:sz w:val="24"/>
          <w:szCs w:val="24"/>
        </w:rPr>
      </w:pPr>
    </w:p>
    <w:p w:rsidR="00054FDD" w:rsidRPr="00853FE5" w:rsidRDefault="00054FDD">
      <w:pPr>
        <w:spacing w:after="0" w:line="240" w:lineRule="auto"/>
        <w:jc w:val="both"/>
        <w:rPr>
          <w:rFonts w:ascii="Times New Roman" w:hAnsi="Times New Roman"/>
          <w:sz w:val="24"/>
        </w:rPr>
      </w:pPr>
      <w:r w:rsidRPr="00853FE5">
        <w:rPr>
          <w:rFonts w:ascii="Times New Roman" w:hAnsi="Times New Roman"/>
          <w:sz w:val="24"/>
        </w:rPr>
        <w:t>Běžná projektová komunikace bude vedena s kontaktní osobou.</w:t>
      </w:r>
    </w:p>
    <w:p w:rsidR="00054FDD" w:rsidRDefault="00054FDD">
      <w:pPr>
        <w:spacing w:after="0" w:line="240" w:lineRule="auto"/>
        <w:jc w:val="both"/>
        <w:rPr>
          <w:rFonts w:ascii="Times New Roman" w:hAnsi="Times New Roman"/>
          <w:i/>
          <w:sz w:val="24"/>
        </w:rPr>
      </w:pPr>
    </w:p>
    <w:p w:rsidR="00054FDD" w:rsidRPr="00FA12B5" w:rsidRDefault="00054FDD" w:rsidP="00A6152B">
      <w:pPr>
        <w:pStyle w:val="Nadpis1"/>
        <w:rPr>
          <w:rFonts w:eastAsia="Times New Roman" w:cs="Times New Roman"/>
          <w:noProof/>
          <w:snapToGrid w:val="0"/>
        </w:rPr>
      </w:pPr>
      <w:bookmarkStart w:id="23" w:name="_Toc11236723"/>
      <w:r>
        <w:t>ČLÁNEK I.7 – OCHRANA A BEZPEČNOST ÚČASTNÍKŮ</w:t>
      </w:r>
      <w:bookmarkEnd w:id="23"/>
      <w:r>
        <w:t xml:space="preserve"> </w:t>
      </w:r>
    </w:p>
    <w:p w:rsidR="00054FDD" w:rsidRPr="00FA12B5" w:rsidRDefault="00054FDD" w:rsidP="00DB3245">
      <w:pPr>
        <w:suppressAutoHyphens w:val="0"/>
        <w:spacing w:after="0" w:line="240" w:lineRule="auto"/>
        <w:jc w:val="both"/>
        <w:rPr>
          <w:rFonts w:ascii="Times New Roman" w:eastAsia="Times New Roman" w:hAnsi="Times New Roman"/>
          <w:snapToGrid w:val="0"/>
          <w:sz w:val="24"/>
          <w:szCs w:val="24"/>
        </w:rPr>
      </w:pPr>
    </w:p>
    <w:p w:rsidR="00054FDD" w:rsidRPr="00FA12B5" w:rsidRDefault="00054FDD" w:rsidP="00DB3245">
      <w:pPr>
        <w:spacing w:after="0" w:line="240" w:lineRule="auto"/>
        <w:jc w:val="both"/>
        <w:rPr>
          <w:rFonts w:ascii="Times New Roman" w:eastAsia="Times New Roman" w:hAnsi="Times New Roman"/>
          <w:sz w:val="24"/>
          <w:szCs w:val="24"/>
        </w:rPr>
      </w:pPr>
      <w:r>
        <w:rPr>
          <w:rFonts w:ascii="Times New Roman" w:hAnsi="Times New Roman"/>
          <w:sz w:val="24"/>
        </w:rPr>
        <w:t xml:space="preserve">Příjemci musí mít zavedeny účinné postupy a mechanismy, které zajišťují bezpečnost a ochranu účastníků v jejich projektu. </w:t>
      </w:r>
    </w:p>
    <w:p w:rsidR="00054FDD" w:rsidRPr="00FA12B5" w:rsidRDefault="00054FDD" w:rsidP="00DB3245">
      <w:pPr>
        <w:spacing w:after="0" w:line="240" w:lineRule="auto"/>
        <w:jc w:val="both"/>
        <w:rPr>
          <w:rFonts w:ascii="Times New Roman" w:eastAsia="Times New Roman" w:hAnsi="Times New Roman"/>
          <w:sz w:val="24"/>
          <w:szCs w:val="24"/>
        </w:rPr>
      </w:pPr>
    </w:p>
    <w:p w:rsidR="00054FDD" w:rsidRPr="00FA12B5" w:rsidRDefault="00054FDD" w:rsidP="00DB3245">
      <w:pPr>
        <w:spacing w:after="0" w:line="240" w:lineRule="auto"/>
        <w:jc w:val="both"/>
        <w:rPr>
          <w:rFonts w:ascii="Times New Roman" w:eastAsia="Times New Roman" w:hAnsi="Times New Roman"/>
          <w:sz w:val="24"/>
          <w:szCs w:val="24"/>
        </w:rPr>
      </w:pPr>
      <w:r>
        <w:rPr>
          <w:rFonts w:ascii="Times New Roman" w:hAnsi="Times New Roman"/>
          <w:sz w:val="24"/>
        </w:rPr>
        <w:t>Příjemci musí zajistit, aby účastníkům mobility bylo poskytováno pojistné krytí.</w:t>
      </w:r>
    </w:p>
    <w:p w:rsidR="00054FDD" w:rsidRPr="00FA12B5" w:rsidRDefault="00054FDD" w:rsidP="00DB3245">
      <w:pPr>
        <w:spacing w:after="0" w:line="240" w:lineRule="auto"/>
        <w:jc w:val="both"/>
        <w:rPr>
          <w:rFonts w:ascii="Times New Roman" w:eastAsia="Times New Roman" w:hAnsi="Times New Roman"/>
          <w:sz w:val="24"/>
          <w:szCs w:val="24"/>
        </w:rPr>
      </w:pPr>
    </w:p>
    <w:p w:rsidR="00054FDD" w:rsidRDefault="00054FDD" w:rsidP="00DE149E">
      <w:pPr>
        <w:pStyle w:val="Nadpis1"/>
        <w:jc w:val="both"/>
        <w:rPr>
          <w:rFonts w:cs="Times New Roman"/>
          <w:caps/>
        </w:rPr>
      </w:pPr>
      <w:bookmarkStart w:id="24" w:name="_Toc11236724"/>
      <w:r>
        <w:rPr>
          <w:caps/>
        </w:rPr>
        <w:t>ČLÁNEK I.8 – DOPLŇUJÍCÍ USTANOVENÍ O VYUŽÍVÁNÍ VÝSLEDKŮ (VČETNĚ PRÁV DUŠEVNÍHO A PRŮMYSLOVÉHO VLASTNICTVÍ)</w:t>
      </w:r>
      <w:bookmarkEnd w:id="24"/>
      <w:r>
        <w:rPr>
          <w:caps/>
        </w:rPr>
        <w:t xml:space="preserve"> </w:t>
      </w:r>
    </w:p>
    <w:p w:rsidR="00054FDD" w:rsidRDefault="00054FDD">
      <w:pPr>
        <w:spacing w:after="0" w:line="240" w:lineRule="auto"/>
        <w:jc w:val="both"/>
        <w:rPr>
          <w:rFonts w:ascii="Times New Roman" w:hAnsi="Times New Roman"/>
          <w:sz w:val="24"/>
          <w:szCs w:val="24"/>
        </w:rPr>
      </w:pPr>
    </w:p>
    <w:p w:rsidR="00054FDD" w:rsidRPr="00FA12B5" w:rsidRDefault="00054FDD">
      <w:pPr>
        <w:spacing w:after="0" w:line="240" w:lineRule="auto"/>
        <w:jc w:val="both"/>
        <w:rPr>
          <w:rFonts w:ascii="Times New Roman" w:hAnsi="Times New Roman"/>
          <w:sz w:val="24"/>
          <w:szCs w:val="24"/>
        </w:rPr>
      </w:pPr>
      <w:r>
        <w:rPr>
          <w:rFonts w:ascii="Times New Roman" w:hAnsi="Times New Roman"/>
          <w:sz w:val="24"/>
        </w:rPr>
        <w:t>Vedle ustanovení článku II.9.3 platí, že pokud příjemci vytvoří v rámci projektu vzdělávací materiály, musí být takové materiály zpřístupněny prostřednictvím internetu zdarma a v rámci otevřených licencí</w:t>
      </w:r>
      <w:r>
        <w:rPr>
          <w:rStyle w:val="Voetnoottekens"/>
          <w:rFonts w:ascii="Times New Roman" w:hAnsi="Times New Roman"/>
          <w:sz w:val="24"/>
        </w:rPr>
        <w:footnoteReference w:id="3"/>
      </w:r>
      <w:r>
        <w:rPr>
          <w:rFonts w:ascii="Times New Roman" w:hAnsi="Times New Roman"/>
          <w:sz w:val="24"/>
        </w:rPr>
        <w:t>.</w:t>
      </w:r>
    </w:p>
    <w:p w:rsidR="00054FDD" w:rsidRPr="00FA12B5" w:rsidRDefault="00054FDD" w:rsidP="00A6152B">
      <w:pPr>
        <w:pStyle w:val="Nadpis1"/>
        <w:rPr>
          <w:rFonts w:cs="Times New Roman"/>
          <w:caps/>
        </w:rPr>
      </w:pPr>
      <w:bookmarkStart w:id="25" w:name="_Toc11236725"/>
      <w:r>
        <w:rPr>
          <w:caps/>
        </w:rPr>
        <w:t>ČLÁNEK I.9 – POUŽÍVÁNÍ NÁSTROJŮ IT</w:t>
      </w:r>
      <w:bookmarkEnd w:id="25"/>
      <w:r>
        <w:rPr>
          <w:caps/>
        </w:rPr>
        <w:t xml:space="preserve"> </w:t>
      </w:r>
    </w:p>
    <w:p w:rsidR="00054FDD" w:rsidRPr="00FA12B5" w:rsidRDefault="00054FDD" w:rsidP="00190728">
      <w:pPr>
        <w:pStyle w:val="Nadpis2"/>
      </w:pPr>
      <w:bookmarkStart w:id="26" w:name="_Toc11236726"/>
      <w:r>
        <w:t>I.9.1</w:t>
      </w:r>
      <w:r>
        <w:tab/>
        <w:t xml:space="preserve">Mobility </w:t>
      </w:r>
      <w:proofErr w:type="spellStart"/>
      <w:r>
        <w:t>Tool</w:t>
      </w:r>
      <w:proofErr w:type="spellEnd"/>
      <w:r>
        <w:t>+</w:t>
      </w:r>
      <w:bookmarkEnd w:id="26"/>
    </w:p>
    <w:p w:rsidR="00054FDD" w:rsidRPr="00FA12B5" w:rsidRDefault="00054FDD">
      <w:pPr>
        <w:spacing w:after="0" w:line="240" w:lineRule="auto"/>
        <w:jc w:val="both"/>
        <w:rPr>
          <w:rFonts w:ascii="Times New Roman" w:hAnsi="Times New Roman"/>
          <w:b/>
          <w:sz w:val="24"/>
          <w:szCs w:val="24"/>
        </w:rPr>
      </w:pPr>
    </w:p>
    <w:p w:rsidR="00054FDD" w:rsidRPr="00FA12B5" w:rsidRDefault="00054FDD">
      <w:pPr>
        <w:spacing w:after="0" w:line="240" w:lineRule="auto"/>
        <w:jc w:val="both"/>
        <w:rPr>
          <w:rFonts w:ascii="Times New Roman" w:hAnsi="Times New Roman"/>
          <w:sz w:val="24"/>
          <w:szCs w:val="24"/>
        </w:rPr>
      </w:pPr>
      <w:r>
        <w:rPr>
          <w:rFonts w:ascii="Times New Roman" w:hAnsi="Times New Roman"/>
          <w:sz w:val="24"/>
        </w:rPr>
        <w:t xml:space="preserve">Koordinátor musí internetový nástroj Mobility </w:t>
      </w:r>
      <w:proofErr w:type="spellStart"/>
      <w:r>
        <w:rPr>
          <w:rFonts w:ascii="Times New Roman" w:hAnsi="Times New Roman"/>
          <w:sz w:val="24"/>
        </w:rPr>
        <w:t>Tool</w:t>
      </w:r>
      <w:proofErr w:type="spellEnd"/>
      <w:r>
        <w:rPr>
          <w:rFonts w:ascii="Times New Roman" w:hAnsi="Times New Roman"/>
          <w:sz w:val="24"/>
        </w:rPr>
        <w:t xml:space="preserve">+ používat k záznamu všech informací souvisejících s aktivitami vykonávanými v rámci projektu a k vyhotovení a předložení dílčí zprávy, průběžné zprávy (je-li k dispozici v nástroji Mobility </w:t>
      </w:r>
      <w:proofErr w:type="spellStart"/>
      <w:r>
        <w:rPr>
          <w:rFonts w:ascii="Times New Roman" w:hAnsi="Times New Roman"/>
          <w:sz w:val="24"/>
        </w:rPr>
        <w:t>Tool</w:t>
      </w:r>
      <w:proofErr w:type="spellEnd"/>
      <w:r>
        <w:rPr>
          <w:rFonts w:ascii="Times New Roman" w:hAnsi="Times New Roman"/>
          <w:sz w:val="24"/>
        </w:rPr>
        <w:t>+ a pro případy stanovené v článku I.4.3) a závěrečné zprávy.</w:t>
      </w:r>
    </w:p>
    <w:p w:rsidR="00054FDD" w:rsidRPr="00FA12B5" w:rsidRDefault="00054FDD">
      <w:pPr>
        <w:spacing w:after="0" w:line="240" w:lineRule="auto"/>
        <w:jc w:val="both"/>
        <w:rPr>
          <w:rFonts w:ascii="Times New Roman" w:hAnsi="Times New Roman"/>
          <w:sz w:val="24"/>
          <w:szCs w:val="24"/>
        </w:rPr>
      </w:pPr>
    </w:p>
    <w:p w:rsidR="00054FDD" w:rsidRPr="00FA12B5" w:rsidRDefault="00054FDD" w:rsidP="00A928D3">
      <w:pPr>
        <w:tabs>
          <w:tab w:val="left" w:pos="3614"/>
        </w:tabs>
        <w:spacing w:after="0" w:line="240" w:lineRule="auto"/>
        <w:jc w:val="both"/>
        <w:rPr>
          <w:rFonts w:ascii="Times New Roman" w:hAnsi="Times New Roman"/>
          <w:sz w:val="24"/>
          <w:szCs w:val="24"/>
        </w:rPr>
      </w:pPr>
      <w:r>
        <w:rPr>
          <w:rFonts w:ascii="Times New Roman" w:hAnsi="Times New Roman"/>
          <w:sz w:val="24"/>
        </w:rPr>
        <w:t xml:space="preserve">Alespoň jednou měsíčně během projektu mobility musí příjemci vložit a aktualizovat jakékoli nové informace týkající se účastníků a mobilit.] </w:t>
      </w:r>
    </w:p>
    <w:p w:rsidR="00054FDD" w:rsidRPr="00FA12B5" w:rsidRDefault="00054FDD" w:rsidP="00A928D3">
      <w:pPr>
        <w:tabs>
          <w:tab w:val="left" w:pos="3614"/>
        </w:tabs>
        <w:spacing w:after="0" w:line="240" w:lineRule="auto"/>
        <w:jc w:val="both"/>
        <w:rPr>
          <w:rFonts w:ascii="Times New Roman" w:hAnsi="Times New Roman"/>
        </w:rPr>
      </w:pPr>
    </w:p>
    <w:p w:rsidR="00054FDD" w:rsidRPr="00FA12B5" w:rsidRDefault="00054FDD" w:rsidP="001023C6">
      <w:pPr>
        <w:tabs>
          <w:tab w:val="left" w:pos="3614"/>
        </w:tabs>
        <w:spacing w:after="0" w:line="240" w:lineRule="auto"/>
        <w:jc w:val="both"/>
        <w:rPr>
          <w:rFonts w:ascii="Times New Roman" w:hAnsi="Times New Roman"/>
          <w:sz w:val="18"/>
          <w:szCs w:val="18"/>
        </w:rPr>
      </w:pPr>
      <w:r>
        <w:rPr>
          <w:rFonts w:ascii="Times New Roman" w:hAnsi="Times New Roman"/>
          <w:sz w:val="18"/>
        </w:rPr>
        <w:t xml:space="preserve"> </w:t>
      </w:r>
    </w:p>
    <w:p w:rsidR="00054FDD" w:rsidRPr="00FA12B5" w:rsidRDefault="00054FDD" w:rsidP="00190728">
      <w:pPr>
        <w:pStyle w:val="Nadpis2"/>
      </w:pPr>
      <w:bookmarkStart w:id="27" w:name="_Toc11236727"/>
      <w:r>
        <w:t>I.9.2</w:t>
      </w:r>
      <w:r>
        <w:tab/>
        <w:t>Platforma pro šíření výsledků programu Erasmus+</w:t>
      </w:r>
      <w:bookmarkEnd w:id="27"/>
    </w:p>
    <w:p w:rsidR="00054FDD" w:rsidRPr="00FA12B5" w:rsidRDefault="00054FDD">
      <w:pPr>
        <w:spacing w:after="0" w:line="240" w:lineRule="auto"/>
        <w:jc w:val="both"/>
        <w:rPr>
          <w:rFonts w:ascii="Times New Roman" w:hAnsi="Times New Roman"/>
          <w:sz w:val="24"/>
          <w:szCs w:val="24"/>
        </w:rPr>
      </w:pPr>
    </w:p>
    <w:p w:rsidR="00054FDD" w:rsidRPr="00FA12B5" w:rsidRDefault="00054FDD" w:rsidP="0011417C">
      <w:pPr>
        <w:spacing w:after="0" w:line="240" w:lineRule="auto"/>
        <w:jc w:val="both"/>
        <w:rPr>
          <w:rFonts w:ascii="Times New Roman" w:hAnsi="Times New Roman"/>
          <w:sz w:val="24"/>
          <w:szCs w:val="24"/>
        </w:rPr>
      </w:pPr>
      <w:r>
        <w:rPr>
          <w:rFonts w:ascii="Times New Roman" w:hAnsi="Times New Roman"/>
          <w:sz w:val="24"/>
        </w:rPr>
        <w:t>Koordinátor může používat Platformu pro šíření výsledků programu Erasmus+ (</w:t>
      </w:r>
      <w:hyperlink r:id="rId12" w:history="1">
        <w:r w:rsidRPr="0038048F">
          <w:rPr>
            <w:rStyle w:val="Hypertextovodkaz"/>
            <w:rFonts w:ascii="Times New Roman" w:hAnsi="Times New Roman"/>
            <w:sz w:val="24"/>
            <w:szCs w:val="24"/>
          </w:rPr>
          <w:t>http://ec.europa.eu/programmes/erasmus-plus/projects/</w:t>
        </w:r>
      </w:hyperlink>
      <w:r>
        <w:rPr>
          <w:rStyle w:val="Hypertextovodkaz"/>
          <w:rFonts w:ascii="Times New Roman" w:hAnsi="Times New Roman"/>
          <w:sz w:val="24"/>
          <w:szCs w:val="24"/>
        </w:rPr>
        <w:t xml:space="preserve"> </w:t>
      </w:r>
      <w:r>
        <w:rPr>
          <w:rFonts w:ascii="Times New Roman" w:hAnsi="Times New Roman"/>
        </w:rPr>
        <w:t>)</w:t>
      </w:r>
      <w:r>
        <w:rPr>
          <w:rFonts w:ascii="Times New Roman" w:hAnsi="Times New Roman"/>
          <w:sz w:val="24"/>
        </w:rPr>
        <w:t xml:space="preserve"> k šíření výsledků projektů v souladu s pokyny, které jsou na ní uvedeny. </w:t>
      </w:r>
    </w:p>
    <w:p w:rsidR="00054FDD" w:rsidRPr="00FA12B5" w:rsidRDefault="00054FDD" w:rsidP="0011417C">
      <w:pPr>
        <w:spacing w:after="0" w:line="240" w:lineRule="auto"/>
        <w:jc w:val="both"/>
        <w:rPr>
          <w:rFonts w:ascii="Times New Roman" w:eastAsia="Times New Roman" w:hAnsi="Times New Roman"/>
          <w:b/>
          <w:sz w:val="24"/>
          <w:szCs w:val="24"/>
          <w:highlight w:val="lightGray"/>
          <w:u w:val="single"/>
          <w:shd w:val="clear" w:color="auto" w:fill="00FFFF"/>
        </w:rPr>
      </w:pPr>
    </w:p>
    <w:p w:rsidR="00054FDD" w:rsidRPr="00FA12B5" w:rsidRDefault="00054FDD" w:rsidP="00AE68B7">
      <w:pPr>
        <w:spacing w:after="0" w:line="240" w:lineRule="auto"/>
        <w:jc w:val="center"/>
        <w:rPr>
          <w:rFonts w:ascii="Times New Roman" w:hAnsi="Times New Roman"/>
          <w:sz w:val="24"/>
          <w:szCs w:val="24"/>
        </w:rPr>
      </w:pPr>
    </w:p>
    <w:p w:rsidR="00054FDD" w:rsidRDefault="00054FDD" w:rsidP="00C04634">
      <w:pPr>
        <w:pStyle w:val="Nadpis1"/>
        <w:spacing w:before="0"/>
        <w:rPr>
          <w:rFonts w:cs="Times New Roman"/>
          <w:caps/>
        </w:rPr>
      </w:pPr>
      <w:bookmarkStart w:id="28" w:name="_Toc11236728"/>
      <w:r>
        <w:rPr>
          <w:caps/>
        </w:rPr>
        <w:t>ČLÁNEK I.10 – DOPLŇUJÍCÍ USTANOVENÍ O SUBDODÁVKÁCH</w:t>
      </w:r>
      <w:bookmarkEnd w:id="28"/>
      <w:r>
        <w:rPr>
          <w:caps/>
        </w:rPr>
        <w:t xml:space="preserve"> </w:t>
      </w:r>
    </w:p>
    <w:p w:rsidR="00054FDD" w:rsidRPr="00FA12B5" w:rsidRDefault="00054FDD">
      <w:pPr>
        <w:spacing w:after="0" w:line="240" w:lineRule="auto"/>
        <w:jc w:val="both"/>
        <w:rPr>
          <w:rFonts w:ascii="Times New Roman" w:eastAsia="Times New Roman" w:hAnsi="Times New Roman"/>
          <w:sz w:val="24"/>
          <w:szCs w:val="24"/>
        </w:rPr>
      </w:pPr>
    </w:p>
    <w:p w:rsidR="00054FDD" w:rsidRPr="00480642" w:rsidRDefault="00054FDD" w:rsidP="005E034B">
      <w:pPr>
        <w:spacing w:after="0" w:line="240" w:lineRule="auto"/>
        <w:jc w:val="both"/>
        <w:rPr>
          <w:rFonts w:ascii="Times New Roman" w:eastAsia="Times New Roman" w:hAnsi="Times New Roman"/>
          <w:sz w:val="24"/>
          <w:szCs w:val="24"/>
        </w:rPr>
      </w:pPr>
      <w:r>
        <w:rPr>
          <w:rFonts w:ascii="Times New Roman" w:hAnsi="Times New Roman"/>
          <w:sz w:val="24"/>
        </w:rPr>
        <w:t xml:space="preserve">Odchylně nejsou ustanovení čl. II.11.1 písm. c) a d) použitelná </w:t>
      </w:r>
    </w:p>
    <w:p w:rsidR="00054FDD" w:rsidRPr="00FA12B5" w:rsidRDefault="00054FDD" w:rsidP="00A6152B">
      <w:pPr>
        <w:pStyle w:val="Nadpis1"/>
        <w:rPr>
          <w:rFonts w:cs="Times New Roman"/>
          <w:caps/>
        </w:rPr>
      </w:pPr>
      <w:bookmarkStart w:id="29" w:name="_Toc11236729"/>
      <w:r>
        <w:rPr>
          <w:caps/>
        </w:rPr>
        <w:t>Článek I.11 – ZVLÁŠTNÍ USTANOVENÍ O FINANČNÍ ODPOVĚDNOSTI PŘI VYMÁHÁNÍ VYPLACENÝCH ČÁSTEK</w:t>
      </w:r>
      <w:bookmarkEnd w:id="29"/>
    </w:p>
    <w:p w:rsidR="00054FDD" w:rsidRPr="00FA12B5" w:rsidRDefault="00054FDD" w:rsidP="004A1854">
      <w:pPr>
        <w:spacing w:after="0" w:line="240" w:lineRule="auto"/>
        <w:jc w:val="both"/>
        <w:rPr>
          <w:rFonts w:ascii="Times New Roman" w:hAnsi="Times New Roman"/>
          <w:b/>
          <w:caps/>
          <w:sz w:val="24"/>
          <w:szCs w:val="24"/>
        </w:rPr>
      </w:pPr>
    </w:p>
    <w:p w:rsidR="00054FDD" w:rsidRPr="00FA12B5" w:rsidRDefault="00054FDD" w:rsidP="004A1854">
      <w:pPr>
        <w:spacing w:after="0" w:line="240" w:lineRule="auto"/>
        <w:jc w:val="both"/>
        <w:rPr>
          <w:rFonts w:ascii="Times New Roman" w:hAnsi="Times New Roman"/>
          <w:sz w:val="24"/>
          <w:szCs w:val="24"/>
        </w:rPr>
      </w:pPr>
      <w:r>
        <w:rPr>
          <w:rFonts w:ascii="Times New Roman" w:hAnsi="Times New Roman"/>
          <w:sz w:val="24"/>
        </w:rPr>
        <w:t>Finanční odpovědnost jednotlivého příjemce s výjimkou koordinátora je omezena na částku, kterou obdržel daný příjemce.</w:t>
      </w:r>
    </w:p>
    <w:p w:rsidR="00054FDD" w:rsidRPr="00FA12B5" w:rsidRDefault="00054FDD" w:rsidP="00DE149E">
      <w:pPr>
        <w:pStyle w:val="Nadpis1"/>
        <w:jc w:val="both"/>
        <w:rPr>
          <w:rFonts w:cs="Times New Roman"/>
          <w:caps/>
        </w:rPr>
      </w:pPr>
      <w:bookmarkStart w:id="30" w:name="_Toc11236730"/>
      <w:r>
        <w:rPr>
          <w:caps/>
        </w:rPr>
        <w:t>ČLÁNEK I.12 – DOPLŇUJÍCÍ USTANOVENÍ O VIDITELNOSTI FINANCOVÁNÍ Evropskou UNIí</w:t>
      </w:r>
      <w:bookmarkEnd w:id="30"/>
    </w:p>
    <w:p w:rsidR="00054FDD" w:rsidRPr="00FA12B5" w:rsidRDefault="00054FDD" w:rsidP="00B8209D">
      <w:pPr>
        <w:suppressAutoHyphens w:val="0"/>
        <w:spacing w:after="0" w:line="240" w:lineRule="auto"/>
        <w:jc w:val="both"/>
        <w:rPr>
          <w:rFonts w:ascii="Times New Roman" w:hAnsi="Times New Roman"/>
          <w:b/>
          <w:sz w:val="24"/>
          <w:szCs w:val="24"/>
        </w:rPr>
      </w:pPr>
    </w:p>
    <w:p w:rsidR="00054FDD" w:rsidRPr="00FA12B5" w:rsidRDefault="00054FDD" w:rsidP="00B8209D">
      <w:pPr>
        <w:suppressAutoHyphens w:val="0"/>
        <w:spacing w:after="0" w:line="240" w:lineRule="auto"/>
        <w:jc w:val="both"/>
        <w:rPr>
          <w:rFonts w:ascii="Times New Roman" w:hAnsi="Times New Roman"/>
          <w:sz w:val="24"/>
          <w:szCs w:val="24"/>
        </w:rPr>
      </w:pPr>
      <w:r>
        <w:rPr>
          <w:rFonts w:ascii="Times New Roman" w:hAnsi="Times New Roman"/>
          <w:sz w:val="24"/>
        </w:rPr>
        <w:t>Aniž je dotčen článek II.8, musí příjemci uvést podporu přijatou v rámci programu Erasmus+ ve všech komunikačních a propagačních materiálech, na internetových stránkách a sociálních médiích. Pokyny pro příjemce a další třetí osoby jsou k dispozici na internetové adrese</w:t>
      </w:r>
      <w:r>
        <w:t xml:space="preserve"> </w:t>
      </w:r>
      <w:hyperlink r:id="rId13">
        <w:r>
          <w:rPr>
            <w:rStyle w:val="Hypertextovodkaz"/>
            <w:rFonts w:ascii="Times New Roman" w:hAnsi="Times New Roman"/>
            <w:sz w:val="24"/>
          </w:rPr>
          <w:t>http://eacea.ec.europa.eu/about-eacea/visual-identity_en</w:t>
        </w:r>
      </w:hyperlink>
    </w:p>
    <w:p w:rsidR="00054FDD" w:rsidRDefault="00054FDD" w:rsidP="00A6152B">
      <w:pPr>
        <w:pStyle w:val="Nadpis1"/>
        <w:rPr>
          <w:rFonts w:cs="Times New Roman"/>
          <w:caps/>
        </w:rPr>
      </w:pPr>
      <w:bookmarkStart w:id="31" w:name="_Toc11236731"/>
      <w:r>
        <w:rPr>
          <w:caps/>
        </w:rPr>
        <w:t>ČLÁNEK I.</w:t>
      </w:r>
      <w:r w:rsidDel="00D93780">
        <w:rPr>
          <w:caps/>
        </w:rPr>
        <w:t xml:space="preserve"> </w:t>
      </w:r>
      <w:r>
        <w:rPr>
          <w:caps/>
        </w:rPr>
        <w:t>13 – PODPORA ÚČASTNÍKŮ</w:t>
      </w:r>
      <w:bookmarkEnd w:id="31"/>
    </w:p>
    <w:p w:rsidR="00054FDD" w:rsidRPr="00CD21D5" w:rsidRDefault="00054FDD" w:rsidP="00CD21D5">
      <w:pPr>
        <w:spacing w:after="0"/>
      </w:pPr>
    </w:p>
    <w:p w:rsidR="00054FDD" w:rsidRPr="00FA12B5" w:rsidRDefault="00054FDD" w:rsidP="00E20620">
      <w:pPr>
        <w:tabs>
          <w:tab w:val="left" w:pos="0"/>
        </w:tabs>
        <w:adjustRightInd w:val="0"/>
        <w:spacing w:after="0" w:line="240" w:lineRule="auto"/>
        <w:jc w:val="both"/>
        <w:rPr>
          <w:rFonts w:ascii="Times New Roman" w:hAnsi="Times New Roman"/>
          <w:sz w:val="24"/>
          <w:szCs w:val="24"/>
        </w:rPr>
      </w:pPr>
      <w:r>
        <w:rPr>
          <w:rFonts w:ascii="Times New Roman" w:hAnsi="Times New Roman"/>
          <w:sz w:val="24"/>
        </w:rPr>
        <w:t>Pokud při provádění projektu musí příjemci poskytnout účastníkům podporu, musí být v souladu s podmínkami upřesněnými v příloze II a příloze VI (je-li to relevantní). Podle těchto podmínek musí být uvedeny alespoň tyto informace:</w:t>
      </w:r>
    </w:p>
    <w:p w:rsidR="00054FDD" w:rsidRPr="00FA12B5" w:rsidRDefault="00054FDD" w:rsidP="00E20620">
      <w:pPr>
        <w:adjustRightInd w:val="0"/>
        <w:spacing w:after="0" w:line="240" w:lineRule="auto"/>
        <w:ind w:left="851" w:hanging="851"/>
        <w:jc w:val="both"/>
        <w:rPr>
          <w:rFonts w:ascii="Times New Roman" w:hAnsi="Times New Roman"/>
          <w:sz w:val="24"/>
          <w:szCs w:val="24"/>
        </w:rPr>
      </w:pPr>
    </w:p>
    <w:p w:rsidR="00054FDD" w:rsidRPr="00FA12B5" w:rsidRDefault="00054FDD" w:rsidP="00DE149E">
      <w:pPr>
        <w:numPr>
          <w:ilvl w:val="0"/>
          <w:numId w:val="7"/>
        </w:numPr>
        <w:suppressAutoHyphens w:val="0"/>
        <w:adjustRightInd w:val="0"/>
        <w:spacing w:after="120" w:line="240" w:lineRule="auto"/>
        <w:ind w:left="714" w:hanging="357"/>
        <w:jc w:val="both"/>
        <w:rPr>
          <w:rFonts w:ascii="Times New Roman" w:hAnsi="Times New Roman"/>
          <w:sz w:val="24"/>
          <w:szCs w:val="24"/>
        </w:rPr>
      </w:pPr>
      <w:r>
        <w:rPr>
          <w:rFonts w:ascii="Times New Roman" w:hAnsi="Times New Roman"/>
          <w:sz w:val="24"/>
        </w:rPr>
        <w:t>maximální výše finanční podpory. Tato částka nesmí překročit 60 000 EUR na každého účastníka;</w:t>
      </w:r>
    </w:p>
    <w:p w:rsidR="00054FDD" w:rsidRPr="00FA12B5" w:rsidRDefault="00054FDD" w:rsidP="00DE149E">
      <w:pPr>
        <w:numPr>
          <w:ilvl w:val="0"/>
          <w:numId w:val="7"/>
        </w:numPr>
        <w:suppressAutoHyphens w:val="0"/>
        <w:adjustRightInd w:val="0"/>
        <w:spacing w:after="120" w:line="240" w:lineRule="auto"/>
        <w:ind w:left="714" w:hanging="357"/>
        <w:jc w:val="both"/>
        <w:rPr>
          <w:rFonts w:ascii="Times New Roman" w:hAnsi="Times New Roman"/>
          <w:sz w:val="24"/>
          <w:szCs w:val="24"/>
        </w:rPr>
      </w:pPr>
      <w:r>
        <w:rPr>
          <w:rFonts w:ascii="Times New Roman" w:hAnsi="Times New Roman"/>
          <w:sz w:val="24"/>
        </w:rPr>
        <w:t xml:space="preserve">kritéria pro stanovení přesné výše podpory; </w:t>
      </w:r>
    </w:p>
    <w:p w:rsidR="00054FDD" w:rsidRPr="00FA12B5" w:rsidRDefault="00054FDD" w:rsidP="00DE149E">
      <w:pPr>
        <w:numPr>
          <w:ilvl w:val="0"/>
          <w:numId w:val="7"/>
        </w:numPr>
        <w:suppressAutoHyphens w:val="0"/>
        <w:adjustRightInd w:val="0"/>
        <w:spacing w:after="120" w:line="240" w:lineRule="auto"/>
        <w:ind w:left="714" w:hanging="357"/>
        <w:jc w:val="both"/>
        <w:rPr>
          <w:rFonts w:ascii="Times New Roman" w:hAnsi="Times New Roman"/>
          <w:sz w:val="24"/>
          <w:szCs w:val="24"/>
        </w:rPr>
      </w:pPr>
      <w:r>
        <w:rPr>
          <w:rFonts w:ascii="Times New Roman" w:hAnsi="Times New Roman"/>
          <w:sz w:val="24"/>
        </w:rPr>
        <w:t xml:space="preserve">aktivity, pro které účastník může obdržet podporu, na základě pevně stanoveného seznamu; </w:t>
      </w:r>
    </w:p>
    <w:p w:rsidR="00054FDD" w:rsidRPr="00FA12B5" w:rsidRDefault="00054FDD" w:rsidP="00DE149E">
      <w:pPr>
        <w:numPr>
          <w:ilvl w:val="0"/>
          <w:numId w:val="7"/>
        </w:numPr>
        <w:suppressAutoHyphens w:val="0"/>
        <w:adjustRightInd w:val="0"/>
        <w:spacing w:after="120" w:line="240" w:lineRule="auto"/>
        <w:ind w:left="714" w:hanging="357"/>
        <w:jc w:val="both"/>
        <w:rPr>
          <w:rFonts w:ascii="Times New Roman" w:hAnsi="Times New Roman"/>
          <w:sz w:val="24"/>
          <w:szCs w:val="24"/>
        </w:rPr>
      </w:pPr>
      <w:r>
        <w:rPr>
          <w:rFonts w:ascii="Times New Roman" w:hAnsi="Times New Roman"/>
          <w:sz w:val="24"/>
        </w:rPr>
        <w:t>definice osob či kategorií osob, jež mohou podporu získat;</w:t>
      </w:r>
    </w:p>
    <w:p w:rsidR="00054FDD" w:rsidRPr="00FA12B5" w:rsidRDefault="00054FDD" w:rsidP="00A47F3E">
      <w:pPr>
        <w:ind w:firstLine="360"/>
        <w:jc w:val="both"/>
        <w:rPr>
          <w:rFonts w:ascii="Times New Roman" w:hAnsi="Times New Roman"/>
          <w:i/>
          <w:sz w:val="24"/>
          <w:highlight w:val="lightGray"/>
        </w:rPr>
      </w:pPr>
      <w:r>
        <w:rPr>
          <w:rFonts w:ascii="Times New Roman" w:hAnsi="Times New Roman"/>
          <w:sz w:val="24"/>
        </w:rPr>
        <w:t>e) kritéria, jimiž se bude poskytnutí podpory řídit.]</w:t>
      </w:r>
    </w:p>
    <w:p w:rsidR="00054FDD" w:rsidRPr="00FA12B5" w:rsidRDefault="00054FDD" w:rsidP="005E10F4">
      <w:pPr>
        <w:jc w:val="both"/>
        <w:rPr>
          <w:rFonts w:ascii="Times New Roman" w:hAnsi="Times New Roman"/>
          <w:sz w:val="24"/>
          <w:szCs w:val="24"/>
        </w:rPr>
      </w:pPr>
      <w:r>
        <w:rPr>
          <w:rFonts w:ascii="Times New Roman" w:hAnsi="Times New Roman"/>
          <w:sz w:val="24"/>
        </w:rPr>
        <w:t>Je-li to relevantní, musí příjemci v souladu s dokumenty poskytnutými v příloze VI:</w:t>
      </w:r>
    </w:p>
    <w:p w:rsidR="00054FDD" w:rsidRDefault="00054FDD" w:rsidP="00995EA3">
      <w:pPr>
        <w:numPr>
          <w:ilvl w:val="0"/>
          <w:numId w:val="8"/>
        </w:numPr>
        <w:jc w:val="both"/>
        <w:rPr>
          <w:rFonts w:ascii="Times New Roman" w:hAnsi="Times New Roman"/>
          <w:sz w:val="24"/>
          <w:szCs w:val="24"/>
        </w:rPr>
      </w:pPr>
      <w:r>
        <w:rPr>
          <w:rFonts w:ascii="Times New Roman" w:hAnsi="Times New Roman"/>
          <w:sz w:val="24"/>
        </w:rPr>
        <w:lastRenderedPageBreak/>
        <w:t xml:space="preserve">buď převést finanční podporu rozpočtové kategorie </w:t>
      </w:r>
      <w:r w:rsidRPr="00995EA3">
        <w:rPr>
          <w:rFonts w:ascii="Times New Roman" w:hAnsi="Times New Roman"/>
          <w:sz w:val="24"/>
        </w:rPr>
        <w:t>cestovní náklady / pobytové náklady / kurzovné v plné výši účastníkům činností mobility s uplatněním sazeb pro jednotkové příspěvky podle přílohy IV,</w:t>
      </w:r>
    </w:p>
    <w:p w:rsidR="00054FDD" w:rsidRPr="00995EA3" w:rsidRDefault="00054FDD" w:rsidP="00995EA3">
      <w:pPr>
        <w:numPr>
          <w:ilvl w:val="0"/>
          <w:numId w:val="8"/>
        </w:numPr>
        <w:jc w:val="both"/>
        <w:rPr>
          <w:rFonts w:ascii="Times New Roman" w:hAnsi="Times New Roman"/>
          <w:sz w:val="24"/>
          <w:szCs w:val="24"/>
        </w:rPr>
      </w:pPr>
      <w:r w:rsidRPr="00995EA3">
        <w:rPr>
          <w:rFonts w:ascii="Times New Roman" w:hAnsi="Times New Roman"/>
          <w:sz w:val="24"/>
        </w:rPr>
        <w:t xml:space="preserve">nebo poskytnout podporu pro rozpočtové kategorie cestovní náklady / pobytové náklady / kurzovné účastníkům činností mobility ve formě zajištění požadovaných cest / pobytu / kurzů]. V takovém případě musí příjemci zaručit, aby zajišťování cest / pobytu / kurzů splňovalo nezbytné kvalitativní a bezpečnostní normy. </w:t>
      </w:r>
    </w:p>
    <w:p w:rsidR="00054FDD" w:rsidRPr="00FA12B5" w:rsidRDefault="00054FDD" w:rsidP="00A55BB5">
      <w:pPr>
        <w:suppressAutoHyphens w:val="0"/>
        <w:spacing w:after="0" w:line="240" w:lineRule="auto"/>
        <w:jc w:val="both"/>
        <w:rPr>
          <w:rFonts w:ascii="Times New Roman" w:hAnsi="Times New Roman"/>
          <w:b/>
          <w:i/>
          <w:sz w:val="24"/>
          <w:szCs w:val="24"/>
        </w:rPr>
      </w:pPr>
    </w:p>
    <w:p w:rsidR="00054FDD" w:rsidRPr="00FA12B5" w:rsidRDefault="00054FDD" w:rsidP="00A55BB5">
      <w:pPr>
        <w:suppressAutoHyphens w:val="0"/>
        <w:spacing w:after="0" w:line="240" w:lineRule="auto"/>
        <w:jc w:val="both"/>
        <w:rPr>
          <w:rFonts w:ascii="Times New Roman" w:hAnsi="Times New Roman"/>
          <w:sz w:val="24"/>
          <w:szCs w:val="24"/>
        </w:rPr>
      </w:pPr>
      <w:r>
        <w:rPr>
          <w:rFonts w:ascii="Times New Roman" w:hAnsi="Times New Roman"/>
          <w:sz w:val="24"/>
        </w:rPr>
        <w:t xml:space="preserve">Příjemci mohou zkombinovat obě možnosti stanovené v předchozím odstavci tak, aby zajistili spravedlivé a rovné zacházení se všemi účastníky. V takovém případě se musí podmínky použitelné na každou možnost uplatňovat na rozpočtové kategorie, jichž se příslušná možnost týká. </w:t>
      </w:r>
    </w:p>
    <w:p w:rsidR="00054FDD" w:rsidRPr="00FA12B5" w:rsidRDefault="00054FDD" w:rsidP="00975E9B">
      <w:pPr>
        <w:pStyle w:val="Nadpis1"/>
        <w:rPr>
          <w:rFonts w:cs="Times New Roman"/>
          <w:caps/>
        </w:rPr>
      </w:pPr>
      <w:bookmarkStart w:id="32" w:name="_Toc11236732"/>
      <w:r>
        <w:t>ČLÁNEK I.</w:t>
      </w:r>
      <w:r w:rsidRPr="00995EA3">
        <w:t>14</w:t>
      </w:r>
      <w:r>
        <w:t xml:space="preserve"> – SPECIFICKÉ ODCHYLKY OD PŘÍLOHY I VŠEOBECNÉ PODMÍNKY</w:t>
      </w:r>
      <w:bookmarkEnd w:id="32"/>
    </w:p>
    <w:p w:rsidR="00054FDD" w:rsidRPr="00FA12B5" w:rsidRDefault="00054FDD" w:rsidP="00C115B1">
      <w:pPr>
        <w:jc w:val="both"/>
        <w:rPr>
          <w:rFonts w:ascii="Times New Roman" w:hAnsi="Times New Roman"/>
          <w:sz w:val="24"/>
          <w:szCs w:val="24"/>
        </w:rPr>
      </w:pPr>
      <w:r>
        <w:rPr>
          <w:rFonts w:ascii="Times New Roman" w:hAnsi="Times New Roman"/>
          <w:sz w:val="24"/>
        </w:rPr>
        <w:t>1. Není-li stanoveno jinak, musí být v příloze I Všeobecné podmínky pro účely této dohody výraz „Komise“ vykládán jako „agentura“, výraz „akce“ jako „projekt“ a výraz „jednotkové náklady“ jako „jednotkové příspěvky“.</w:t>
      </w:r>
    </w:p>
    <w:p w:rsidR="00054FDD" w:rsidRPr="00FA12B5" w:rsidRDefault="00054FDD" w:rsidP="00C115B1">
      <w:pPr>
        <w:jc w:val="both"/>
        <w:rPr>
          <w:rFonts w:ascii="Times New Roman" w:hAnsi="Times New Roman"/>
          <w:sz w:val="24"/>
          <w:szCs w:val="24"/>
        </w:rPr>
      </w:pPr>
      <w:r>
        <w:rPr>
          <w:rFonts w:ascii="Times New Roman" w:hAnsi="Times New Roman"/>
          <w:sz w:val="24"/>
        </w:rPr>
        <w:t xml:space="preserve">Není-li stanoveno jinak, musí být pro účely této dohody v příloze I Všeobecné podmínky pojem „finanční </w:t>
      </w:r>
      <w:r w:rsidRPr="00D93780">
        <w:rPr>
          <w:rFonts w:ascii="Times New Roman" w:hAnsi="Times New Roman"/>
          <w:sz w:val="24"/>
        </w:rPr>
        <w:t>výkaz</w:t>
      </w:r>
      <w:r>
        <w:rPr>
          <w:rFonts w:ascii="Times New Roman" w:hAnsi="Times New Roman"/>
          <w:sz w:val="24"/>
        </w:rPr>
        <w:t>“ vykládán jako „část zprávy týkající se rozpočtu“.</w:t>
      </w:r>
    </w:p>
    <w:p w:rsidR="00054FDD" w:rsidRPr="00FA12B5" w:rsidRDefault="00054FDD" w:rsidP="00C115B1">
      <w:pPr>
        <w:jc w:val="both"/>
        <w:rPr>
          <w:rFonts w:ascii="Times New Roman" w:hAnsi="Times New Roman"/>
          <w:sz w:val="24"/>
          <w:szCs w:val="24"/>
        </w:rPr>
      </w:pPr>
      <w:r>
        <w:rPr>
          <w:rFonts w:ascii="Times New Roman" w:hAnsi="Times New Roman"/>
          <w:sz w:val="24"/>
        </w:rPr>
        <w:t xml:space="preserve">V článku II.4.1, článku II.7.1, článku II.8.2, článku II.27.1, článku II.27.3, čl. II.27.4 odst. 1, čl. II.27.8 odst. 1 a článku II.27.9 musí být odkaz na „Komisi“ vykládán jako odkaz na „agenturu a Komisi“. </w:t>
      </w:r>
    </w:p>
    <w:p w:rsidR="00054FDD" w:rsidRPr="00FA12B5" w:rsidRDefault="00054FDD" w:rsidP="004B0D3D">
      <w:pPr>
        <w:jc w:val="both"/>
        <w:rPr>
          <w:rFonts w:ascii="Times New Roman" w:hAnsi="Times New Roman"/>
          <w:sz w:val="24"/>
          <w:szCs w:val="24"/>
        </w:rPr>
      </w:pPr>
      <w:r>
        <w:rPr>
          <w:rFonts w:ascii="Times New Roman" w:hAnsi="Times New Roman"/>
          <w:sz w:val="24"/>
        </w:rPr>
        <w:t xml:space="preserve">V článku II.12 musí být výraz „finanční podpora“ vykládán jako „podpora“ a výraz „třetí </w:t>
      </w:r>
      <w:r w:rsidRPr="00D93780">
        <w:rPr>
          <w:rFonts w:ascii="Times New Roman" w:hAnsi="Times New Roman"/>
          <w:sz w:val="24"/>
        </w:rPr>
        <w:t>osoby“</w:t>
      </w:r>
      <w:r>
        <w:rPr>
          <w:rFonts w:ascii="Times New Roman" w:hAnsi="Times New Roman"/>
          <w:sz w:val="24"/>
        </w:rPr>
        <w:t xml:space="preserve"> jako „účastníci“.</w:t>
      </w:r>
    </w:p>
    <w:p w:rsidR="00054FDD" w:rsidRPr="00FE1EDF" w:rsidRDefault="00054FDD" w:rsidP="0040432C">
      <w:pPr>
        <w:jc w:val="both"/>
        <w:rPr>
          <w:rFonts w:ascii="Times New Roman" w:hAnsi="Times New Roman"/>
          <w:sz w:val="24"/>
          <w:szCs w:val="24"/>
        </w:rPr>
      </w:pPr>
      <w:r>
        <w:rPr>
          <w:rFonts w:ascii="Times New Roman" w:hAnsi="Times New Roman"/>
          <w:sz w:val="24"/>
        </w:rPr>
        <w:t xml:space="preserve">2. Pro účely této dohody se nepoužijí následující ustanovení přílohy I Všeobecné podmínky: čl. II.2.2 písm. b) bod </w:t>
      </w:r>
      <w:proofErr w:type="spellStart"/>
      <w:r>
        <w:rPr>
          <w:rFonts w:ascii="Times New Roman" w:hAnsi="Times New Roman"/>
          <w:sz w:val="24"/>
        </w:rPr>
        <w:t>ii</w:t>
      </w:r>
      <w:proofErr w:type="spellEnd"/>
      <w:r>
        <w:rPr>
          <w:rFonts w:ascii="Times New Roman" w:hAnsi="Times New Roman"/>
          <w:sz w:val="24"/>
        </w:rPr>
        <w:t xml:space="preserve">), článek II.12.2, článek II.18.3, článek II.19.2, článek II.19.3, článek II.20.3, článek II.21, článek II.27.7. </w:t>
      </w:r>
    </w:p>
    <w:p w:rsidR="00054FDD" w:rsidRPr="00FA12B5" w:rsidRDefault="00054FDD" w:rsidP="00C115B1">
      <w:pPr>
        <w:jc w:val="both"/>
        <w:rPr>
          <w:rFonts w:ascii="Times New Roman" w:hAnsi="Times New Roman"/>
          <w:sz w:val="24"/>
          <w:szCs w:val="24"/>
        </w:rPr>
      </w:pPr>
      <w:r>
        <w:rPr>
          <w:rFonts w:ascii="Times New Roman" w:hAnsi="Times New Roman"/>
          <w:sz w:val="24"/>
        </w:rPr>
        <w:t>Pro účely této dohody se výrazy „</w:t>
      </w:r>
      <w:r>
        <w:rPr>
          <w:rFonts w:ascii="Times New Roman" w:hAnsi="Times New Roman"/>
          <w:i/>
          <w:sz w:val="24"/>
        </w:rPr>
        <w:t>přidružené subjekty</w:t>
      </w:r>
      <w:r>
        <w:rPr>
          <w:rFonts w:ascii="Times New Roman" w:hAnsi="Times New Roman"/>
          <w:sz w:val="24"/>
        </w:rPr>
        <w:t>“, „</w:t>
      </w:r>
      <w:r>
        <w:rPr>
          <w:rFonts w:ascii="Times New Roman" w:hAnsi="Times New Roman"/>
          <w:i/>
          <w:sz w:val="24"/>
        </w:rPr>
        <w:t>průběžná platba</w:t>
      </w:r>
      <w:r>
        <w:rPr>
          <w:rFonts w:ascii="Times New Roman" w:hAnsi="Times New Roman"/>
          <w:sz w:val="24"/>
        </w:rPr>
        <w:t>“, „</w:t>
      </w:r>
      <w:r>
        <w:rPr>
          <w:rFonts w:ascii="Times New Roman" w:hAnsi="Times New Roman"/>
          <w:i/>
          <w:sz w:val="24"/>
        </w:rPr>
        <w:t>jednorázová částka</w:t>
      </w:r>
      <w:r>
        <w:rPr>
          <w:rFonts w:ascii="Times New Roman" w:hAnsi="Times New Roman"/>
          <w:sz w:val="24"/>
        </w:rPr>
        <w:t>“ a „</w:t>
      </w:r>
      <w:r>
        <w:rPr>
          <w:rFonts w:ascii="Times New Roman" w:hAnsi="Times New Roman"/>
          <w:i/>
          <w:sz w:val="24"/>
        </w:rPr>
        <w:t>paušální sazba</w:t>
      </w:r>
      <w:r>
        <w:rPr>
          <w:rFonts w:ascii="Times New Roman" w:hAnsi="Times New Roman"/>
          <w:sz w:val="24"/>
        </w:rPr>
        <w:t>“ nepoužijí, jsou-li zmíněny ve všeobecných podmínkách.</w:t>
      </w:r>
    </w:p>
    <w:p w:rsidR="00054FDD" w:rsidRPr="00FA12B5" w:rsidRDefault="00054FDD" w:rsidP="00C115B1">
      <w:pPr>
        <w:jc w:val="both"/>
        <w:rPr>
          <w:rFonts w:ascii="Times New Roman" w:hAnsi="Times New Roman"/>
          <w:sz w:val="24"/>
          <w:szCs w:val="24"/>
        </w:rPr>
      </w:pPr>
      <w:r>
        <w:rPr>
          <w:rFonts w:ascii="Times New Roman" w:hAnsi="Times New Roman"/>
          <w:sz w:val="24"/>
        </w:rPr>
        <w:t xml:space="preserve">3. Článek II.7.1 musí být vykládán takto: </w:t>
      </w:r>
    </w:p>
    <w:p w:rsidR="00054FDD" w:rsidRPr="00FA12B5" w:rsidRDefault="00054FDD" w:rsidP="00C115B1">
      <w:pPr>
        <w:ind w:left="720"/>
        <w:jc w:val="both"/>
        <w:rPr>
          <w:rFonts w:ascii="Times New Roman" w:hAnsi="Times New Roman"/>
          <w:b/>
          <w:sz w:val="24"/>
          <w:szCs w:val="24"/>
        </w:rPr>
      </w:pPr>
      <w:r>
        <w:rPr>
          <w:rFonts w:ascii="Times New Roman" w:hAnsi="Times New Roman"/>
          <w:sz w:val="24"/>
        </w:rPr>
        <w:t>„</w:t>
      </w:r>
      <w:r>
        <w:rPr>
          <w:rFonts w:ascii="Times New Roman" w:hAnsi="Times New Roman"/>
          <w:b/>
          <w:sz w:val="24"/>
        </w:rPr>
        <w:t>II.7.1</w:t>
      </w:r>
      <w:r>
        <w:tab/>
      </w:r>
      <w:r>
        <w:rPr>
          <w:rFonts w:ascii="Times New Roman" w:hAnsi="Times New Roman"/>
          <w:b/>
          <w:sz w:val="24"/>
        </w:rPr>
        <w:t>Zpracování osobních údajů agenturou a Komisí</w:t>
      </w:r>
    </w:p>
    <w:p w:rsidR="00054FDD" w:rsidRPr="00FA12B5" w:rsidRDefault="00054FDD" w:rsidP="006B08E0">
      <w:pPr>
        <w:ind w:left="720"/>
        <w:jc w:val="both"/>
        <w:rPr>
          <w:rFonts w:ascii="Times New Roman" w:hAnsi="Times New Roman"/>
          <w:sz w:val="24"/>
          <w:szCs w:val="24"/>
        </w:rPr>
      </w:pPr>
      <w:r>
        <w:rPr>
          <w:rFonts w:ascii="Times New Roman" w:hAnsi="Times New Roman"/>
          <w:sz w:val="24"/>
        </w:rPr>
        <w:lastRenderedPageBreak/>
        <w:t xml:space="preserve">Agentura musí veškeré osobní údaje uvedené v dohodě zpracovávat v souladu </w:t>
      </w:r>
      <w:r w:rsidRPr="00953056">
        <w:rPr>
          <w:rFonts w:ascii="Times New Roman" w:hAnsi="Times New Roman"/>
          <w:sz w:val="24"/>
          <w:szCs w:val="24"/>
        </w:rPr>
        <w:t>s nařízením (EU) 2018/1725</w:t>
      </w:r>
      <w:r w:rsidRPr="00953056">
        <w:rPr>
          <w:rFonts w:ascii="Times New Roman" w:hAnsi="Times New Roman"/>
          <w:sz w:val="24"/>
          <w:szCs w:val="24"/>
          <w:vertAlign w:val="superscript"/>
        </w:rPr>
        <w:footnoteReference w:id="4"/>
      </w:r>
      <w:r w:rsidRPr="00953056">
        <w:rPr>
          <w:rFonts w:ascii="Times New Roman" w:hAnsi="Times New Roman"/>
          <w:sz w:val="24"/>
          <w:szCs w:val="24"/>
        </w:rPr>
        <w:t>.</w:t>
      </w:r>
    </w:p>
    <w:p w:rsidR="00054FDD" w:rsidRPr="00953056" w:rsidRDefault="00054FDD" w:rsidP="00646638">
      <w:pPr>
        <w:ind w:left="720"/>
        <w:jc w:val="both"/>
        <w:rPr>
          <w:rFonts w:ascii="Times New Roman" w:hAnsi="Times New Roman"/>
          <w:sz w:val="24"/>
          <w:szCs w:val="24"/>
        </w:rPr>
      </w:pPr>
      <w:r w:rsidRPr="00953056">
        <w:rPr>
          <w:rFonts w:ascii="Times New Roman" w:hAnsi="Times New Roman"/>
          <w:sz w:val="24"/>
          <w:szCs w:val="24"/>
        </w:rPr>
        <w:t>Tyto údaje musí správce údajů uvedený v článku I.6. zpracovávat výhradně pro účely provádění, správy a kontroly dohody a pro účely ochrany finančních zájmů EU, včetně kontrol, auditů a vyšetřování v souladu s článkem II.27.</w:t>
      </w:r>
    </w:p>
    <w:p w:rsidR="00054FDD" w:rsidRPr="00953056" w:rsidRDefault="00054FDD" w:rsidP="00646638">
      <w:pPr>
        <w:ind w:left="720"/>
        <w:jc w:val="both"/>
        <w:rPr>
          <w:rFonts w:ascii="Times New Roman" w:hAnsi="Times New Roman"/>
          <w:sz w:val="24"/>
          <w:szCs w:val="24"/>
        </w:rPr>
      </w:pPr>
      <w:r w:rsidRPr="00953056">
        <w:rPr>
          <w:rFonts w:ascii="Times New Roman" w:hAnsi="Times New Roman"/>
          <w:sz w:val="24"/>
          <w:szCs w:val="24"/>
        </w:rPr>
        <w:t>Příjemci mají právo na přístup ke svým osobním údajům, jejich opravu či výmaz a právo na omezení zpracování, nebo případně právo na přenositelnost údajů či právo vznést námitku proti zpracování osobních údajů, jak je uvedeno v nařízení (EU) 2018/1725. S veškerými dotazy o zpracování svých osobních údajů se musí za tímto účelem obracet na správce údajů uvedeného v článku I.</w:t>
      </w:r>
      <w:proofErr w:type="gramStart"/>
      <w:r w:rsidRPr="00953056">
        <w:rPr>
          <w:rFonts w:ascii="Times New Roman" w:hAnsi="Times New Roman"/>
          <w:sz w:val="24"/>
          <w:szCs w:val="24"/>
        </w:rPr>
        <w:t>6..</w:t>
      </w:r>
      <w:proofErr w:type="gramEnd"/>
    </w:p>
    <w:p w:rsidR="00054FDD" w:rsidRPr="00953056" w:rsidRDefault="00054FDD" w:rsidP="00646638">
      <w:pPr>
        <w:ind w:left="720"/>
        <w:jc w:val="both"/>
        <w:rPr>
          <w:rFonts w:ascii="Times New Roman" w:hAnsi="Times New Roman"/>
          <w:sz w:val="24"/>
          <w:szCs w:val="24"/>
        </w:rPr>
      </w:pPr>
      <w:r w:rsidRPr="00953056">
        <w:rPr>
          <w:rFonts w:ascii="Times New Roman" w:hAnsi="Times New Roman"/>
          <w:sz w:val="24"/>
          <w:szCs w:val="24"/>
        </w:rPr>
        <w:t>Příjemci se mohou kdykoli obrátit na evropského inspektora ochrany údajů.</w:t>
      </w:r>
    </w:p>
    <w:p w:rsidR="00054FDD" w:rsidRPr="00FA12B5" w:rsidRDefault="00054FDD" w:rsidP="006B08E0">
      <w:pPr>
        <w:ind w:left="720"/>
        <w:jc w:val="both"/>
        <w:rPr>
          <w:rFonts w:ascii="Times New Roman" w:hAnsi="Times New Roman"/>
          <w:sz w:val="24"/>
          <w:szCs w:val="24"/>
        </w:rPr>
      </w:pPr>
    </w:p>
    <w:p w:rsidR="00054FDD" w:rsidRPr="00FA12B5" w:rsidRDefault="00054FDD" w:rsidP="00C115B1">
      <w:pPr>
        <w:ind w:left="720"/>
        <w:jc w:val="both"/>
        <w:rPr>
          <w:rFonts w:ascii="Times New Roman" w:hAnsi="Times New Roman"/>
          <w:sz w:val="24"/>
          <w:szCs w:val="24"/>
        </w:rPr>
      </w:pPr>
    </w:p>
    <w:p w:rsidR="00054FDD" w:rsidRPr="00FA12B5" w:rsidRDefault="00054FDD" w:rsidP="00C115B1">
      <w:pPr>
        <w:jc w:val="both"/>
        <w:rPr>
          <w:rFonts w:ascii="Times New Roman" w:hAnsi="Times New Roman"/>
          <w:sz w:val="24"/>
          <w:szCs w:val="24"/>
        </w:rPr>
      </w:pPr>
      <w:r>
        <w:rPr>
          <w:rFonts w:ascii="Times New Roman" w:hAnsi="Times New Roman"/>
          <w:sz w:val="24"/>
        </w:rPr>
        <w:t>4. V článku II.9.3 musí být název a odst. 1 písm. a) vykládány takto:</w:t>
      </w:r>
    </w:p>
    <w:p w:rsidR="00054FDD" w:rsidRPr="00FA12B5" w:rsidRDefault="00054FDD" w:rsidP="00C115B1">
      <w:pPr>
        <w:ind w:left="720"/>
        <w:jc w:val="both"/>
        <w:rPr>
          <w:rFonts w:ascii="Times New Roman" w:hAnsi="Times New Roman"/>
          <w:b/>
          <w:sz w:val="24"/>
          <w:szCs w:val="24"/>
        </w:rPr>
      </w:pPr>
      <w:r>
        <w:rPr>
          <w:rFonts w:ascii="Times New Roman" w:hAnsi="Times New Roman"/>
          <w:b/>
          <w:sz w:val="24"/>
        </w:rPr>
        <w:t>„II.9.3</w:t>
      </w:r>
      <w:r>
        <w:tab/>
      </w:r>
      <w:r>
        <w:rPr>
          <w:rFonts w:ascii="Times New Roman" w:hAnsi="Times New Roman"/>
          <w:b/>
          <w:sz w:val="24"/>
        </w:rPr>
        <w:t>Užívací práva agentury a Unie k výsledkům a dříve založeným právům</w:t>
      </w:r>
    </w:p>
    <w:p w:rsidR="00054FDD" w:rsidRPr="00FA12B5" w:rsidRDefault="00054FDD" w:rsidP="00C115B1">
      <w:pPr>
        <w:ind w:left="720"/>
        <w:jc w:val="both"/>
        <w:rPr>
          <w:rFonts w:ascii="Times New Roman" w:hAnsi="Times New Roman"/>
          <w:i/>
          <w:sz w:val="24"/>
          <w:szCs w:val="24"/>
        </w:rPr>
      </w:pPr>
      <w:r>
        <w:rPr>
          <w:rFonts w:ascii="Times New Roman" w:hAnsi="Times New Roman"/>
          <w:sz w:val="24"/>
        </w:rPr>
        <w:t xml:space="preserve">Příjemci poskytují agentuře a Unii tato užívací práva k výsledkům </w:t>
      </w:r>
      <w:r>
        <w:rPr>
          <w:rFonts w:ascii="Times New Roman" w:hAnsi="Times New Roman"/>
          <w:i/>
          <w:sz w:val="24"/>
        </w:rPr>
        <w:t>projektu</w:t>
      </w:r>
      <w:r>
        <w:rPr>
          <w:rFonts w:ascii="Times New Roman" w:hAnsi="Times New Roman"/>
          <w:sz w:val="24"/>
        </w:rPr>
        <w:t>:</w:t>
      </w:r>
    </w:p>
    <w:p w:rsidR="00054FDD" w:rsidRPr="00FA12B5" w:rsidRDefault="00054FDD" w:rsidP="00C115B1">
      <w:pPr>
        <w:ind w:left="720"/>
        <w:jc w:val="both"/>
        <w:rPr>
          <w:rFonts w:ascii="Times New Roman" w:hAnsi="Times New Roman"/>
          <w:sz w:val="24"/>
          <w:szCs w:val="24"/>
        </w:rPr>
      </w:pPr>
      <w:r>
        <w:rPr>
          <w:rFonts w:ascii="Times New Roman" w:hAnsi="Times New Roman"/>
          <w:sz w:val="24"/>
        </w:rPr>
        <w:t>a)</w:t>
      </w:r>
      <w:r>
        <w:tab/>
      </w:r>
      <w:r>
        <w:rPr>
          <w:rFonts w:ascii="Times New Roman" w:hAnsi="Times New Roman"/>
          <w:sz w:val="24"/>
        </w:rPr>
        <w:t>pro její vlastní účely, zejména právo tyto výsledky poskytnout osobám, jež pracují pro agenturu, orgány, agentury a subjekty Unie, orgánům členských států, jakož i je kopírovat a reprodukovat v plném či částečném rozsahu a v neomezeném počtu kopií;“.</w:t>
      </w:r>
    </w:p>
    <w:p w:rsidR="00054FDD" w:rsidRPr="00FA12B5" w:rsidRDefault="00054FDD" w:rsidP="00C115B1">
      <w:pPr>
        <w:jc w:val="both"/>
        <w:rPr>
          <w:rFonts w:ascii="Times New Roman" w:hAnsi="Times New Roman"/>
          <w:sz w:val="24"/>
          <w:szCs w:val="24"/>
        </w:rPr>
      </w:pPr>
      <w:r>
        <w:rPr>
          <w:rFonts w:ascii="Times New Roman" w:hAnsi="Times New Roman"/>
          <w:sz w:val="24"/>
        </w:rPr>
        <w:t>Pro zbývající část tohoto článku se odkazy na „Unii“ musí vykládat jako odkaz na „agenturu a Unii“.</w:t>
      </w:r>
    </w:p>
    <w:p w:rsidR="00054FDD" w:rsidRPr="00FA12B5" w:rsidRDefault="00054FDD" w:rsidP="00C115B1">
      <w:pPr>
        <w:jc w:val="both"/>
        <w:rPr>
          <w:rFonts w:ascii="Times New Roman" w:hAnsi="Times New Roman"/>
          <w:sz w:val="24"/>
          <w:szCs w:val="24"/>
        </w:rPr>
      </w:pPr>
      <w:r>
        <w:rPr>
          <w:rFonts w:ascii="Times New Roman" w:hAnsi="Times New Roman"/>
          <w:sz w:val="24"/>
        </w:rPr>
        <w:t>5. Ustanovení čl. II.10.1 odst. 2 musí být vykládáno takto:</w:t>
      </w:r>
    </w:p>
    <w:p w:rsidR="00054FDD" w:rsidRPr="00FA12B5" w:rsidRDefault="00054FDD" w:rsidP="00C115B1">
      <w:pPr>
        <w:ind w:left="720"/>
        <w:jc w:val="both"/>
        <w:rPr>
          <w:rFonts w:ascii="Times New Roman" w:hAnsi="Times New Roman"/>
          <w:sz w:val="24"/>
          <w:szCs w:val="24"/>
        </w:rPr>
      </w:pPr>
      <w:r>
        <w:rPr>
          <w:rFonts w:ascii="Times New Roman" w:hAnsi="Times New Roman"/>
          <w:sz w:val="24"/>
        </w:rPr>
        <w:t>„Příjemci musí zajistit, že agentura, Komise, Evropský účetní dvůr a Evropský úřad pro boj proti podvodům (OLAF) budou moci vykonávat svá práva podle článku II.27 rovněž vůči zhotovitelům, dodavatelům nebo poskytovatelům příjemců.“</w:t>
      </w:r>
    </w:p>
    <w:p w:rsidR="00054FDD" w:rsidRPr="00FA12B5" w:rsidRDefault="00054FDD" w:rsidP="00C115B1">
      <w:pPr>
        <w:jc w:val="both"/>
        <w:rPr>
          <w:rFonts w:ascii="Times New Roman" w:hAnsi="Times New Roman"/>
          <w:sz w:val="24"/>
          <w:szCs w:val="24"/>
        </w:rPr>
      </w:pPr>
      <w:r>
        <w:rPr>
          <w:rFonts w:ascii="Times New Roman" w:hAnsi="Times New Roman"/>
          <w:sz w:val="24"/>
        </w:rPr>
        <w:t>6. V článku II.17.3.1 se vkládá nové písmeno l), které zní:</w:t>
      </w:r>
    </w:p>
    <w:p w:rsidR="00054FDD" w:rsidRPr="00FA12B5" w:rsidRDefault="00054FDD" w:rsidP="00C115B1">
      <w:pPr>
        <w:ind w:left="720"/>
        <w:jc w:val="both"/>
        <w:rPr>
          <w:rFonts w:ascii="Times New Roman" w:hAnsi="Times New Roman"/>
          <w:sz w:val="24"/>
          <w:szCs w:val="24"/>
        </w:rPr>
      </w:pPr>
      <w:r>
        <w:rPr>
          <w:rFonts w:ascii="Times New Roman" w:hAnsi="Times New Roman"/>
          <w:sz w:val="24"/>
        </w:rPr>
        <w:t xml:space="preserve">„l) všichni ostatní příjemci podali stížnost, že koordinátor neprovádí projekt v souladu s přílohou II nebo že neplní některou svou další podstatnou povinnost podle dohody.“ </w:t>
      </w:r>
    </w:p>
    <w:p w:rsidR="00054FDD" w:rsidRPr="00FA12B5" w:rsidRDefault="00054FDD" w:rsidP="00C115B1">
      <w:pPr>
        <w:spacing w:before="100" w:beforeAutospacing="1" w:after="100" w:afterAutospacing="1" w:line="240" w:lineRule="auto"/>
        <w:jc w:val="both"/>
        <w:rPr>
          <w:rFonts w:ascii="Times New Roman" w:hAnsi="Times New Roman"/>
          <w:sz w:val="24"/>
          <w:szCs w:val="24"/>
        </w:rPr>
      </w:pPr>
      <w:r>
        <w:rPr>
          <w:rFonts w:ascii="Times New Roman" w:hAnsi="Times New Roman"/>
          <w:sz w:val="24"/>
        </w:rPr>
        <w:lastRenderedPageBreak/>
        <w:t>7. Článek II.18 musí být vykládán takto:</w:t>
      </w:r>
    </w:p>
    <w:p w:rsidR="00054FDD" w:rsidRPr="00FA12B5" w:rsidRDefault="00054FDD" w:rsidP="00C115B1">
      <w:pPr>
        <w:spacing w:before="100" w:beforeAutospacing="1" w:after="100" w:afterAutospacing="1" w:line="240" w:lineRule="auto"/>
        <w:ind w:left="720"/>
        <w:jc w:val="both"/>
        <w:rPr>
          <w:rFonts w:ascii="Times New Roman" w:hAnsi="Times New Roman"/>
          <w:sz w:val="24"/>
          <w:szCs w:val="24"/>
        </w:rPr>
      </w:pPr>
      <w:r>
        <w:rPr>
          <w:rFonts w:ascii="Times New Roman" w:hAnsi="Times New Roman"/>
          <w:b/>
          <w:sz w:val="24"/>
        </w:rPr>
        <w:t>„II.18.1</w:t>
      </w:r>
      <w:r>
        <w:t xml:space="preserve"> </w:t>
      </w:r>
      <w:r>
        <w:rPr>
          <w:rFonts w:ascii="Times New Roman" w:hAnsi="Times New Roman"/>
          <w:sz w:val="24"/>
        </w:rPr>
        <w:t>Tato dohoda se řídí právním řádem České republiky.</w:t>
      </w:r>
    </w:p>
    <w:p w:rsidR="00054FDD" w:rsidRPr="00FA12B5" w:rsidRDefault="00054FDD" w:rsidP="00C115B1">
      <w:pPr>
        <w:spacing w:before="100" w:beforeAutospacing="1" w:after="100" w:afterAutospacing="1" w:line="240" w:lineRule="auto"/>
        <w:ind w:left="720"/>
        <w:jc w:val="both"/>
        <w:rPr>
          <w:rFonts w:ascii="Times New Roman" w:hAnsi="Times New Roman"/>
          <w:sz w:val="24"/>
          <w:szCs w:val="24"/>
        </w:rPr>
      </w:pPr>
      <w:r>
        <w:rPr>
          <w:rFonts w:ascii="Times New Roman" w:hAnsi="Times New Roman"/>
          <w:b/>
          <w:sz w:val="24"/>
        </w:rPr>
        <w:t>II.18.2</w:t>
      </w:r>
      <w:r>
        <w:tab/>
      </w:r>
      <w:r>
        <w:rPr>
          <w:rFonts w:ascii="Times New Roman" w:hAnsi="Times New Roman"/>
          <w:sz w:val="24"/>
        </w:rPr>
        <w:t>Výlučnou pravomoc rozhodovat spory mezi agenturou a příjemcem, jež se týkají výkladu, uplatňování či platnosti této dohody a jež nelze urovnat smírnou cestou, má příslušný soud určený v souladu s platným vnitrostátním právem.</w:t>
      </w:r>
    </w:p>
    <w:p w:rsidR="00054FDD" w:rsidRPr="00FA12B5" w:rsidRDefault="00054FDD" w:rsidP="00C115B1">
      <w:pPr>
        <w:spacing w:before="100" w:beforeAutospacing="1" w:after="100" w:afterAutospacing="1" w:line="240" w:lineRule="auto"/>
        <w:ind w:left="720"/>
        <w:jc w:val="both"/>
        <w:rPr>
          <w:rFonts w:ascii="Times New Roman" w:hAnsi="Times New Roman"/>
          <w:sz w:val="24"/>
          <w:szCs w:val="24"/>
        </w:rPr>
      </w:pPr>
      <w:r>
        <w:rPr>
          <w:rFonts w:ascii="Times New Roman" w:hAnsi="Times New Roman"/>
          <w:sz w:val="24"/>
        </w:rPr>
        <w:t>Proti agentuře může být podána žaloba u příslušného soudu České republiky podle právního řádu České republiky.“</w:t>
      </w:r>
    </w:p>
    <w:p w:rsidR="00054FDD" w:rsidRPr="00FA12B5" w:rsidRDefault="00054FDD" w:rsidP="00C115B1">
      <w:pPr>
        <w:jc w:val="both"/>
        <w:rPr>
          <w:rFonts w:ascii="Times New Roman" w:hAnsi="Times New Roman"/>
          <w:sz w:val="24"/>
          <w:szCs w:val="24"/>
        </w:rPr>
      </w:pPr>
      <w:r>
        <w:rPr>
          <w:rFonts w:ascii="Times New Roman" w:hAnsi="Times New Roman"/>
          <w:sz w:val="24"/>
        </w:rPr>
        <w:t>8. Článek II.19.1 musí být vykládán takto:</w:t>
      </w:r>
    </w:p>
    <w:p w:rsidR="00054FDD" w:rsidRPr="00FA12B5" w:rsidRDefault="00054FDD" w:rsidP="00C115B1">
      <w:pPr>
        <w:ind w:left="720"/>
        <w:jc w:val="both"/>
        <w:rPr>
          <w:rFonts w:ascii="Times New Roman" w:hAnsi="Times New Roman"/>
          <w:sz w:val="24"/>
          <w:szCs w:val="24"/>
        </w:rPr>
      </w:pPr>
      <w:r>
        <w:rPr>
          <w:rFonts w:ascii="Times New Roman" w:hAnsi="Times New Roman"/>
          <w:sz w:val="24"/>
        </w:rPr>
        <w:t>„Podmínky způsobilosti nákladů jsou definovány v oddílech I.1 a II.1 přílohy III.“</w:t>
      </w:r>
    </w:p>
    <w:p w:rsidR="00054FDD" w:rsidRPr="00FA12B5" w:rsidRDefault="00054FDD" w:rsidP="00C115B1">
      <w:pPr>
        <w:jc w:val="both"/>
        <w:rPr>
          <w:rFonts w:ascii="Times New Roman" w:hAnsi="Times New Roman"/>
          <w:sz w:val="24"/>
          <w:szCs w:val="24"/>
        </w:rPr>
      </w:pPr>
      <w:r>
        <w:rPr>
          <w:rFonts w:ascii="Times New Roman" w:hAnsi="Times New Roman"/>
          <w:sz w:val="24"/>
        </w:rPr>
        <w:t>9. Článek II.20.1 musí být vykládán takto:</w:t>
      </w:r>
    </w:p>
    <w:p w:rsidR="00054FDD" w:rsidRPr="00FA12B5" w:rsidRDefault="00054FDD" w:rsidP="00C115B1">
      <w:pPr>
        <w:ind w:left="720"/>
        <w:jc w:val="both"/>
        <w:rPr>
          <w:rFonts w:ascii="Times New Roman" w:hAnsi="Times New Roman"/>
          <w:sz w:val="24"/>
          <w:szCs w:val="24"/>
        </w:rPr>
      </w:pPr>
      <w:r>
        <w:rPr>
          <w:rFonts w:ascii="Times New Roman" w:hAnsi="Times New Roman"/>
          <w:sz w:val="24"/>
        </w:rPr>
        <w:t>„Podmínky pro vykazování nákladů a příspěvků jsou definovány v oddíle I.2 a II.2 přílohy III.“</w:t>
      </w:r>
    </w:p>
    <w:p w:rsidR="00054FDD" w:rsidRPr="00FA12B5" w:rsidRDefault="00054FDD" w:rsidP="00C115B1">
      <w:pPr>
        <w:jc w:val="both"/>
        <w:rPr>
          <w:rFonts w:ascii="Times New Roman" w:hAnsi="Times New Roman"/>
          <w:sz w:val="24"/>
          <w:szCs w:val="24"/>
        </w:rPr>
      </w:pPr>
      <w:r>
        <w:rPr>
          <w:rFonts w:ascii="Times New Roman" w:hAnsi="Times New Roman"/>
          <w:sz w:val="24"/>
        </w:rPr>
        <w:t>10. Článek II.20.2 musí být vykládán takto:</w:t>
      </w:r>
    </w:p>
    <w:p w:rsidR="00054FDD" w:rsidRPr="00FA12B5" w:rsidRDefault="00054FDD" w:rsidP="00C115B1">
      <w:pPr>
        <w:ind w:left="720"/>
        <w:jc w:val="both"/>
        <w:rPr>
          <w:rFonts w:ascii="Times New Roman" w:hAnsi="Times New Roman"/>
          <w:sz w:val="24"/>
          <w:szCs w:val="24"/>
        </w:rPr>
      </w:pPr>
      <w:r>
        <w:rPr>
          <w:rFonts w:ascii="Times New Roman" w:hAnsi="Times New Roman"/>
          <w:sz w:val="24"/>
        </w:rPr>
        <w:t>„Podmínky pro záznamy a jiné podklady dokládající vykázané náklady a příspěvky jsou definovány v oddílech I.2 a II.2 přílohy III.“</w:t>
      </w:r>
    </w:p>
    <w:p w:rsidR="00054FDD" w:rsidRPr="00FA12B5" w:rsidRDefault="00054FDD" w:rsidP="00C115B1">
      <w:pPr>
        <w:jc w:val="both"/>
        <w:rPr>
          <w:rFonts w:ascii="Times New Roman" w:hAnsi="Times New Roman"/>
          <w:sz w:val="24"/>
          <w:szCs w:val="24"/>
        </w:rPr>
      </w:pPr>
      <w:r>
        <w:rPr>
          <w:rFonts w:ascii="Times New Roman" w:hAnsi="Times New Roman"/>
          <w:sz w:val="24"/>
        </w:rPr>
        <w:t>11. Ustanovení čl. II.22 odst. 1 musí být vykládáno takto:</w:t>
      </w:r>
    </w:p>
    <w:p w:rsidR="00054FDD" w:rsidRPr="00FA12B5" w:rsidRDefault="00054FDD" w:rsidP="00C115B1">
      <w:pPr>
        <w:ind w:left="720"/>
        <w:jc w:val="both"/>
        <w:rPr>
          <w:rFonts w:ascii="Times New Roman" w:hAnsi="Times New Roman"/>
          <w:sz w:val="24"/>
          <w:szCs w:val="24"/>
        </w:rPr>
      </w:pPr>
      <w:r>
        <w:rPr>
          <w:rFonts w:ascii="Times New Roman" w:hAnsi="Times New Roman"/>
          <w:sz w:val="24"/>
        </w:rPr>
        <w:t xml:space="preserve">„Je-li </w:t>
      </w:r>
      <w:r>
        <w:rPr>
          <w:rFonts w:ascii="Times New Roman" w:hAnsi="Times New Roman"/>
          <w:i/>
          <w:sz w:val="24"/>
        </w:rPr>
        <w:t>projekt</w:t>
      </w:r>
      <w:r>
        <w:rPr>
          <w:rFonts w:ascii="Times New Roman" w:hAnsi="Times New Roman"/>
          <w:sz w:val="24"/>
        </w:rPr>
        <w:t xml:space="preserve"> prováděn v souladu s popisem v příloze II, jsou příjemci oprávněni upravit souhrnný rozpočet v příloze II tím způsobem, že prostředky v rozpočtu přesouvají mezi jednotlivými rozpočtovými kategoriemi. Pokud jsou splněny podmínky stanovené v článku I.3.3, tyto úpravy nevyžadují změnu dohody dle článku II.13.“</w:t>
      </w:r>
    </w:p>
    <w:p w:rsidR="00054FDD" w:rsidRPr="00FA12B5" w:rsidRDefault="00054FDD" w:rsidP="007F4C08">
      <w:pPr>
        <w:jc w:val="both"/>
        <w:rPr>
          <w:rFonts w:ascii="Times New Roman" w:hAnsi="Times New Roman"/>
          <w:sz w:val="24"/>
          <w:szCs w:val="24"/>
        </w:rPr>
      </w:pPr>
      <w:r>
        <w:rPr>
          <w:rFonts w:ascii="Times New Roman" w:hAnsi="Times New Roman"/>
          <w:sz w:val="24"/>
        </w:rPr>
        <w:t>12. Ustanovení čl. II.23 písm. b) musí být vykládáno takto:</w:t>
      </w:r>
    </w:p>
    <w:p w:rsidR="00054FDD" w:rsidRPr="00FA12B5" w:rsidRDefault="00054FDD" w:rsidP="007F4C08">
      <w:pPr>
        <w:spacing w:after="0"/>
        <w:jc w:val="both"/>
        <w:rPr>
          <w:rFonts w:ascii="Times New Roman" w:hAnsi="Times New Roman"/>
          <w:sz w:val="24"/>
          <w:szCs w:val="24"/>
        </w:rPr>
      </w:pPr>
      <w:r>
        <w:rPr>
          <w:rFonts w:ascii="Times New Roman" w:hAnsi="Times New Roman"/>
          <w:sz w:val="24"/>
        </w:rPr>
        <w:t>„b) nepředloží takovou žádost ani ve lhůtě dalších 30 kalendářních dnů poté, co mu agentura zašle písemnou upomínku.“</w:t>
      </w:r>
    </w:p>
    <w:p w:rsidR="00054FDD" w:rsidRPr="00FA12B5" w:rsidRDefault="00054FDD" w:rsidP="00C115B1">
      <w:pPr>
        <w:ind w:left="720"/>
        <w:jc w:val="both"/>
        <w:rPr>
          <w:rFonts w:ascii="Times New Roman" w:hAnsi="Times New Roman"/>
          <w:sz w:val="24"/>
          <w:szCs w:val="24"/>
        </w:rPr>
      </w:pPr>
    </w:p>
    <w:p w:rsidR="00054FDD" w:rsidRPr="00FA12B5" w:rsidRDefault="00054FDD" w:rsidP="00C115B1">
      <w:pPr>
        <w:jc w:val="both"/>
        <w:rPr>
          <w:rFonts w:ascii="Times New Roman" w:hAnsi="Times New Roman"/>
          <w:sz w:val="24"/>
          <w:szCs w:val="24"/>
        </w:rPr>
      </w:pPr>
      <w:r>
        <w:rPr>
          <w:rFonts w:ascii="Times New Roman" w:hAnsi="Times New Roman"/>
          <w:sz w:val="24"/>
        </w:rPr>
        <w:t>13. Ustanovení čl. II.24.1.3 odst. 1 musí být vykládáno takto:</w:t>
      </w:r>
    </w:p>
    <w:p w:rsidR="00054FDD" w:rsidRPr="00FA12B5" w:rsidRDefault="00054FDD" w:rsidP="00C115B1">
      <w:pPr>
        <w:ind w:left="720"/>
        <w:jc w:val="both"/>
        <w:rPr>
          <w:rFonts w:ascii="Times New Roman" w:hAnsi="Times New Roman"/>
          <w:sz w:val="24"/>
          <w:szCs w:val="24"/>
        </w:rPr>
      </w:pPr>
      <w:r>
        <w:rPr>
          <w:rFonts w:ascii="Times New Roman" w:hAnsi="Times New Roman"/>
          <w:sz w:val="24"/>
        </w:rPr>
        <w:t>„V době pozastavení plateb není koordinátor oprávněn předkládat žádné žádosti o platby ani podpůrné dokumenty uvedené v článku I.4.3 a I.4.4.“</w:t>
      </w:r>
    </w:p>
    <w:p w:rsidR="00054FDD" w:rsidRPr="00FA12B5" w:rsidRDefault="00054FDD" w:rsidP="00C115B1">
      <w:pPr>
        <w:jc w:val="both"/>
        <w:rPr>
          <w:rFonts w:ascii="Times New Roman" w:hAnsi="Times New Roman"/>
          <w:sz w:val="24"/>
          <w:szCs w:val="24"/>
        </w:rPr>
      </w:pPr>
      <w:r>
        <w:rPr>
          <w:rFonts w:ascii="Times New Roman" w:hAnsi="Times New Roman"/>
          <w:sz w:val="24"/>
        </w:rPr>
        <w:t>14. Článek II.25.1 b) musí být vykládán takto:</w:t>
      </w:r>
    </w:p>
    <w:p w:rsidR="00054FDD" w:rsidRPr="00953056" w:rsidRDefault="00054FDD" w:rsidP="00646638">
      <w:pPr>
        <w:ind w:left="720"/>
        <w:jc w:val="both"/>
        <w:rPr>
          <w:rFonts w:ascii="Times New Roman" w:hAnsi="Times New Roman"/>
          <w:b/>
          <w:sz w:val="24"/>
          <w:szCs w:val="24"/>
        </w:rPr>
      </w:pPr>
      <w:r w:rsidRPr="00953056">
        <w:rPr>
          <w:rFonts w:ascii="Times New Roman" w:hAnsi="Times New Roman"/>
          <w:sz w:val="24"/>
          <w:szCs w:val="24"/>
        </w:rPr>
        <w:t>„</w:t>
      </w:r>
      <w:r w:rsidRPr="00953056">
        <w:rPr>
          <w:rFonts w:ascii="Times New Roman" w:hAnsi="Times New Roman"/>
          <w:b/>
          <w:sz w:val="24"/>
          <w:szCs w:val="24"/>
        </w:rPr>
        <w:t>II.25.1</w:t>
      </w:r>
      <w:r w:rsidRPr="00953056">
        <w:rPr>
          <w:rFonts w:ascii="Times New Roman" w:hAnsi="Times New Roman"/>
          <w:sz w:val="24"/>
          <w:szCs w:val="24"/>
        </w:rPr>
        <w:tab/>
      </w:r>
      <w:r w:rsidRPr="00953056">
        <w:rPr>
          <w:rFonts w:ascii="Times New Roman" w:hAnsi="Times New Roman"/>
          <w:b/>
          <w:sz w:val="24"/>
          <w:szCs w:val="24"/>
        </w:rPr>
        <w:t>Krok 1 – Uplatnění sazby proplácených nákladů na způsobilé náklady a připočtení financování, které není vázáno na nákladové, jednotkové, paušální a jednorázové příspěvky</w:t>
      </w:r>
    </w:p>
    <w:p w:rsidR="00054FDD" w:rsidRPr="00617A84" w:rsidRDefault="00054FDD" w:rsidP="00646638">
      <w:pPr>
        <w:suppressAutoHyphens w:val="0"/>
        <w:ind w:left="714" w:hanging="357"/>
        <w:jc w:val="both"/>
        <w:rPr>
          <w:rFonts w:ascii="Times New Roman" w:hAnsi="Times New Roman"/>
          <w:sz w:val="24"/>
          <w:szCs w:val="24"/>
        </w:rPr>
      </w:pPr>
      <w:r>
        <w:rPr>
          <w:rFonts w:ascii="Times New Roman" w:hAnsi="Times New Roman"/>
          <w:sz w:val="24"/>
          <w:szCs w:val="24"/>
        </w:rPr>
        <w:lastRenderedPageBreak/>
        <w:t>b)</w:t>
      </w:r>
      <w:r>
        <w:rPr>
          <w:rFonts w:ascii="Times New Roman" w:hAnsi="Times New Roman"/>
          <w:sz w:val="24"/>
          <w:szCs w:val="24"/>
        </w:rPr>
        <w:tab/>
      </w:r>
      <w:r w:rsidRPr="00617A84">
        <w:rPr>
          <w:rFonts w:ascii="Times New Roman" w:hAnsi="Times New Roman"/>
          <w:sz w:val="24"/>
          <w:szCs w:val="24"/>
        </w:rPr>
        <w:t xml:space="preserve">Je-li grant v souladu s čl. I.3.2 písm. a) bodem </w:t>
      </w:r>
      <w:proofErr w:type="spellStart"/>
      <w:r w:rsidRPr="00617A84">
        <w:rPr>
          <w:rFonts w:ascii="Times New Roman" w:hAnsi="Times New Roman"/>
          <w:sz w:val="24"/>
          <w:szCs w:val="24"/>
        </w:rPr>
        <w:t>ii</w:t>
      </w:r>
      <w:proofErr w:type="spellEnd"/>
      <w:r w:rsidRPr="00617A84">
        <w:rPr>
          <w:rFonts w:ascii="Times New Roman" w:hAnsi="Times New Roman"/>
          <w:sz w:val="24"/>
          <w:szCs w:val="24"/>
        </w:rPr>
        <w:t>) až v) udělen formou proplacení způsobilých jednotkových, jednorázových či paušálních nákladů, je sazba proplácených nákladů specifikovaná v uvedeném článku uplatněna na tyto způsobilé náklady, které schválí Komise pro dané kategorie nákladů, příjemce a přidružené subjekty.</w:t>
      </w:r>
    </w:p>
    <w:p w:rsidR="00054FDD" w:rsidRPr="00FA12B5" w:rsidRDefault="00054FDD" w:rsidP="00C863FF">
      <w:pPr>
        <w:ind w:left="720"/>
        <w:jc w:val="both"/>
        <w:rPr>
          <w:rFonts w:ascii="Times New Roman" w:hAnsi="Times New Roman"/>
          <w:sz w:val="24"/>
          <w:szCs w:val="24"/>
        </w:rPr>
      </w:pPr>
    </w:p>
    <w:p w:rsidR="00054FDD" w:rsidRPr="00FA12B5" w:rsidRDefault="00054FDD" w:rsidP="00C115B1">
      <w:pPr>
        <w:jc w:val="both"/>
        <w:rPr>
          <w:rFonts w:ascii="Times New Roman" w:hAnsi="Times New Roman"/>
          <w:sz w:val="24"/>
          <w:szCs w:val="24"/>
        </w:rPr>
      </w:pPr>
      <w:r>
        <w:rPr>
          <w:rFonts w:ascii="Times New Roman" w:hAnsi="Times New Roman"/>
          <w:sz w:val="24"/>
        </w:rPr>
        <w:t>15. Ustanovení čl. II.25.4 odst. 2 musí být vykládáno takto:</w:t>
      </w:r>
    </w:p>
    <w:p w:rsidR="00054FDD" w:rsidRPr="00FA12B5" w:rsidRDefault="00054FDD" w:rsidP="00C115B1">
      <w:pPr>
        <w:ind w:left="720"/>
        <w:jc w:val="both"/>
        <w:rPr>
          <w:rFonts w:ascii="Times New Roman" w:hAnsi="Times New Roman"/>
          <w:sz w:val="24"/>
          <w:szCs w:val="24"/>
        </w:rPr>
      </w:pPr>
      <w:r>
        <w:rPr>
          <w:rFonts w:ascii="Times New Roman" w:hAnsi="Times New Roman"/>
          <w:sz w:val="24"/>
        </w:rPr>
        <w:t xml:space="preserve">„Rozsah snížení je úměrný rozsahu, v němž </w:t>
      </w:r>
      <w:r>
        <w:rPr>
          <w:rFonts w:ascii="Times New Roman" w:hAnsi="Times New Roman"/>
          <w:i/>
          <w:sz w:val="24"/>
        </w:rPr>
        <w:t>projekt</w:t>
      </w:r>
      <w:r>
        <w:rPr>
          <w:rFonts w:ascii="Times New Roman" w:hAnsi="Times New Roman"/>
          <w:sz w:val="24"/>
        </w:rPr>
        <w:t xml:space="preserve"> nebyl proveden řádně, či rozsahu závažnosti porušení povinnosti, jak stanoví oddíl IV přílohy III.“</w:t>
      </w:r>
    </w:p>
    <w:p w:rsidR="00054FDD" w:rsidRPr="00FA12B5" w:rsidRDefault="00054FDD" w:rsidP="00C115B1">
      <w:pPr>
        <w:jc w:val="both"/>
        <w:rPr>
          <w:rFonts w:ascii="Times New Roman" w:hAnsi="Times New Roman"/>
          <w:sz w:val="24"/>
          <w:szCs w:val="24"/>
        </w:rPr>
      </w:pPr>
      <w:r>
        <w:rPr>
          <w:rFonts w:ascii="Times New Roman" w:hAnsi="Times New Roman"/>
          <w:sz w:val="24"/>
        </w:rPr>
        <w:t>16. Ustanovení čl. II.26.3 odst. 3 musí být vykládáno takto:</w:t>
      </w:r>
    </w:p>
    <w:p w:rsidR="00054FDD" w:rsidRPr="00FA12B5" w:rsidRDefault="00054FDD" w:rsidP="00C115B1">
      <w:pPr>
        <w:ind w:left="720"/>
        <w:jc w:val="both"/>
        <w:rPr>
          <w:rFonts w:ascii="Times New Roman" w:hAnsi="Times New Roman"/>
          <w:sz w:val="24"/>
          <w:szCs w:val="24"/>
        </w:rPr>
      </w:pPr>
      <w:r>
        <w:rPr>
          <w:rFonts w:ascii="Times New Roman" w:hAnsi="Times New Roman"/>
          <w:sz w:val="24"/>
        </w:rPr>
        <w:t>„Není-li do data uvedeného ve výzvě k úhradě platba provedena, bude agentura nárokovat dlužnou částku:</w:t>
      </w:r>
    </w:p>
    <w:p w:rsidR="00054FDD" w:rsidRPr="00FA12B5" w:rsidRDefault="00054FDD" w:rsidP="00DE149E">
      <w:pPr>
        <w:numPr>
          <w:ilvl w:val="0"/>
          <w:numId w:val="16"/>
        </w:numPr>
        <w:suppressAutoHyphens w:val="0"/>
        <w:spacing w:before="100" w:beforeAutospacing="1" w:after="100" w:afterAutospacing="1" w:line="240" w:lineRule="auto"/>
        <w:jc w:val="both"/>
        <w:rPr>
          <w:rFonts w:ascii="Times New Roman" w:hAnsi="Times New Roman"/>
          <w:sz w:val="24"/>
          <w:szCs w:val="24"/>
        </w:rPr>
      </w:pPr>
      <w:r>
        <w:rPr>
          <w:rFonts w:ascii="Times New Roman" w:hAnsi="Times New Roman"/>
          <w:sz w:val="24"/>
        </w:rPr>
        <w:t>započtením, bez předchozího souhlasu příjemce, proti veškerým dlužným částkám, které agentura dluží příjemci („započtení“);</w:t>
      </w:r>
    </w:p>
    <w:p w:rsidR="00054FDD" w:rsidRPr="00FA12B5" w:rsidRDefault="00054FDD" w:rsidP="00C115B1">
      <w:pPr>
        <w:ind w:left="709"/>
        <w:jc w:val="both"/>
        <w:rPr>
          <w:rFonts w:ascii="Times New Roman" w:hAnsi="Times New Roman"/>
          <w:sz w:val="24"/>
          <w:szCs w:val="24"/>
        </w:rPr>
      </w:pPr>
      <w:r>
        <w:rPr>
          <w:rFonts w:ascii="Times New Roman" w:hAnsi="Times New Roman"/>
          <w:sz w:val="24"/>
        </w:rPr>
        <w:t>Za výjimečných okolností je agentura za účelem ochrany finančních zájmů Unie oprávněna provést započtení ještě před termínem splatnosti.</w:t>
      </w:r>
    </w:p>
    <w:p w:rsidR="00054FDD" w:rsidRPr="00FA12B5" w:rsidRDefault="00054FDD" w:rsidP="00C115B1">
      <w:pPr>
        <w:ind w:left="709"/>
        <w:jc w:val="both"/>
        <w:rPr>
          <w:rFonts w:ascii="Times New Roman" w:hAnsi="Times New Roman"/>
          <w:sz w:val="24"/>
          <w:szCs w:val="24"/>
        </w:rPr>
      </w:pPr>
      <w:r>
        <w:rPr>
          <w:rFonts w:ascii="Times New Roman" w:hAnsi="Times New Roman"/>
          <w:sz w:val="24"/>
        </w:rPr>
        <w:t>Proti započtení lze podat žalobu u příslušného soudu určeného v článku II.18.2;</w:t>
      </w:r>
    </w:p>
    <w:p w:rsidR="00054FDD" w:rsidRPr="00FA12B5" w:rsidRDefault="00054FDD" w:rsidP="00DE149E">
      <w:pPr>
        <w:numPr>
          <w:ilvl w:val="0"/>
          <w:numId w:val="16"/>
        </w:numPr>
        <w:suppressAutoHyphens w:val="0"/>
        <w:spacing w:before="100" w:beforeAutospacing="1" w:after="100" w:afterAutospacing="1" w:line="240" w:lineRule="auto"/>
        <w:jc w:val="both"/>
        <w:rPr>
          <w:rFonts w:ascii="Times New Roman" w:hAnsi="Times New Roman"/>
          <w:sz w:val="24"/>
          <w:szCs w:val="24"/>
        </w:rPr>
      </w:pPr>
      <w:r>
        <w:rPr>
          <w:rFonts w:ascii="Times New Roman" w:hAnsi="Times New Roman"/>
          <w:sz w:val="24"/>
        </w:rPr>
        <w:t>čerpáním finanční záruky, stanoví-li tak článek I.4.2 („čerpání finanční záruky“);</w:t>
      </w:r>
    </w:p>
    <w:p w:rsidR="00054FDD" w:rsidRPr="00FA12B5" w:rsidRDefault="00054FDD" w:rsidP="00DE149E">
      <w:pPr>
        <w:numPr>
          <w:ilvl w:val="0"/>
          <w:numId w:val="16"/>
        </w:numPr>
        <w:suppressAutoHyphens w:val="0"/>
        <w:spacing w:before="100" w:beforeAutospacing="1" w:after="100" w:afterAutospacing="1" w:line="240" w:lineRule="auto"/>
        <w:jc w:val="both"/>
        <w:rPr>
          <w:rFonts w:ascii="Times New Roman" w:hAnsi="Times New Roman"/>
          <w:sz w:val="24"/>
          <w:szCs w:val="24"/>
        </w:rPr>
      </w:pPr>
      <w:r>
        <w:rPr>
          <w:rFonts w:ascii="Times New Roman" w:hAnsi="Times New Roman"/>
          <w:sz w:val="24"/>
        </w:rPr>
        <w:t>povoláním příjemců ke společné a nerozdílné hmotné odpovědnosti, a to až do maximální výše příspěvku EU, která je u jednotlivých příjemců uvedena v souhrnném rozpočtu (příloha II v aktuálním znění);</w:t>
      </w:r>
    </w:p>
    <w:p w:rsidR="00054FDD" w:rsidRPr="00FA12B5" w:rsidRDefault="00054FDD" w:rsidP="00DE149E">
      <w:pPr>
        <w:numPr>
          <w:ilvl w:val="0"/>
          <w:numId w:val="16"/>
        </w:numPr>
        <w:suppressAutoHyphens w:val="0"/>
        <w:spacing w:before="100" w:beforeAutospacing="1" w:after="100" w:afterAutospacing="1" w:line="240" w:lineRule="auto"/>
        <w:jc w:val="both"/>
        <w:rPr>
          <w:rFonts w:ascii="Times New Roman" w:hAnsi="Times New Roman"/>
          <w:sz w:val="24"/>
          <w:szCs w:val="24"/>
        </w:rPr>
      </w:pPr>
      <w:r>
        <w:rPr>
          <w:rFonts w:ascii="Times New Roman" w:hAnsi="Times New Roman"/>
          <w:sz w:val="24"/>
        </w:rPr>
        <w:t>podáním žaloby v souladu s článkem II.18.2 či se zvláštními podmínkami.“</w:t>
      </w:r>
    </w:p>
    <w:p w:rsidR="00054FDD" w:rsidRPr="00FA12B5" w:rsidRDefault="00054FDD" w:rsidP="00C115B1">
      <w:pPr>
        <w:jc w:val="both"/>
        <w:rPr>
          <w:rFonts w:ascii="Times New Roman" w:hAnsi="Times New Roman"/>
          <w:sz w:val="24"/>
          <w:szCs w:val="24"/>
        </w:rPr>
      </w:pPr>
      <w:r>
        <w:rPr>
          <w:rFonts w:ascii="Times New Roman" w:hAnsi="Times New Roman"/>
          <w:sz w:val="24"/>
        </w:rPr>
        <w:t>17. Ustanovení čl. II.27.2 odst. 3 musí být vykládáno takto:</w:t>
      </w:r>
    </w:p>
    <w:p w:rsidR="00054FDD" w:rsidRPr="00FA12B5" w:rsidRDefault="00054FDD" w:rsidP="00C115B1">
      <w:pPr>
        <w:ind w:left="720"/>
        <w:jc w:val="both"/>
        <w:rPr>
          <w:rFonts w:ascii="Times New Roman" w:hAnsi="Times New Roman"/>
          <w:sz w:val="24"/>
          <w:szCs w:val="24"/>
        </w:rPr>
      </w:pPr>
      <w:r>
        <w:rPr>
          <w:rFonts w:ascii="Times New Roman" w:hAnsi="Times New Roman"/>
          <w:sz w:val="24"/>
        </w:rPr>
        <w:t>„Období uvedená v prvním a druhém pododstavci se prodlužují v případě, že prodloužení vyžaduje vnitrostátní právo nebo že v souvislosti s grantem probíhají audity, jsou podány opravné prostředky, probíhají soudní spory či jsou vymáhány pohledávky, a to včetně případů podle článku II.27.7. V takových případech jsou příjemci povinni uchovávat dokumenty až do doby, kdy jsou tyto audity, uplatňování opravných prostředků, soudní spory či vymáhání pohledávek ukončeny.“</w:t>
      </w:r>
    </w:p>
    <w:p w:rsidR="00054FDD" w:rsidRPr="00FA12B5" w:rsidRDefault="00054FDD" w:rsidP="00C115B1">
      <w:pPr>
        <w:jc w:val="both"/>
        <w:rPr>
          <w:rFonts w:ascii="Times New Roman" w:hAnsi="Times New Roman"/>
          <w:sz w:val="24"/>
          <w:szCs w:val="24"/>
        </w:rPr>
      </w:pPr>
      <w:r>
        <w:rPr>
          <w:rFonts w:ascii="Times New Roman" w:hAnsi="Times New Roman"/>
          <w:sz w:val="24"/>
        </w:rPr>
        <w:t>18. Článek II.27.3 musí být vykládán takto:</w:t>
      </w:r>
    </w:p>
    <w:p w:rsidR="00054FDD" w:rsidRPr="00FA12B5" w:rsidRDefault="00054FDD" w:rsidP="00C115B1">
      <w:pPr>
        <w:ind w:left="720"/>
        <w:jc w:val="both"/>
        <w:rPr>
          <w:rFonts w:ascii="Times New Roman" w:hAnsi="Times New Roman"/>
          <w:sz w:val="24"/>
          <w:szCs w:val="24"/>
        </w:rPr>
      </w:pPr>
      <w:r>
        <w:rPr>
          <w:rFonts w:ascii="Times New Roman" w:hAnsi="Times New Roman"/>
          <w:sz w:val="24"/>
        </w:rPr>
        <w:t xml:space="preserve">„Dojde-li k zahájení kontroly, auditu či hodnocení ještě před výplatou doplatku, je koordinátor povinen poskytnout všechny údaje včetně údajů v elektronickém formátu, jež si agentura, Komise či externí subjekt zmocněný tak činit jménem agentury </w:t>
      </w:r>
      <w:r>
        <w:rPr>
          <w:rFonts w:ascii="Times New Roman" w:hAnsi="Times New Roman"/>
          <w:sz w:val="24"/>
        </w:rPr>
        <w:lastRenderedPageBreak/>
        <w:t>vyžádají. Agentura či Komise je případně oprávněna si tyto údaje vyžádat přímo od určitého příjemce.</w:t>
      </w:r>
    </w:p>
    <w:p w:rsidR="00054FDD" w:rsidRPr="00FA12B5" w:rsidRDefault="00054FDD" w:rsidP="00C115B1">
      <w:pPr>
        <w:ind w:left="720"/>
        <w:jc w:val="both"/>
        <w:rPr>
          <w:rFonts w:ascii="Times New Roman" w:hAnsi="Times New Roman"/>
          <w:sz w:val="24"/>
          <w:szCs w:val="24"/>
        </w:rPr>
      </w:pPr>
      <w:r>
        <w:rPr>
          <w:rFonts w:ascii="Times New Roman" w:hAnsi="Times New Roman"/>
          <w:sz w:val="24"/>
        </w:rPr>
        <w:t>Dojde-li k zahájení kontroly či auditu až po výplatě doplatku, je k poskytnutí údajů uvedených v předchozím pododstavci povinen dotyčný příjemce.</w:t>
      </w:r>
    </w:p>
    <w:p w:rsidR="00054FDD" w:rsidRPr="00FA12B5" w:rsidRDefault="00054FDD" w:rsidP="00C115B1">
      <w:pPr>
        <w:ind w:left="720"/>
        <w:jc w:val="both"/>
        <w:rPr>
          <w:rFonts w:ascii="Times New Roman" w:hAnsi="Times New Roman"/>
          <w:sz w:val="24"/>
          <w:szCs w:val="24"/>
        </w:rPr>
      </w:pPr>
      <w:r>
        <w:rPr>
          <w:rFonts w:ascii="Times New Roman" w:hAnsi="Times New Roman"/>
          <w:sz w:val="24"/>
        </w:rPr>
        <w:t>Nesplní-li dotčený příjemce povinnosti podle prvního a druhého pododstavce, je agentura oprávněna posoudit:</w:t>
      </w:r>
    </w:p>
    <w:p w:rsidR="00054FDD" w:rsidRPr="00FA12B5" w:rsidRDefault="00054FDD" w:rsidP="00DE149E">
      <w:pPr>
        <w:numPr>
          <w:ilvl w:val="0"/>
          <w:numId w:val="17"/>
        </w:numPr>
        <w:suppressAutoHyphens w:val="0"/>
        <w:ind w:left="1440"/>
        <w:jc w:val="both"/>
        <w:rPr>
          <w:rFonts w:ascii="Times New Roman" w:hAnsi="Times New Roman"/>
          <w:sz w:val="24"/>
          <w:szCs w:val="24"/>
        </w:rPr>
      </w:pPr>
      <w:r>
        <w:rPr>
          <w:rFonts w:ascii="Times New Roman" w:hAnsi="Times New Roman"/>
          <w:sz w:val="24"/>
        </w:rPr>
        <w:t>jako nezpůsobilé náklady, jež nejsou dostatečně odůvodněny údaji, které tento příjemce poskytne;</w:t>
      </w:r>
    </w:p>
    <w:p w:rsidR="00054FDD" w:rsidRPr="00FA12B5" w:rsidRDefault="00054FDD" w:rsidP="00DE149E">
      <w:pPr>
        <w:numPr>
          <w:ilvl w:val="0"/>
          <w:numId w:val="17"/>
        </w:numPr>
        <w:suppressAutoHyphens w:val="0"/>
        <w:ind w:left="1440"/>
        <w:jc w:val="both"/>
        <w:rPr>
          <w:rFonts w:ascii="Times New Roman" w:hAnsi="Times New Roman"/>
          <w:sz w:val="24"/>
          <w:szCs w:val="24"/>
        </w:rPr>
      </w:pPr>
      <w:r>
        <w:rPr>
          <w:rFonts w:ascii="Times New Roman" w:hAnsi="Times New Roman"/>
          <w:sz w:val="24"/>
        </w:rPr>
        <w:t>jako nezpůsobilé jednotkové příspěvky, jež nejsou dostatečně odůvodněny údaji, které tento příjemce poskytne.“</w:t>
      </w:r>
    </w:p>
    <w:p w:rsidR="00054FDD" w:rsidRPr="00FA12B5" w:rsidRDefault="00054FDD" w:rsidP="005C4D6A">
      <w:pPr>
        <w:rPr>
          <w:rFonts w:ascii="Times New Roman" w:hAnsi="Times New Roman"/>
        </w:rPr>
      </w:pPr>
    </w:p>
    <w:p w:rsidR="00054FDD" w:rsidRPr="00FA12B5" w:rsidRDefault="00054FDD" w:rsidP="005C4D6A">
      <w:pPr>
        <w:rPr>
          <w:rFonts w:ascii="Times New Roman" w:hAnsi="Times New Roman"/>
        </w:rPr>
      </w:pPr>
    </w:p>
    <w:sectPr w:rsidR="00054FDD" w:rsidRPr="00FA12B5" w:rsidSect="001B6D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FDD" w:rsidRDefault="00054FDD">
      <w:pPr>
        <w:spacing w:after="0" w:line="240" w:lineRule="auto"/>
      </w:pPr>
      <w:r>
        <w:separator/>
      </w:r>
    </w:p>
  </w:endnote>
  <w:endnote w:type="continuationSeparator" w:id="0">
    <w:p w:rsidR="00054FDD" w:rsidRDefault="00054FDD">
      <w:pPr>
        <w:spacing w:after="0" w:line="240" w:lineRule="auto"/>
      </w:pPr>
      <w:r>
        <w:continuationSeparator/>
      </w:r>
    </w:p>
  </w:endnote>
  <w:endnote w:type="continuationNotice" w:id="1">
    <w:p w:rsidR="00054FDD" w:rsidRDefault="00054F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920366"/>
      <w:docPartObj>
        <w:docPartGallery w:val="Page Numbers (Bottom of Page)"/>
        <w:docPartUnique/>
      </w:docPartObj>
    </w:sdtPr>
    <w:sdtEndPr>
      <w:rPr>
        <w:noProof/>
      </w:rPr>
    </w:sdtEndPr>
    <w:sdtContent>
      <w:p w:rsidR="00054FDD" w:rsidRDefault="00054FDD">
        <w:pPr>
          <w:pStyle w:val="Zpat"/>
          <w:jc w:val="right"/>
        </w:pPr>
        <w:r>
          <w:fldChar w:fldCharType="begin"/>
        </w:r>
        <w:r>
          <w:instrText xml:space="preserve"> PAGE   \* MERGEFORMAT </w:instrText>
        </w:r>
        <w:r>
          <w:fldChar w:fldCharType="separate"/>
        </w:r>
        <w:r w:rsidR="00054A8D">
          <w:rPr>
            <w:noProof/>
          </w:rPr>
          <w:t>1</w:t>
        </w:r>
        <w:r>
          <w:rPr>
            <w:noProof/>
          </w:rPr>
          <w:fldChar w:fldCharType="end"/>
        </w:r>
      </w:p>
    </w:sdtContent>
  </w:sdt>
  <w:p w:rsidR="00054FDD" w:rsidRDefault="00054F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FDD" w:rsidRDefault="00054FDD">
      <w:pPr>
        <w:spacing w:after="0" w:line="240" w:lineRule="auto"/>
      </w:pPr>
      <w:r>
        <w:separator/>
      </w:r>
    </w:p>
  </w:footnote>
  <w:footnote w:type="continuationSeparator" w:id="0">
    <w:p w:rsidR="00054FDD" w:rsidRDefault="00054FDD">
      <w:pPr>
        <w:spacing w:after="0" w:line="240" w:lineRule="auto"/>
      </w:pPr>
      <w:r>
        <w:continuationSeparator/>
      </w:r>
    </w:p>
  </w:footnote>
  <w:footnote w:type="continuationNotice" w:id="1">
    <w:p w:rsidR="00054FDD" w:rsidRDefault="00054FDD">
      <w:pPr>
        <w:spacing w:after="0" w:line="240" w:lineRule="auto"/>
      </w:pPr>
    </w:p>
  </w:footnote>
  <w:footnote w:id="2">
    <w:p w:rsidR="00054FDD" w:rsidRPr="002168F3" w:rsidRDefault="00054FDD">
      <w:pPr>
        <w:pStyle w:val="Textpoznpodarou"/>
        <w:rPr>
          <w:rFonts w:ascii="Times New Roman" w:hAnsi="Times New Roman"/>
        </w:rPr>
      </w:pPr>
      <w:r>
        <w:rPr>
          <w:rStyle w:val="Znakapoznpodarou"/>
          <w:rFonts w:ascii="Times New Roman" w:hAnsi="Times New Roman"/>
        </w:rPr>
        <w:footnoteRef/>
      </w:r>
      <w:r>
        <w:rPr>
          <w:rFonts w:ascii="Times New Roman" w:hAnsi="Times New Roman"/>
        </w:rPr>
        <w:t xml:space="preserve"> http://ec.europa.eu/budget/contracts_grants/info_contracts/inforeuro/inforeuro_en.cfm</w:t>
      </w:r>
    </w:p>
  </w:footnote>
  <w:footnote w:id="3">
    <w:p w:rsidR="00054FDD" w:rsidRPr="00C863FF" w:rsidRDefault="00054FDD" w:rsidP="00A23DD1">
      <w:pPr>
        <w:pStyle w:val="Textpoznpodarou"/>
        <w:jc w:val="both"/>
        <w:rPr>
          <w:sz w:val="16"/>
        </w:rPr>
      </w:pPr>
      <w:r>
        <w:rPr>
          <w:rStyle w:val="Voetnoottekens"/>
          <w:rFonts w:ascii="Times New Roman" w:hAnsi="Times New Roman"/>
          <w:sz w:val="16"/>
        </w:rPr>
        <w:footnoteRef/>
      </w:r>
      <w:r>
        <w:rPr>
          <w:rFonts w:ascii="Times New Roman" w:hAnsi="Times New Roman"/>
          <w:sz w:val="16"/>
        </w:rPr>
        <w:t xml:space="preserve"> Otevřená licence – způsob, jakým vlastník díla uděluje jiným osobám povolení k používání zdroje. Licence se pojí s jednotlivými zdroji. Podle rozsahu udělených povolení nebo uložených omezení existují různé otevřené licence a příjemce si může vybrat konkrétní licenci, která se bude uplatňovat na jeho dílo. Otevřená licence musí být spojena s každým vytvořeným zdrojem. Otevřená licence nepředstavuje převod autorských práv ani práv duševního vlastnictví.</w:t>
      </w:r>
      <w:r>
        <w:rPr>
          <w:sz w:val="16"/>
        </w:rPr>
        <w:t xml:space="preserve"> </w:t>
      </w:r>
    </w:p>
  </w:footnote>
  <w:footnote w:id="4">
    <w:p w:rsidR="00054FDD" w:rsidRPr="00B65B13" w:rsidRDefault="00054FDD" w:rsidP="00646638">
      <w:pPr>
        <w:spacing w:after="0"/>
        <w:ind w:left="426" w:hanging="426"/>
        <w:rPr>
          <w:rFonts w:ascii="Times New Roman" w:hAnsi="Times New Roman"/>
          <w:sz w:val="16"/>
          <w:szCs w:val="16"/>
        </w:rPr>
      </w:pPr>
      <w:r w:rsidRPr="00B65B13">
        <w:rPr>
          <w:rStyle w:val="Znakapoznpodarou"/>
          <w:rFonts w:ascii="Times New Roman" w:hAnsi="Times New Roman"/>
          <w:sz w:val="16"/>
          <w:szCs w:val="16"/>
        </w:rPr>
        <w:footnoteRef/>
      </w:r>
      <w:r w:rsidRPr="00B65B13">
        <w:rPr>
          <w:rFonts w:ascii="Times New Roman" w:hAnsi="Times New Roman"/>
          <w:sz w:val="16"/>
          <w:szCs w:val="16"/>
        </w:rPr>
        <w:t xml:space="preserve"> </w:t>
      </w:r>
      <w:r w:rsidRPr="00B65B13">
        <w:rPr>
          <w:rFonts w:ascii="Times New Roman" w:hAnsi="Times New Roman"/>
          <w:sz w:val="16"/>
          <w:szCs w:val="16"/>
        </w:rPr>
        <w:tab/>
        <w:t>Nařízení Evropského parlamentu a Rady (EU) 2018/1725 ze dne 23. října 2018 o ochraně fyzických osob v souvislosti se zpracováním osobních údajů orgány, institucemi a jinými subjekty Unie a o volném pohybu těchto údajů a o zrušení nařízení (ES) č. 45/2001 a rozhodnutí č. 1247/2002/ES.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1">
    <w:nsid w:val="00000003"/>
    <w:multiLevelType w:val="singleLevel"/>
    <w:tmpl w:val="00000003"/>
    <w:name w:val="WW8Num37"/>
    <w:lvl w:ilvl="0">
      <w:start w:val="1"/>
      <w:numFmt w:val="bullet"/>
      <w:lvlText w:val=""/>
      <w:lvlJc w:val="left"/>
      <w:pPr>
        <w:tabs>
          <w:tab w:val="num" w:pos="1287"/>
        </w:tabs>
        <w:ind w:left="1287" w:hanging="360"/>
      </w:pPr>
      <w:rPr>
        <w:rFonts w:ascii="Symbol" w:hAnsi="Symbol" w:cs="Symbol" w:hint="default"/>
        <w:sz w:val="24"/>
        <w:szCs w:val="24"/>
        <w:shd w:val="clear" w:color="auto" w:fill="FFFF00"/>
      </w:rPr>
    </w:lvl>
  </w:abstractNum>
  <w:abstractNum w:abstractNumId="2" w15:restartNumberingAfterBreak="1">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3" w15:restartNumberingAfterBreak="1">
    <w:nsid w:val="00000005"/>
    <w:multiLevelType w:val="singleLevel"/>
    <w:tmpl w:val="00000005"/>
    <w:name w:val="WW8Num40"/>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4" w15:restartNumberingAfterBreak="1">
    <w:nsid w:val="00000007"/>
    <w:multiLevelType w:val="singleLevel"/>
    <w:tmpl w:val="00000007"/>
    <w:name w:val="WW8Num43"/>
    <w:lvl w:ilvl="0">
      <w:start w:val="1"/>
      <w:numFmt w:val="bullet"/>
      <w:lvlText w:val=""/>
      <w:lvlJc w:val="left"/>
      <w:pPr>
        <w:tabs>
          <w:tab w:val="num" w:pos="0"/>
        </w:tabs>
        <w:ind w:left="1287" w:hanging="360"/>
      </w:pPr>
      <w:rPr>
        <w:rFonts w:ascii="Symbol" w:hAnsi="Symbol" w:cs="Symbol" w:hint="default"/>
        <w:sz w:val="24"/>
        <w:szCs w:val="24"/>
        <w:lang w:val="en-US"/>
      </w:rPr>
    </w:lvl>
  </w:abstractNum>
  <w:abstractNum w:abstractNumId="5" w15:restartNumberingAfterBreak="1">
    <w:nsid w:val="00000008"/>
    <w:multiLevelType w:val="singleLevel"/>
    <w:tmpl w:val="00000008"/>
    <w:name w:val="WW8Num46"/>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6" w15:restartNumberingAfterBreak="1">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7" w15:restartNumberingAfterBreak="1">
    <w:nsid w:val="05AD60C4"/>
    <w:multiLevelType w:val="hybridMultilevel"/>
    <w:tmpl w:val="2F58D240"/>
    <w:lvl w:ilvl="0" w:tplc="4A6A1A10">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1">
    <w:nsid w:val="06BE5524"/>
    <w:multiLevelType w:val="hybridMultilevel"/>
    <w:tmpl w:val="D8EA08AE"/>
    <w:lvl w:ilvl="0" w:tplc="4A6A1A10">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0FA6CBE"/>
    <w:multiLevelType w:val="singleLevel"/>
    <w:tmpl w:val="4A6A1A10"/>
    <w:name w:val="WWNum2"/>
    <w:lvl w:ilvl="0">
      <w:start w:val="1"/>
      <w:numFmt w:val="lowerLetter"/>
      <w:lvlText w:val="%1)"/>
      <w:lvlJc w:val="left"/>
      <w:pPr>
        <w:ind w:left="720" w:hanging="360"/>
      </w:pPr>
      <w:rPr>
        <w:rFonts w:hint="default"/>
        <w:sz w:val="24"/>
        <w:szCs w:val="24"/>
      </w:rPr>
    </w:lvl>
  </w:abstractNum>
  <w:abstractNum w:abstractNumId="10" w15:restartNumberingAfterBreak="1">
    <w:nsid w:val="17B10923"/>
    <w:multiLevelType w:val="multilevel"/>
    <w:tmpl w:val="06986938"/>
    <w:styleLink w:val="PartI"/>
    <w:lvl w:ilvl="0">
      <w:start w:val="1"/>
      <w:numFmt w:val="decimal"/>
      <w:lvlText w:val="ARTICLE I.%1"/>
      <w:lvlJc w:val="left"/>
      <w:pPr>
        <w:ind w:left="360"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1">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1">
    <w:nsid w:val="21EF7895"/>
    <w:multiLevelType w:val="singleLevel"/>
    <w:tmpl w:val="4A6A1A10"/>
    <w:name w:val="WWNum2"/>
    <w:lvl w:ilvl="0">
      <w:start w:val="1"/>
      <w:numFmt w:val="lowerLetter"/>
      <w:lvlText w:val="%1)"/>
      <w:lvlJc w:val="left"/>
      <w:pPr>
        <w:ind w:left="644" w:hanging="360"/>
      </w:pPr>
      <w:rPr>
        <w:rFonts w:hint="default"/>
        <w:sz w:val="24"/>
        <w:szCs w:val="24"/>
      </w:rPr>
    </w:lvl>
  </w:abstractNum>
  <w:abstractNum w:abstractNumId="13" w15:restartNumberingAfterBreak="1">
    <w:nsid w:val="22362784"/>
    <w:multiLevelType w:val="hybridMultilevel"/>
    <w:tmpl w:val="934EBD78"/>
    <w:lvl w:ilvl="0" w:tplc="4A6A1A10">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1">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1">
    <w:nsid w:val="2C237ECD"/>
    <w:multiLevelType w:val="hybridMultilevel"/>
    <w:tmpl w:val="B4780A0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7" w15:restartNumberingAfterBreak="1">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1">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2" w15:restartNumberingAfterBreak="1">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3" w15:restartNumberingAfterBreak="1">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4" w15:restartNumberingAfterBreak="1">
    <w:nsid w:val="45EF1235"/>
    <w:multiLevelType w:val="hybridMultilevel"/>
    <w:tmpl w:val="E544291C"/>
    <w:lvl w:ilvl="0" w:tplc="4A6A1A10">
      <w:start w:val="1"/>
      <w:numFmt w:val="lowerLetter"/>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15:restartNumberingAfterBreak="1">
    <w:nsid w:val="47890D55"/>
    <w:multiLevelType w:val="hybridMultilevel"/>
    <w:tmpl w:val="6F5484D8"/>
    <w:lvl w:ilvl="0" w:tplc="4A6A1A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1">
    <w:nsid w:val="49242AB8"/>
    <w:multiLevelType w:val="hybridMultilevel"/>
    <w:tmpl w:val="6C0C99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1">
    <w:nsid w:val="4BDA34B2"/>
    <w:multiLevelType w:val="hybridMultilevel"/>
    <w:tmpl w:val="A6300D78"/>
    <w:lvl w:ilvl="0" w:tplc="89F8868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1">
    <w:nsid w:val="4C3F3FD6"/>
    <w:multiLevelType w:val="hybridMultilevel"/>
    <w:tmpl w:val="F034BA88"/>
    <w:lvl w:ilvl="0" w:tplc="4A6A1A10">
      <w:start w:val="1"/>
      <w:numFmt w:val="lowerLetter"/>
      <w:lvlText w:val="%1)"/>
      <w:lvlJc w:val="left"/>
      <w:pPr>
        <w:ind w:left="644" w:hanging="360"/>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1">
    <w:nsid w:val="500B6FEA"/>
    <w:multiLevelType w:val="hybridMultilevel"/>
    <w:tmpl w:val="429A68A4"/>
    <w:lvl w:ilvl="0" w:tplc="4A6A1A10">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1">
    <w:nsid w:val="52183497"/>
    <w:multiLevelType w:val="hybridMultilevel"/>
    <w:tmpl w:val="52B4434C"/>
    <w:lvl w:ilvl="0" w:tplc="4A6A1A10">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3" w15:restartNumberingAfterBreak="1">
    <w:nsid w:val="56A25144"/>
    <w:multiLevelType w:val="hybridMultilevel"/>
    <w:tmpl w:val="9C5E6878"/>
    <w:lvl w:ilvl="0" w:tplc="4A6A1A10">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5" w15:restartNumberingAfterBreak="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6" w15:restartNumberingAfterBreak="1">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37" w15:restartNumberingAfterBreak="1">
    <w:nsid w:val="6243745A"/>
    <w:multiLevelType w:val="hybridMultilevel"/>
    <w:tmpl w:val="B6E27A20"/>
    <w:lvl w:ilvl="0" w:tplc="6BD08C38">
      <w:start w:val="1"/>
      <w:numFmt w:val="bullet"/>
      <w:lvlText w:val="-"/>
      <w:lvlJc w:val="left"/>
      <w:pPr>
        <w:ind w:left="1069" w:hanging="360"/>
      </w:pPr>
      <w:rPr>
        <w:rFonts w:ascii="Times New Roman" w:eastAsia="Times New Roman" w:hAnsi="Times New Roman" w:cs="Times New Roman"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8" w15:restartNumberingAfterBreak="1">
    <w:nsid w:val="654A1CAC"/>
    <w:multiLevelType w:val="hybridMultilevel"/>
    <w:tmpl w:val="3B325FD6"/>
    <w:lvl w:ilvl="0" w:tplc="4A6A1A1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1">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1">
    <w:nsid w:val="6A32567A"/>
    <w:multiLevelType w:val="hybridMultilevel"/>
    <w:tmpl w:val="4CBC2314"/>
    <w:lvl w:ilvl="0" w:tplc="4A6A1A1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1">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2" w15:restartNumberingAfterBreak="1">
    <w:nsid w:val="71325247"/>
    <w:multiLevelType w:val="hybridMultilevel"/>
    <w:tmpl w:val="DC461CD8"/>
    <w:lvl w:ilvl="0" w:tplc="4A6A1A1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1">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1">
    <w:nsid w:val="72DF387F"/>
    <w:multiLevelType w:val="hybridMultilevel"/>
    <w:tmpl w:val="5DE49244"/>
    <w:lvl w:ilvl="0" w:tplc="4A6A1A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1">
    <w:nsid w:val="7AF43DEC"/>
    <w:multiLevelType w:val="hybridMultilevel"/>
    <w:tmpl w:val="0BA299C6"/>
    <w:lvl w:ilvl="0" w:tplc="4A6A1A10">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5"/>
  </w:num>
  <w:num w:numId="4">
    <w:abstractNumId w:val="27"/>
  </w:num>
  <w:num w:numId="5">
    <w:abstractNumId w:val="12"/>
  </w:num>
  <w:num w:numId="6">
    <w:abstractNumId w:val="9"/>
  </w:num>
  <w:num w:numId="7">
    <w:abstractNumId w:val="31"/>
  </w:num>
  <w:num w:numId="8">
    <w:abstractNumId w:val="19"/>
  </w:num>
  <w:num w:numId="9">
    <w:abstractNumId w:val="6"/>
  </w:num>
  <w:num w:numId="10">
    <w:abstractNumId w:val="23"/>
  </w:num>
  <w:num w:numId="11">
    <w:abstractNumId w:val="10"/>
  </w:num>
  <w:num w:numId="12">
    <w:abstractNumId w:val="13"/>
  </w:num>
  <w:num w:numId="13">
    <w:abstractNumId w:val="44"/>
  </w:num>
  <w:num w:numId="14">
    <w:abstractNumId w:val="26"/>
  </w:num>
  <w:num w:numId="15">
    <w:abstractNumId w:val="40"/>
  </w:num>
  <w:num w:numId="16">
    <w:abstractNumId w:val="42"/>
  </w:num>
  <w:num w:numId="17">
    <w:abstractNumId w:val="38"/>
  </w:num>
  <w:num w:numId="18">
    <w:abstractNumId w:val="8"/>
  </w:num>
  <w:num w:numId="19">
    <w:abstractNumId w:val="39"/>
    <w:lvlOverride w:ilvl="1">
      <w:lvl w:ilvl="1">
        <w:start w:val="1"/>
        <w:numFmt w:val="decimal"/>
        <w:pStyle w:val="paragraphpartII"/>
        <w:lvlText w:val="II.%1.%2"/>
        <w:lvlJc w:val="left"/>
        <w:pPr>
          <w:ind w:left="720" w:hanging="360"/>
        </w:pPr>
        <w:rPr>
          <w:rFonts w:hint="default"/>
          <w:b/>
        </w:rPr>
      </w:lvl>
    </w:lvlOverride>
  </w:num>
  <w:num w:numId="20">
    <w:abstractNumId w:val="39"/>
  </w:num>
  <w:num w:numId="21">
    <w:abstractNumId w:val="16"/>
  </w:num>
  <w:num w:numId="22">
    <w:abstractNumId w:val="7"/>
  </w:num>
  <w:num w:numId="23">
    <w:abstractNumId w:val="24"/>
  </w:num>
  <w:num w:numId="24">
    <w:abstractNumId w:val="33"/>
  </w:num>
  <w:num w:numId="25">
    <w:abstractNumId w:val="37"/>
  </w:num>
  <w:num w:numId="26">
    <w:abstractNumId w:val="30"/>
  </w:num>
  <w:num w:numId="27">
    <w:abstractNumId w:val="29"/>
  </w:num>
  <w:num w:numId="28">
    <w:abstractNumId w:val="22"/>
  </w:num>
  <w:num w:numId="29">
    <w:abstractNumId w:val="15"/>
  </w:num>
  <w:num w:numId="30">
    <w:abstractNumId w:val="21"/>
  </w:num>
  <w:num w:numId="31">
    <w:abstractNumId w:val="36"/>
  </w:num>
  <w:num w:numId="32">
    <w:abstractNumId w:val="41"/>
  </w:num>
  <w:num w:numId="33">
    <w:abstractNumId w:val="18"/>
  </w:num>
  <w:num w:numId="34">
    <w:abstractNumId w:val="35"/>
  </w:num>
  <w:num w:numId="35">
    <w:abstractNumId w:val="34"/>
  </w:num>
  <w:num w:numId="36">
    <w:abstractNumId w:val="25"/>
  </w:num>
  <w:num w:numId="37">
    <w:abstractNumId w:val="32"/>
  </w:num>
  <w:num w:numId="38">
    <w:abstractNumId w:val="14"/>
  </w:num>
  <w:num w:numId="39">
    <w:abstractNumId w:val="20"/>
  </w:num>
  <w:num w:numId="40">
    <w:abstractNumId w:val="11"/>
  </w:num>
  <w:num w:numId="41">
    <w:abstractNumId w:val="17"/>
  </w:num>
  <w:num w:numId="42">
    <w:abstractNumId w:val="43"/>
  </w:num>
  <w:num w:numId="43">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0"/>
  <w:stylePaneSortMethod w:val="0000"/>
  <w:doNotTrackFormatting/>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B29AF"/>
    <w:rsid w:val="000010F1"/>
    <w:rsid w:val="000058AC"/>
    <w:rsid w:val="0001127D"/>
    <w:rsid w:val="00014722"/>
    <w:rsid w:val="000158C9"/>
    <w:rsid w:val="00016212"/>
    <w:rsid w:val="000170DD"/>
    <w:rsid w:val="0002478D"/>
    <w:rsid w:val="00024A72"/>
    <w:rsid w:val="00025256"/>
    <w:rsid w:val="00025553"/>
    <w:rsid w:val="00027308"/>
    <w:rsid w:val="0003104C"/>
    <w:rsid w:val="00031D57"/>
    <w:rsid w:val="00033127"/>
    <w:rsid w:val="00035786"/>
    <w:rsid w:val="00037F79"/>
    <w:rsid w:val="000408C5"/>
    <w:rsid w:val="00040DEB"/>
    <w:rsid w:val="00042F00"/>
    <w:rsid w:val="00043E4F"/>
    <w:rsid w:val="00045604"/>
    <w:rsid w:val="0004581A"/>
    <w:rsid w:val="00045E89"/>
    <w:rsid w:val="00047593"/>
    <w:rsid w:val="00050A9F"/>
    <w:rsid w:val="00050F4F"/>
    <w:rsid w:val="00054A8D"/>
    <w:rsid w:val="00054D7D"/>
    <w:rsid w:val="00054FDD"/>
    <w:rsid w:val="000558D4"/>
    <w:rsid w:val="00055B42"/>
    <w:rsid w:val="00055ED5"/>
    <w:rsid w:val="00057C00"/>
    <w:rsid w:val="00057CDF"/>
    <w:rsid w:val="000629EB"/>
    <w:rsid w:val="0006586C"/>
    <w:rsid w:val="00071442"/>
    <w:rsid w:val="00071BCE"/>
    <w:rsid w:val="000737D9"/>
    <w:rsid w:val="00075E61"/>
    <w:rsid w:val="000810AA"/>
    <w:rsid w:val="00090DDC"/>
    <w:rsid w:val="000921ED"/>
    <w:rsid w:val="00092693"/>
    <w:rsid w:val="0009481C"/>
    <w:rsid w:val="00094ECD"/>
    <w:rsid w:val="000953B9"/>
    <w:rsid w:val="00095CFB"/>
    <w:rsid w:val="0009703B"/>
    <w:rsid w:val="00097A61"/>
    <w:rsid w:val="00097E62"/>
    <w:rsid w:val="000A0B37"/>
    <w:rsid w:val="000A15C2"/>
    <w:rsid w:val="000A23FB"/>
    <w:rsid w:val="000A251E"/>
    <w:rsid w:val="000A2A3A"/>
    <w:rsid w:val="000A55A0"/>
    <w:rsid w:val="000B15C6"/>
    <w:rsid w:val="000B1D46"/>
    <w:rsid w:val="000C2145"/>
    <w:rsid w:val="000C3B58"/>
    <w:rsid w:val="000C447A"/>
    <w:rsid w:val="000C78EA"/>
    <w:rsid w:val="000D1F1D"/>
    <w:rsid w:val="000D236E"/>
    <w:rsid w:val="000D30DB"/>
    <w:rsid w:val="000D37CA"/>
    <w:rsid w:val="000D3D33"/>
    <w:rsid w:val="000D4855"/>
    <w:rsid w:val="000D4D1A"/>
    <w:rsid w:val="000D5A71"/>
    <w:rsid w:val="000D687B"/>
    <w:rsid w:val="000E315F"/>
    <w:rsid w:val="000E53B6"/>
    <w:rsid w:val="000F0756"/>
    <w:rsid w:val="000F07E7"/>
    <w:rsid w:val="000F2BC7"/>
    <w:rsid w:val="000F340B"/>
    <w:rsid w:val="000F4878"/>
    <w:rsid w:val="000F572C"/>
    <w:rsid w:val="000F6334"/>
    <w:rsid w:val="000F7BA7"/>
    <w:rsid w:val="00100FC5"/>
    <w:rsid w:val="001023C6"/>
    <w:rsid w:val="00104863"/>
    <w:rsid w:val="00104F36"/>
    <w:rsid w:val="0011121A"/>
    <w:rsid w:val="0011282F"/>
    <w:rsid w:val="0011365B"/>
    <w:rsid w:val="00113F8D"/>
    <w:rsid w:val="0011417C"/>
    <w:rsid w:val="00114218"/>
    <w:rsid w:val="00114419"/>
    <w:rsid w:val="00117139"/>
    <w:rsid w:val="00120854"/>
    <w:rsid w:val="00121178"/>
    <w:rsid w:val="00123185"/>
    <w:rsid w:val="0012356A"/>
    <w:rsid w:val="001236C0"/>
    <w:rsid w:val="0012434D"/>
    <w:rsid w:val="00125169"/>
    <w:rsid w:val="00127406"/>
    <w:rsid w:val="001278AF"/>
    <w:rsid w:val="00127C0B"/>
    <w:rsid w:val="0013045E"/>
    <w:rsid w:val="00130CDD"/>
    <w:rsid w:val="00130F97"/>
    <w:rsid w:val="00133082"/>
    <w:rsid w:val="0013532A"/>
    <w:rsid w:val="00135851"/>
    <w:rsid w:val="00142E67"/>
    <w:rsid w:val="001455F4"/>
    <w:rsid w:val="00145D68"/>
    <w:rsid w:val="001522D3"/>
    <w:rsid w:val="00153FE0"/>
    <w:rsid w:val="00154669"/>
    <w:rsid w:val="00156DDD"/>
    <w:rsid w:val="00157BB8"/>
    <w:rsid w:val="0016097F"/>
    <w:rsid w:val="001609C9"/>
    <w:rsid w:val="00166F7A"/>
    <w:rsid w:val="00167913"/>
    <w:rsid w:val="001707C0"/>
    <w:rsid w:val="00173486"/>
    <w:rsid w:val="001737B7"/>
    <w:rsid w:val="00176586"/>
    <w:rsid w:val="00180B0C"/>
    <w:rsid w:val="00181CF8"/>
    <w:rsid w:val="00183F38"/>
    <w:rsid w:val="001859CD"/>
    <w:rsid w:val="00187438"/>
    <w:rsid w:val="00190728"/>
    <w:rsid w:val="00190EDA"/>
    <w:rsid w:val="00195CF2"/>
    <w:rsid w:val="001969C7"/>
    <w:rsid w:val="00196F01"/>
    <w:rsid w:val="001A1DBB"/>
    <w:rsid w:val="001A2329"/>
    <w:rsid w:val="001A28F9"/>
    <w:rsid w:val="001A34E2"/>
    <w:rsid w:val="001A3520"/>
    <w:rsid w:val="001A4787"/>
    <w:rsid w:val="001A794E"/>
    <w:rsid w:val="001B1804"/>
    <w:rsid w:val="001B1AD3"/>
    <w:rsid w:val="001B374D"/>
    <w:rsid w:val="001B44B2"/>
    <w:rsid w:val="001B6D95"/>
    <w:rsid w:val="001C4EE3"/>
    <w:rsid w:val="001C6B19"/>
    <w:rsid w:val="001D0112"/>
    <w:rsid w:val="001D064B"/>
    <w:rsid w:val="001D1D72"/>
    <w:rsid w:val="001D295F"/>
    <w:rsid w:val="001D3E2C"/>
    <w:rsid w:val="001D5C41"/>
    <w:rsid w:val="001D6576"/>
    <w:rsid w:val="001E1892"/>
    <w:rsid w:val="001E2B07"/>
    <w:rsid w:val="001E408C"/>
    <w:rsid w:val="001E6ECA"/>
    <w:rsid w:val="001F1092"/>
    <w:rsid w:val="001F27E5"/>
    <w:rsid w:val="001F49B6"/>
    <w:rsid w:val="001F5F09"/>
    <w:rsid w:val="00200C3C"/>
    <w:rsid w:val="00201713"/>
    <w:rsid w:val="00202377"/>
    <w:rsid w:val="002029B4"/>
    <w:rsid w:val="00202AA0"/>
    <w:rsid w:val="00203627"/>
    <w:rsid w:val="00204112"/>
    <w:rsid w:val="00204635"/>
    <w:rsid w:val="00205100"/>
    <w:rsid w:val="002057E6"/>
    <w:rsid w:val="00206AE6"/>
    <w:rsid w:val="00212331"/>
    <w:rsid w:val="00213FCD"/>
    <w:rsid w:val="00214348"/>
    <w:rsid w:val="00215EC7"/>
    <w:rsid w:val="00216021"/>
    <w:rsid w:val="002168F3"/>
    <w:rsid w:val="00217B94"/>
    <w:rsid w:val="002212A5"/>
    <w:rsid w:val="002212F5"/>
    <w:rsid w:val="00221570"/>
    <w:rsid w:val="00223F0C"/>
    <w:rsid w:val="0022507C"/>
    <w:rsid w:val="00225599"/>
    <w:rsid w:val="00225B60"/>
    <w:rsid w:val="0022651D"/>
    <w:rsid w:val="00227662"/>
    <w:rsid w:val="00227990"/>
    <w:rsid w:val="002311E0"/>
    <w:rsid w:val="00232C9B"/>
    <w:rsid w:val="00235BF6"/>
    <w:rsid w:val="00236EC2"/>
    <w:rsid w:val="002406A8"/>
    <w:rsid w:val="00241326"/>
    <w:rsid w:val="00241E69"/>
    <w:rsid w:val="00242AF3"/>
    <w:rsid w:val="00242C3C"/>
    <w:rsid w:val="00243586"/>
    <w:rsid w:val="0024389A"/>
    <w:rsid w:val="00251A58"/>
    <w:rsid w:val="00252479"/>
    <w:rsid w:val="002529DE"/>
    <w:rsid w:val="002533F4"/>
    <w:rsid w:val="0025382E"/>
    <w:rsid w:val="0025532E"/>
    <w:rsid w:val="00257182"/>
    <w:rsid w:val="00260B18"/>
    <w:rsid w:val="00260BE4"/>
    <w:rsid w:val="00262400"/>
    <w:rsid w:val="002626E8"/>
    <w:rsid w:val="00262D38"/>
    <w:rsid w:val="0026614F"/>
    <w:rsid w:val="00271346"/>
    <w:rsid w:val="0027157D"/>
    <w:rsid w:val="00271AFC"/>
    <w:rsid w:val="00276A4E"/>
    <w:rsid w:val="00280871"/>
    <w:rsid w:val="00281800"/>
    <w:rsid w:val="00283227"/>
    <w:rsid w:val="00283CDC"/>
    <w:rsid w:val="002846AF"/>
    <w:rsid w:val="00285E91"/>
    <w:rsid w:val="0028604C"/>
    <w:rsid w:val="0028723B"/>
    <w:rsid w:val="0028774E"/>
    <w:rsid w:val="00293E6B"/>
    <w:rsid w:val="0029455E"/>
    <w:rsid w:val="00296459"/>
    <w:rsid w:val="00296B28"/>
    <w:rsid w:val="00297493"/>
    <w:rsid w:val="002A08FF"/>
    <w:rsid w:val="002A0FEF"/>
    <w:rsid w:val="002A19FB"/>
    <w:rsid w:val="002A2671"/>
    <w:rsid w:val="002A6368"/>
    <w:rsid w:val="002B1476"/>
    <w:rsid w:val="002B620A"/>
    <w:rsid w:val="002B63C8"/>
    <w:rsid w:val="002C0E41"/>
    <w:rsid w:val="002C1DBB"/>
    <w:rsid w:val="002C26DC"/>
    <w:rsid w:val="002C415B"/>
    <w:rsid w:val="002C5D4E"/>
    <w:rsid w:val="002C657B"/>
    <w:rsid w:val="002C7FAD"/>
    <w:rsid w:val="002D1987"/>
    <w:rsid w:val="002D4018"/>
    <w:rsid w:val="002D5B9E"/>
    <w:rsid w:val="002E0B52"/>
    <w:rsid w:val="002E1714"/>
    <w:rsid w:val="002E50FA"/>
    <w:rsid w:val="002E52C0"/>
    <w:rsid w:val="002E5647"/>
    <w:rsid w:val="002E6CEE"/>
    <w:rsid w:val="002E7737"/>
    <w:rsid w:val="002E78B9"/>
    <w:rsid w:val="002F006B"/>
    <w:rsid w:val="002F3489"/>
    <w:rsid w:val="002F711D"/>
    <w:rsid w:val="002F7CF2"/>
    <w:rsid w:val="003006D1"/>
    <w:rsid w:val="00302CD5"/>
    <w:rsid w:val="0030354B"/>
    <w:rsid w:val="0030469C"/>
    <w:rsid w:val="00304F63"/>
    <w:rsid w:val="00305F68"/>
    <w:rsid w:val="00305FED"/>
    <w:rsid w:val="00311227"/>
    <w:rsid w:val="00311B1F"/>
    <w:rsid w:val="00311FA5"/>
    <w:rsid w:val="00312AFC"/>
    <w:rsid w:val="00312E39"/>
    <w:rsid w:val="00312E5B"/>
    <w:rsid w:val="00316DB4"/>
    <w:rsid w:val="0032240D"/>
    <w:rsid w:val="003231D0"/>
    <w:rsid w:val="0032499B"/>
    <w:rsid w:val="0032582C"/>
    <w:rsid w:val="00326468"/>
    <w:rsid w:val="003274B6"/>
    <w:rsid w:val="003309E2"/>
    <w:rsid w:val="003310BD"/>
    <w:rsid w:val="00331BDD"/>
    <w:rsid w:val="00333442"/>
    <w:rsid w:val="00335F3D"/>
    <w:rsid w:val="00336750"/>
    <w:rsid w:val="0034381B"/>
    <w:rsid w:val="0034489E"/>
    <w:rsid w:val="0034536D"/>
    <w:rsid w:val="00352A6C"/>
    <w:rsid w:val="00352B1D"/>
    <w:rsid w:val="00354DA0"/>
    <w:rsid w:val="00354EE2"/>
    <w:rsid w:val="00355D80"/>
    <w:rsid w:val="00355E23"/>
    <w:rsid w:val="003564E6"/>
    <w:rsid w:val="00356547"/>
    <w:rsid w:val="003571EE"/>
    <w:rsid w:val="00360882"/>
    <w:rsid w:val="00361D6F"/>
    <w:rsid w:val="00362FB7"/>
    <w:rsid w:val="00371838"/>
    <w:rsid w:val="00372F5E"/>
    <w:rsid w:val="00373070"/>
    <w:rsid w:val="00373A38"/>
    <w:rsid w:val="00375730"/>
    <w:rsid w:val="00375DE6"/>
    <w:rsid w:val="00377307"/>
    <w:rsid w:val="00377D93"/>
    <w:rsid w:val="0038017C"/>
    <w:rsid w:val="003814DA"/>
    <w:rsid w:val="00381548"/>
    <w:rsid w:val="00381989"/>
    <w:rsid w:val="00385279"/>
    <w:rsid w:val="00386BFA"/>
    <w:rsid w:val="0038776A"/>
    <w:rsid w:val="00391C70"/>
    <w:rsid w:val="00392770"/>
    <w:rsid w:val="00393F4F"/>
    <w:rsid w:val="00394172"/>
    <w:rsid w:val="00394AF6"/>
    <w:rsid w:val="00394E7C"/>
    <w:rsid w:val="00397592"/>
    <w:rsid w:val="003A019F"/>
    <w:rsid w:val="003A065F"/>
    <w:rsid w:val="003A2754"/>
    <w:rsid w:val="003A3095"/>
    <w:rsid w:val="003A4BB6"/>
    <w:rsid w:val="003A6D8A"/>
    <w:rsid w:val="003A72C2"/>
    <w:rsid w:val="003A7839"/>
    <w:rsid w:val="003B014D"/>
    <w:rsid w:val="003B0B07"/>
    <w:rsid w:val="003B3099"/>
    <w:rsid w:val="003B434B"/>
    <w:rsid w:val="003B5581"/>
    <w:rsid w:val="003C1867"/>
    <w:rsid w:val="003C1A87"/>
    <w:rsid w:val="003C31A3"/>
    <w:rsid w:val="003C362E"/>
    <w:rsid w:val="003C5279"/>
    <w:rsid w:val="003C71CF"/>
    <w:rsid w:val="003C722F"/>
    <w:rsid w:val="003D0BA8"/>
    <w:rsid w:val="003D1490"/>
    <w:rsid w:val="003E05C5"/>
    <w:rsid w:val="003E31F9"/>
    <w:rsid w:val="003E6F6A"/>
    <w:rsid w:val="003F1FCA"/>
    <w:rsid w:val="003F2490"/>
    <w:rsid w:val="003F333E"/>
    <w:rsid w:val="003F5623"/>
    <w:rsid w:val="003F60B0"/>
    <w:rsid w:val="003F692F"/>
    <w:rsid w:val="0040432C"/>
    <w:rsid w:val="004109D2"/>
    <w:rsid w:val="0041147A"/>
    <w:rsid w:val="004126B2"/>
    <w:rsid w:val="0041433F"/>
    <w:rsid w:val="00414E68"/>
    <w:rsid w:val="0041557C"/>
    <w:rsid w:val="00420980"/>
    <w:rsid w:val="0042165A"/>
    <w:rsid w:val="00422481"/>
    <w:rsid w:val="00424DF9"/>
    <w:rsid w:val="00426970"/>
    <w:rsid w:val="00426EF6"/>
    <w:rsid w:val="004271FE"/>
    <w:rsid w:val="004278AE"/>
    <w:rsid w:val="00427A6A"/>
    <w:rsid w:val="00431EBA"/>
    <w:rsid w:val="00432D73"/>
    <w:rsid w:val="0043574C"/>
    <w:rsid w:val="004410B5"/>
    <w:rsid w:val="004412CD"/>
    <w:rsid w:val="00443FFF"/>
    <w:rsid w:val="00444AFD"/>
    <w:rsid w:val="00444F5B"/>
    <w:rsid w:val="0044737E"/>
    <w:rsid w:val="00447E4C"/>
    <w:rsid w:val="00452E27"/>
    <w:rsid w:val="00456E0B"/>
    <w:rsid w:val="00457D33"/>
    <w:rsid w:val="00460878"/>
    <w:rsid w:val="00460E7B"/>
    <w:rsid w:val="004622C4"/>
    <w:rsid w:val="004647D6"/>
    <w:rsid w:val="00467566"/>
    <w:rsid w:val="00471BE2"/>
    <w:rsid w:val="00473B49"/>
    <w:rsid w:val="00474421"/>
    <w:rsid w:val="004756E3"/>
    <w:rsid w:val="00475F9F"/>
    <w:rsid w:val="004771CF"/>
    <w:rsid w:val="00477C3D"/>
    <w:rsid w:val="00482042"/>
    <w:rsid w:val="00482BB2"/>
    <w:rsid w:val="00483121"/>
    <w:rsid w:val="004848CC"/>
    <w:rsid w:val="00484F4C"/>
    <w:rsid w:val="00485D8B"/>
    <w:rsid w:val="00490585"/>
    <w:rsid w:val="00490597"/>
    <w:rsid w:val="00490828"/>
    <w:rsid w:val="0049091D"/>
    <w:rsid w:val="0049152D"/>
    <w:rsid w:val="0049676F"/>
    <w:rsid w:val="004A1854"/>
    <w:rsid w:val="004A2062"/>
    <w:rsid w:val="004A2F17"/>
    <w:rsid w:val="004A5530"/>
    <w:rsid w:val="004A5EC2"/>
    <w:rsid w:val="004A789C"/>
    <w:rsid w:val="004B052C"/>
    <w:rsid w:val="004B0D3D"/>
    <w:rsid w:val="004B22B2"/>
    <w:rsid w:val="004B27DB"/>
    <w:rsid w:val="004B2A07"/>
    <w:rsid w:val="004B368F"/>
    <w:rsid w:val="004B3E31"/>
    <w:rsid w:val="004B4AE9"/>
    <w:rsid w:val="004B4EEA"/>
    <w:rsid w:val="004B6339"/>
    <w:rsid w:val="004C0743"/>
    <w:rsid w:val="004C0A5B"/>
    <w:rsid w:val="004C0BF6"/>
    <w:rsid w:val="004C1470"/>
    <w:rsid w:val="004C1B46"/>
    <w:rsid w:val="004C28C1"/>
    <w:rsid w:val="004C2F46"/>
    <w:rsid w:val="004C53FF"/>
    <w:rsid w:val="004C5916"/>
    <w:rsid w:val="004C656E"/>
    <w:rsid w:val="004C749F"/>
    <w:rsid w:val="004D1C48"/>
    <w:rsid w:val="004D2F6A"/>
    <w:rsid w:val="004D359A"/>
    <w:rsid w:val="004D47AD"/>
    <w:rsid w:val="004E088D"/>
    <w:rsid w:val="004E0F1C"/>
    <w:rsid w:val="004E10BD"/>
    <w:rsid w:val="004E2726"/>
    <w:rsid w:val="004E3AFE"/>
    <w:rsid w:val="004E3B2B"/>
    <w:rsid w:val="004E3B8F"/>
    <w:rsid w:val="004E7216"/>
    <w:rsid w:val="004E75D6"/>
    <w:rsid w:val="004F0A4A"/>
    <w:rsid w:val="004F1259"/>
    <w:rsid w:val="004F2FA4"/>
    <w:rsid w:val="004F48E0"/>
    <w:rsid w:val="004F57CE"/>
    <w:rsid w:val="004F62CD"/>
    <w:rsid w:val="004F7A97"/>
    <w:rsid w:val="00502E91"/>
    <w:rsid w:val="005030B4"/>
    <w:rsid w:val="00503EAC"/>
    <w:rsid w:val="00506BA8"/>
    <w:rsid w:val="00507E92"/>
    <w:rsid w:val="0051498E"/>
    <w:rsid w:val="005154B8"/>
    <w:rsid w:val="00516645"/>
    <w:rsid w:val="00517626"/>
    <w:rsid w:val="0052438E"/>
    <w:rsid w:val="00525057"/>
    <w:rsid w:val="0052724E"/>
    <w:rsid w:val="005300CE"/>
    <w:rsid w:val="005313D8"/>
    <w:rsid w:val="00531E71"/>
    <w:rsid w:val="00531FEE"/>
    <w:rsid w:val="00533C1E"/>
    <w:rsid w:val="005340C5"/>
    <w:rsid w:val="00534C82"/>
    <w:rsid w:val="005362BF"/>
    <w:rsid w:val="00541033"/>
    <w:rsid w:val="00542CE8"/>
    <w:rsid w:val="00543952"/>
    <w:rsid w:val="00543CD3"/>
    <w:rsid w:val="00543D1E"/>
    <w:rsid w:val="005454CF"/>
    <w:rsid w:val="00550615"/>
    <w:rsid w:val="00550A3C"/>
    <w:rsid w:val="00552924"/>
    <w:rsid w:val="00552AD2"/>
    <w:rsid w:val="00560612"/>
    <w:rsid w:val="00562C54"/>
    <w:rsid w:val="00563A0E"/>
    <w:rsid w:val="00566D67"/>
    <w:rsid w:val="0057041D"/>
    <w:rsid w:val="00572207"/>
    <w:rsid w:val="00573A2B"/>
    <w:rsid w:val="00575281"/>
    <w:rsid w:val="00575507"/>
    <w:rsid w:val="00575F42"/>
    <w:rsid w:val="00582103"/>
    <w:rsid w:val="00583889"/>
    <w:rsid w:val="00583F01"/>
    <w:rsid w:val="00584F66"/>
    <w:rsid w:val="005857F7"/>
    <w:rsid w:val="00586B5F"/>
    <w:rsid w:val="00586FEF"/>
    <w:rsid w:val="00592FAE"/>
    <w:rsid w:val="0059552C"/>
    <w:rsid w:val="0059623D"/>
    <w:rsid w:val="005977ED"/>
    <w:rsid w:val="005A0CAD"/>
    <w:rsid w:val="005A2493"/>
    <w:rsid w:val="005A2F97"/>
    <w:rsid w:val="005A3081"/>
    <w:rsid w:val="005A314C"/>
    <w:rsid w:val="005A75A3"/>
    <w:rsid w:val="005A7AAF"/>
    <w:rsid w:val="005B0441"/>
    <w:rsid w:val="005B39C4"/>
    <w:rsid w:val="005B48DD"/>
    <w:rsid w:val="005B6F53"/>
    <w:rsid w:val="005C44D2"/>
    <w:rsid w:val="005C4A46"/>
    <w:rsid w:val="005C4D6A"/>
    <w:rsid w:val="005D0B8B"/>
    <w:rsid w:val="005D23B4"/>
    <w:rsid w:val="005D5852"/>
    <w:rsid w:val="005D7DDA"/>
    <w:rsid w:val="005E034B"/>
    <w:rsid w:val="005E10F4"/>
    <w:rsid w:val="005E2A04"/>
    <w:rsid w:val="005E3D3E"/>
    <w:rsid w:val="005E41F2"/>
    <w:rsid w:val="005E5645"/>
    <w:rsid w:val="005E59DB"/>
    <w:rsid w:val="005E59FC"/>
    <w:rsid w:val="005E5B16"/>
    <w:rsid w:val="005E6171"/>
    <w:rsid w:val="005E6694"/>
    <w:rsid w:val="005E6D0D"/>
    <w:rsid w:val="005E7B38"/>
    <w:rsid w:val="005F1628"/>
    <w:rsid w:val="005F2584"/>
    <w:rsid w:val="005F3CAD"/>
    <w:rsid w:val="005F56EC"/>
    <w:rsid w:val="006002AC"/>
    <w:rsid w:val="006002DF"/>
    <w:rsid w:val="00600564"/>
    <w:rsid w:val="00601D69"/>
    <w:rsid w:val="00602D5F"/>
    <w:rsid w:val="00602FB8"/>
    <w:rsid w:val="00603323"/>
    <w:rsid w:val="0060676E"/>
    <w:rsid w:val="006069D6"/>
    <w:rsid w:val="00606EAF"/>
    <w:rsid w:val="00610D9D"/>
    <w:rsid w:val="00611154"/>
    <w:rsid w:val="00611CC2"/>
    <w:rsid w:val="00612344"/>
    <w:rsid w:val="00612ACD"/>
    <w:rsid w:val="00613975"/>
    <w:rsid w:val="00616CCD"/>
    <w:rsid w:val="00617763"/>
    <w:rsid w:val="00620B09"/>
    <w:rsid w:val="006225FF"/>
    <w:rsid w:val="00626F39"/>
    <w:rsid w:val="006312C4"/>
    <w:rsid w:val="00631CD9"/>
    <w:rsid w:val="00636E85"/>
    <w:rsid w:val="006370CF"/>
    <w:rsid w:val="00640CA1"/>
    <w:rsid w:val="00641B4D"/>
    <w:rsid w:val="0064380B"/>
    <w:rsid w:val="006438C5"/>
    <w:rsid w:val="00643F08"/>
    <w:rsid w:val="00645051"/>
    <w:rsid w:val="006454CC"/>
    <w:rsid w:val="00646638"/>
    <w:rsid w:val="00647420"/>
    <w:rsid w:val="00650CB0"/>
    <w:rsid w:val="00651224"/>
    <w:rsid w:val="00651468"/>
    <w:rsid w:val="006535F2"/>
    <w:rsid w:val="00654A78"/>
    <w:rsid w:val="00654FE7"/>
    <w:rsid w:val="00655B13"/>
    <w:rsid w:val="00656E1B"/>
    <w:rsid w:val="006571C0"/>
    <w:rsid w:val="00657261"/>
    <w:rsid w:val="00657FB8"/>
    <w:rsid w:val="00660587"/>
    <w:rsid w:val="00661735"/>
    <w:rsid w:val="00662E2D"/>
    <w:rsid w:val="00665D1B"/>
    <w:rsid w:val="006702DC"/>
    <w:rsid w:val="00673698"/>
    <w:rsid w:val="00681542"/>
    <w:rsid w:val="00681B88"/>
    <w:rsid w:val="00686241"/>
    <w:rsid w:val="00686942"/>
    <w:rsid w:val="006871F7"/>
    <w:rsid w:val="00687C46"/>
    <w:rsid w:val="00690FD7"/>
    <w:rsid w:val="00694BE2"/>
    <w:rsid w:val="006A00BC"/>
    <w:rsid w:val="006A144A"/>
    <w:rsid w:val="006A207A"/>
    <w:rsid w:val="006A630B"/>
    <w:rsid w:val="006A63A3"/>
    <w:rsid w:val="006B08E0"/>
    <w:rsid w:val="006B387A"/>
    <w:rsid w:val="006B3B20"/>
    <w:rsid w:val="006B3C42"/>
    <w:rsid w:val="006B5791"/>
    <w:rsid w:val="006B78D8"/>
    <w:rsid w:val="006C0CE7"/>
    <w:rsid w:val="006C3659"/>
    <w:rsid w:val="006D0230"/>
    <w:rsid w:val="006D0B48"/>
    <w:rsid w:val="006D170D"/>
    <w:rsid w:val="006D1FE8"/>
    <w:rsid w:val="006D468A"/>
    <w:rsid w:val="006D52B3"/>
    <w:rsid w:val="006D52FF"/>
    <w:rsid w:val="006D5822"/>
    <w:rsid w:val="006D59F5"/>
    <w:rsid w:val="006D5C2F"/>
    <w:rsid w:val="006D6034"/>
    <w:rsid w:val="006D6A64"/>
    <w:rsid w:val="006D701C"/>
    <w:rsid w:val="006D7692"/>
    <w:rsid w:val="006E14D2"/>
    <w:rsid w:val="006E1B12"/>
    <w:rsid w:val="006E3CAA"/>
    <w:rsid w:val="006E4CE2"/>
    <w:rsid w:val="006E6DBF"/>
    <w:rsid w:val="006F0368"/>
    <w:rsid w:val="006F0B3D"/>
    <w:rsid w:val="006F0FD9"/>
    <w:rsid w:val="006F220F"/>
    <w:rsid w:val="006F3BA9"/>
    <w:rsid w:val="006F70DC"/>
    <w:rsid w:val="00700CDD"/>
    <w:rsid w:val="0070145C"/>
    <w:rsid w:val="00706AD1"/>
    <w:rsid w:val="00707908"/>
    <w:rsid w:val="00707B4F"/>
    <w:rsid w:val="00707DE6"/>
    <w:rsid w:val="00710237"/>
    <w:rsid w:val="007120E2"/>
    <w:rsid w:val="0071292A"/>
    <w:rsid w:val="007141FC"/>
    <w:rsid w:val="007159CA"/>
    <w:rsid w:val="007172A2"/>
    <w:rsid w:val="00717F13"/>
    <w:rsid w:val="00720A9E"/>
    <w:rsid w:val="00720E18"/>
    <w:rsid w:val="00721E9F"/>
    <w:rsid w:val="0072223A"/>
    <w:rsid w:val="00722B32"/>
    <w:rsid w:val="007241F6"/>
    <w:rsid w:val="007279E8"/>
    <w:rsid w:val="007313BE"/>
    <w:rsid w:val="007337AB"/>
    <w:rsid w:val="0073602D"/>
    <w:rsid w:val="00741CCF"/>
    <w:rsid w:val="0074472F"/>
    <w:rsid w:val="00745288"/>
    <w:rsid w:val="00746E90"/>
    <w:rsid w:val="0075035B"/>
    <w:rsid w:val="00750595"/>
    <w:rsid w:val="00752BA6"/>
    <w:rsid w:val="0075412E"/>
    <w:rsid w:val="007577C0"/>
    <w:rsid w:val="007601AC"/>
    <w:rsid w:val="00763B05"/>
    <w:rsid w:val="007642AC"/>
    <w:rsid w:val="00764509"/>
    <w:rsid w:val="00771F84"/>
    <w:rsid w:val="007740B6"/>
    <w:rsid w:val="007754C8"/>
    <w:rsid w:val="00775A34"/>
    <w:rsid w:val="00776EC5"/>
    <w:rsid w:val="00780CF9"/>
    <w:rsid w:val="007813D5"/>
    <w:rsid w:val="0078494F"/>
    <w:rsid w:val="007849E1"/>
    <w:rsid w:val="0079054F"/>
    <w:rsid w:val="00790D2D"/>
    <w:rsid w:val="00790E82"/>
    <w:rsid w:val="007923BB"/>
    <w:rsid w:val="0079240F"/>
    <w:rsid w:val="007941AA"/>
    <w:rsid w:val="0079564A"/>
    <w:rsid w:val="00795C02"/>
    <w:rsid w:val="007A00C0"/>
    <w:rsid w:val="007A0265"/>
    <w:rsid w:val="007A1ABC"/>
    <w:rsid w:val="007A202F"/>
    <w:rsid w:val="007A262E"/>
    <w:rsid w:val="007A3AD7"/>
    <w:rsid w:val="007A3B50"/>
    <w:rsid w:val="007A7EF0"/>
    <w:rsid w:val="007B4584"/>
    <w:rsid w:val="007B4C16"/>
    <w:rsid w:val="007B5C9C"/>
    <w:rsid w:val="007B5E68"/>
    <w:rsid w:val="007B64E8"/>
    <w:rsid w:val="007B6CA6"/>
    <w:rsid w:val="007B70A3"/>
    <w:rsid w:val="007C1B4B"/>
    <w:rsid w:val="007C1F54"/>
    <w:rsid w:val="007C3342"/>
    <w:rsid w:val="007C43FA"/>
    <w:rsid w:val="007C4444"/>
    <w:rsid w:val="007C4DCB"/>
    <w:rsid w:val="007C7850"/>
    <w:rsid w:val="007D027E"/>
    <w:rsid w:val="007D313C"/>
    <w:rsid w:val="007D38C1"/>
    <w:rsid w:val="007D3BAA"/>
    <w:rsid w:val="007D4281"/>
    <w:rsid w:val="007D44E9"/>
    <w:rsid w:val="007D47A1"/>
    <w:rsid w:val="007D5D9B"/>
    <w:rsid w:val="007E00C9"/>
    <w:rsid w:val="007E1FFF"/>
    <w:rsid w:val="007E2E48"/>
    <w:rsid w:val="007E31F7"/>
    <w:rsid w:val="007E32C7"/>
    <w:rsid w:val="007E3BE7"/>
    <w:rsid w:val="007F0741"/>
    <w:rsid w:val="007F0FCA"/>
    <w:rsid w:val="007F169C"/>
    <w:rsid w:val="007F1F1C"/>
    <w:rsid w:val="007F387D"/>
    <w:rsid w:val="007F3890"/>
    <w:rsid w:val="007F4C08"/>
    <w:rsid w:val="007F599F"/>
    <w:rsid w:val="007F6290"/>
    <w:rsid w:val="007F6481"/>
    <w:rsid w:val="00800117"/>
    <w:rsid w:val="00800C75"/>
    <w:rsid w:val="00801843"/>
    <w:rsid w:val="00802EE8"/>
    <w:rsid w:val="00803892"/>
    <w:rsid w:val="00804DD6"/>
    <w:rsid w:val="00810033"/>
    <w:rsid w:val="00810509"/>
    <w:rsid w:val="008130BA"/>
    <w:rsid w:val="00813801"/>
    <w:rsid w:val="0081390E"/>
    <w:rsid w:val="00815F39"/>
    <w:rsid w:val="0081756E"/>
    <w:rsid w:val="0082032A"/>
    <w:rsid w:val="0082253C"/>
    <w:rsid w:val="00822867"/>
    <w:rsid w:val="00824366"/>
    <w:rsid w:val="00832EC9"/>
    <w:rsid w:val="008339A0"/>
    <w:rsid w:val="008343EC"/>
    <w:rsid w:val="00834B61"/>
    <w:rsid w:val="008375D4"/>
    <w:rsid w:val="00843BDE"/>
    <w:rsid w:val="008442C3"/>
    <w:rsid w:val="008447D2"/>
    <w:rsid w:val="00845BCB"/>
    <w:rsid w:val="00846874"/>
    <w:rsid w:val="00846A57"/>
    <w:rsid w:val="008473D2"/>
    <w:rsid w:val="00851453"/>
    <w:rsid w:val="00852499"/>
    <w:rsid w:val="00853FE5"/>
    <w:rsid w:val="00854423"/>
    <w:rsid w:val="008546D7"/>
    <w:rsid w:val="008554B8"/>
    <w:rsid w:val="0085564B"/>
    <w:rsid w:val="00860D11"/>
    <w:rsid w:val="00861674"/>
    <w:rsid w:val="008626E9"/>
    <w:rsid w:val="008627F0"/>
    <w:rsid w:val="00862AA3"/>
    <w:rsid w:val="00862BCF"/>
    <w:rsid w:val="00863527"/>
    <w:rsid w:val="00866BE2"/>
    <w:rsid w:val="008679A4"/>
    <w:rsid w:val="00871283"/>
    <w:rsid w:val="00872150"/>
    <w:rsid w:val="008727E4"/>
    <w:rsid w:val="008734D7"/>
    <w:rsid w:val="00873F92"/>
    <w:rsid w:val="00874846"/>
    <w:rsid w:val="008769C0"/>
    <w:rsid w:val="00881115"/>
    <w:rsid w:val="008821CF"/>
    <w:rsid w:val="00886690"/>
    <w:rsid w:val="00886956"/>
    <w:rsid w:val="00886A62"/>
    <w:rsid w:val="008879AD"/>
    <w:rsid w:val="008879AE"/>
    <w:rsid w:val="00887C86"/>
    <w:rsid w:val="00887DBB"/>
    <w:rsid w:val="00896AA0"/>
    <w:rsid w:val="008A3882"/>
    <w:rsid w:val="008A4E2F"/>
    <w:rsid w:val="008A5623"/>
    <w:rsid w:val="008A653D"/>
    <w:rsid w:val="008A7214"/>
    <w:rsid w:val="008B080B"/>
    <w:rsid w:val="008B2571"/>
    <w:rsid w:val="008B2639"/>
    <w:rsid w:val="008B4F7B"/>
    <w:rsid w:val="008B527B"/>
    <w:rsid w:val="008C23DC"/>
    <w:rsid w:val="008C3145"/>
    <w:rsid w:val="008C5771"/>
    <w:rsid w:val="008C5D99"/>
    <w:rsid w:val="008C75C1"/>
    <w:rsid w:val="008D1709"/>
    <w:rsid w:val="008D257C"/>
    <w:rsid w:val="008D44BA"/>
    <w:rsid w:val="008D4E9A"/>
    <w:rsid w:val="008D532C"/>
    <w:rsid w:val="008D61E0"/>
    <w:rsid w:val="008D629D"/>
    <w:rsid w:val="008D7639"/>
    <w:rsid w:val="008D77B3"/>
    <w:rsid w:val="008E009B"/>
    <w:rsid w:val="008E16DB"/>
    <w:rsid w:val="008E1FDC"/>
    <w:rsid w:val="008E2C75"/>
    <w:rsid w:val="008E48BD"/>
    <w:rsid w:val="008E503D"/>
    <w:rsid w:val="008E55EE"/>
    <w:rsid w:val="008F06BA"/>
    <w:rsid w:val="008F2B1C"/>
    <w:rsid w:val="008F3BFF"/>
    <w:rsid w:val="008F3DB1"/>
    <w:rsid w:val="008F6079"/>
    <w:rsid w:val="008F6396"/>
    <w:rsid w:val="008F6850"/>
    <w:rsid w:val="0090025C"/>
    <w:rsid w:val="009011BF"/>
    <w:rsid w:val="0090158D"/>
    <w:rsid w:val="00902A65"/>
    <w:rsid w:val="00903899"/>
    <w:rsid w:val="00904765"/>
    <w:rsid w:val="00913F27"/>
    <w:rsid w:val="00916CD9"/>
    <w:rsid w:val="00916FAF"/>
    <w:rsid w:val="00916FB9"/>
    <w:rsid w:val="00917C9B"/>
    <w:rsid w:val="00920301"/>
    <w:rsid w:val="00922463"/>
    <w:rsid w:val="00922FAB"/>
    <w:rsid w:val="00924083"/>
    <w:rsid w:val="00925ADE"/>
    <w:rsid w:val="0092602A"/>
    <w:rsid w:val="009308F5"/>
    <w:rsid w:val="009333BE"/>
    <w:rsid w:val="00934A42"/>
    <w:rsid w:val="00934CB9"/>
    <w:rsid w:val="0093593F"/>
    <w:rsid w:val="00935D31"/>
    <w:rsid w:val="00936686"/>
    <w:rsid w:val="0093798B"/>
    <w:rsid w:val="009401EB"/>
    <w:rsid w:val="00940B56"/>
    <w:rsid w:val="00940BC9"/>
    <w:rsid w:val="0094195A"/>
    <w:rsid w:val="00943403"/>
    <w:rsid w:val="00943966"/>
    <w:rsid w:val="0095348A"/>
    <w:rsid w:val="00954813"/>
    <w:rsid w:val="00956005"/>
    <w:rsid w:val="00956A6E"/>
    <w:rsid w:val="00957A52"/>
    <w:rsid w:val="00957FF8"/>
    <w:rsid w:val="009618E4"/>
    <w:rsid w:val="009629C1"/>
    <w:rsid w:val="009636AB"/>
    <w:rsid w:val="0096695B"/>
    <w:rsid w:val="009704D4"/>
    <w:rsid w:val="00970777"/>
    <w:rsid w:val="00970AA8"/>
    <w:rsid w:val="00972F4C"/>
    <w:rsid w:val="00974433"/>
    <w:rsid w:val="00974A39"/>
    <w:rsid w:val="00975E9B"/>
    <w:rsid w:val="00975F3A"/>
    <w:rsid w:val="00976254"/>
    <w:rsid w:val="00976C4E"/>
    <w:rsid w:val="009820CB"/>
    <w:rsid w:val="00982857"/>
    <w:rsid w:val="00983095"/>
    <w:rsid w:val="009836B4"/>
    <w:rsid w:val="00986209"/>
    <w:rsid w:val="009863BD"/>
    <w:rsid w:val="0098780A"/>
    <w:rsid w:val="0098789D"/>
    <w:rsid w:val="00995EA3"/>
    <w:rsid w:val="00996700"/>
    <w:rsid w:val="009A17AF"/>
    <w:rsid w:val="009A3B14"/>
    <w:rsid w:val="009A45E2"/>
    <w:rsid w:val="009A4BFC"/>
    <w:rsid w:val="009A5183"/>
    <w:rsid w:val="009A7E08"/>
    <w:rsid w:val="009B4C12"/>
    <w:rsid w:val="009B4D73"/>
    <w:rsid w:val="009B6577"/>
    <w:rsid w:val="009C12D9"/>
    <w:rsid w:val="009C1733"/>
    <w:rsid w:val="009C19A0"/>
    <w:rsid w:val="009C2F2C"/>
    <w:rsid w:val="009C3454"/>
    <w:rsid w:val="009C6119"/>
    <w:rsid w:val="009C6532"/>
    <w:rsid w:val="009C7B03"/>
    <w:rsid w:val="009C7EB3"/>
    <w:rsid w:val="009D0075"/>
    <w:rsid w:val="009D0122"/>
    <w:rsid w:val="009D47E6"/>
    <w:rsid w:val="009E13CD"/>
    <w:rsid w:val="009E1771"/>
    <w:rsid w:val="009E1C37"/>
    <w:rsid w:val="009E39E9"/>
    <w:rsid w:val="009E6589"/>
    <w:rsid w:val="009F0A6D"/>
    <w:rsid w:val="009F172C"/>
    <w:rsid w:val="009F21BA"/>
    <w:rsid w:val="009F2314"/>
    <w:rsid w:val="009F2644"/>
    <w:rsid w:val="009F39A4"/>
    <w:rsid w:val="009F44BC"/>
    <w:rsid w:val="009F5334"/>
    <w:rsid w:val="009F6FB2"/>
    <w:rsid w:val="00A05BFF"/>
    <w:rsid w:val="00A062BD"/>
    <w:rsid w:val="00A06D9D"/>
    <w:rsid w:val="00A10980"/>
    <w:rsid w:val="00A10AA5"/>
    <w:rsid w:val="00A11338"/>
    <w:rsid w:val="00A113A4"/>
    <w:rsid w:val="00A14F81"/>
    <w:rsid w:val="00A17738"/>
    <w:rsid w:val="00A206AF"/>
    <w:rsid w:val="00A20FA5"/>
    <w:rsid w:val="00A23DD1"/>
    <w:rsid w:val="00A24BC0"/>
    <w:rsid w:val="00A26354"/>
    <w:rsid w:val="00A30F21"/>
    <w:rsid w:val="00A34C14"/>
    <w:rsid w:val="00A35A90"/>
    <w:rsid w:val="00A44F44"/>
    <w:rsid w:val="00A45913"/>
    <w:rsid w:val="00A475D3"/>
    <w:rsid w:val="00A4764C"/>
    <w:rsid w:val="00A47AF3"/>
    <w:rsid w:val="00A47ECC"/>
    <w:rsid w:val="00A47F3E"/>
    <w:rsid w:val="00A513A5"/>
    <w:rsid w:val="00A51CD2"/>
    <w:rsid w:val="00A52657"/>
    <w:rsid w:val="00A55789"/>
    <w:rsid w:val="00A55BB5"/>
    <w:rsid w:val="00A6152B"/>
    <w:rsid w:val="00A61954"/>
    <w:rsid w:val="00A6370B"/>
    <w:rsid w:val="00A64059"/>
    <w:rsid w:val="00A65FE8"/>
    <w:rsid w:val="00A67C1D"/>
    <w:rsid w:val="00A70D65"/>
    <w:rsid w:val="00A71474"/>
    <w:rsid w:val="00A7163B"/>
    <w:rsid w:val="00A77562"/>
    <w:rsid w:val="00A80265"/>
    <w:rsid w:val="00A826F1"/>
    <w:rsid w:val="00A82E24"/>
    <w:rsid w:val="00A85C6A"/>
    <w:rsid w:val="00A9185F"/>
    <w:rsid w:val="00A92355"/>
    <w:rsid w:val="00A928D3"/>
    <w:rsid w:val="00A930F4"/>
    <w:rsid w:val="00A9545D"/>
    <w:rsid w:val="00A95EA5"/>
    <w:rsid w:val="00A9658C"/>
    <w:rsid w:val="00A96AC8"/>
    <w:rsid w:val="00AB09C8"/>
    <w:rsid w:val="00AB117A"/>
    <w:rsid w:val="00AB2C6A"/>
    <w:rsid w:val="00AB6169"/>
    <w:rsid w:val="00AB7181"/>
    <w:rsid w:val="00AC0376"/>
    <w:rsid w:val="00AC188C"/>
    <w:rsid w:val="00AC2CCC"/>
    <w:rsid w:val="00AC4550"/>
    <w:rsid w:val="00AC6556"/>
    <w:rsid w:val="00AD13A0"/>
    <w:rsid w:val="00AD2E20"/>
    <w:rsid w:val="00AD4880"/>
    <w:rsid w:val="00AD48E1"/>
    <w:rsid w:val="00AD4F8E"/>
    <w:rsid w:val="00AD7F2C"/>
    <w:rsid w:val="00AE29B4"/>
    <w:rsid w:val="00AE2C8F"/>
    <w:rsid w:val="00AE67E2"/>
    <w:rsid w:val="00AE68B7"/>
    <w:rsid w:val="00AE7327"/>
    <w:rsid w:val="00AE7351"/>
    <w:rsid w:val="00AF1646"/>
    <w:rsid w:val="00AF5C26"/>
    <w:rsid w:val="00AF5FC2"/>
    <w:rsid w:val="00B017AF"/>
    <w:rsid w:val="00B02CBB"/>
    <w:rsid w:val="00B03A96"/>
    <w:rsid w:val="00B03E9D"/>
    <w:rsid w:val="00B04695"/>
    <w:rsid w:val="00B051B2"/>
    <w:rsid w:val="00B0554A"/>
    <w:rsid w:val="00B12E68"/>
    <w:rsid w:val="00B12E83"/>
    <w:rsid w:val="00B13FAC"/>
    <w:rsid w:val="00B14029"/>
    <w:rsid w:val="00B142C0"/>
    <w:rsid w:val="00B1509C"/>
    <w:rsid w:val="00B1559E"/>
    <w:rsid w:val="00B15A88"/>
    <w:rsid w:val="00B15B6D"/>
    <w:rsid w:val="00B15D19"/>
    <w:rsid w:val="00B200FE"/>
    <w:rsid w:val="00B218F3"/>
    <w:rsid w:val="00B23699"/>
    <w:rsid w:val="00B23D82"/>
    <w:rsid w:val="00B23E7D"/>
    <w:rsid w:val="00B31878"/>
    <w:rsid w:val="00B32B12"/>
    <w:rsid w:val="00B35167"/>
    <w:rsid w:val="00B3586E"/>
    <w:rsid w:val="00B35E53"/>
    <w:rsid w:val="00B451B8"/>
    <w:rsid w:val="00B45923"/>
    <w:rsid w:val="00B45CD5"/>
    <w:rsid w:val="00B45DF1"/>
    <w:rsid w:val="00B46759"/>
    <w:rsid w:val="00B46BE4"/>
    <w:rsid w:val="00B50C01"/>
    <w:rsid w:val="00B533C7"/>
    <w:rsid w:val="00B53F94"/>
    <w:rsid w:val="00B5484B"/>
    <w:rsid w:val="00B57350"/>
    <w:rsid w:val="00B642B0"/>
    <w:rsid w:val="00B657A3"/>
    <w:rsid w:val="00B707C1"/>
    <w:rsid w:val="00B71733"/>
    <w:rsid w:val="00B71839"/>
    <w:rsid w:val="00B72750"/>
    <w:rsid w:val="00B74316"/>
    <w:rsid w:val="00B74431"/>
    <w:rsid w:val="00B775CE"/>
    <w:rsid w:val="00B8209D"/>
    <w:rsid w:val="00B83160"/>
    <w:rsid w:val="00B86878"/>
    <w:rsid w:val="00B911FD"/>
    <w:rsid w:val="00B9252F"/>
    <w:rsid w:val="00B93715"/>
    <w:rsid w:val="00B95CD5"/>
    <w:rsid w:val="00B96469"/>
    <w:rsid w:val="00B97495"/>
    <w:rsid w:val="00B97881"/>
    <w:rsid w:val="00B97BB7"/>
    <w:rsid w:val="00B97D5A"/>
    <w:rsid w:val="00BA0A16"/>
    <w:rsid w:val="00BA23B9"/>
    <w:rsid w:val="00BA3378"/>
    <w:rsid w:val="00BA4BEA"/>
    <w:rsid w:val="00BA50F6"/>
    <w:rsid w:val="00BA6C05"/>
    <w:rsid w:val="00BB3AE2"/>
    <w:rsid w:val="00BB7C0A"/>
    <w:rsid w:val="00BC02E0"/>
    <w:rsid w:val="00BC060E"/>
    <w:rsid w:val="00BC1F4B"/>
    <w:rsid w:val="00BC37D8"/>
    <w:rsid w:val="00BC3BF0"/>
    <w:rsid w:val="00BC43D8"/>
    <w:rsid w:val="00BC6496"/>
    <w:rsid w:val="00BD1EBB"/>
    <w:rsid w:val="00BD215E"/>
    <w:rsid w:val="00BD2235"/>
    <w:rsid w:val="00BD2E76"/>
    <w:rsid w:val="00BD30C6"/>
    <w:rsid w:val="00BD3FC1"/>
    <w:rsid w:val="00BD425B"/>
    <w:rsid w:val="00BD4E33"/>
    <w:rsid w:val="00BD6A89"/>
    <w:rsid w:val="00BE1635"/>
    <w:rsid w:val="00BE3ED8"/>
    <w:rsid w:val="00BE4311"/>
    <w:rsid w:val="00BE682D"/>
    <w:rsid w:val="00BF065B"/>
    <w:rsid w:val="00BF08EA"/>
    <w:rsid w:val="00BF1881"/>
    <w:rsid w:val="00BF311B"/>
    <w:rsid w:val="00BF36A1"/>
    <w:rsid w:val="00C000A9"/>
    <w:rsid w:val="00C044A6"/>
    <w:rsid w:val="00C04634"/>
    <w:rsid w:val="00C06B22"/>
    <w:rsid w:val="00C109D9"/>
    <w:rsid w:val="00C115B1"/>
    <w:rsid w:val="00C11756"/>
    <w:rsid w:val="00C1296D"/>
    <w:rsid w:val="00C13A89"/>
    <w:rsid w:val="00C14EFC"/>
    <w:rsid w:val="00C16E93"/>
    <w:rsid w:val="00C20B32"/>
    <w:rsid w:val="00C21934"/>
    <w:rsid w:val="00C231AD"/>
    <w:rsid w:val="00C267CC"/>
    <w:rsid w:val="00C27338"/>
    <w:rsid w:val="00C303E4"/>
    <w:rsid w:val="00C304C7"/>
    <w:rsid w:val="00C32917"/>
    <w:rsid w:val="00C33B86"/>
    <w:rsid w:val="00C34245"/>
    <w:rsid w:val="00C35E6F"/>
    <w:rsid w:val="00C37E5D"/>
    <w:rsid w:val="00C43301"/>
    <w:rsid w:val="00C441F4"/>
    <w:rsid w:val="00C503FC"/>
    <w:rsid w:val="00C5124D"/>
    <w:rsid w:val="00C51C7C"/>
    <w:rsid w:val="00C52012"/>
    <w:rsid w:val="00C53790"/>
    <w:rsid w:val="00C53C3C"/>
    <w:rsid w:val="00C54D9F"/>
    <w:rsid w:val="00C5551B"/>
    <w:rsid w:val="00C55A75"/>
    <w:rsid w:val="00C560FD"/>
    <w:rsid w:val="00C57167"/>
    <w:rsid w:val="00C60CF2"/>
    <w:rsid w:val="00C61A90"/>
    <w:rsid w:val="00C63486"/>
    <w:rsid w:val="00C64CEF"/>
    <w:rsid w:val="00C700B3"/>
    <w:rsid w:val="00C73723"/>
    <w:rsid w:val="00C7435B"/>
    <w:rsid w:val="00C74677"/>
    <w:rsid w:val="00C76333"/>
    <w:rsid w:val="00C763EA"/>
    <w:rsid w:val="00C76413"/>
    <w:rsid w:val="00C77973"/>
    <w:rsid w:val="00C77C28"/>
    <w:rsid w:val="00C80345"/>
    <w:rsid w:val="00C80F4C"/>
    <w:rsid w:val="00C81FC6"/>
    <w:rsid w:val="00C82EE0"/>
    <w:rsid w:val="00C830AE"/>
    <w:rsid w:val="00C83599"/>
    <w:rsid w:val="00C852F0"/>
    <w:rsid w:val="00C863FF"/>
    <w:rsid w:val="00C87E3E"/>
    <w:rsid w:val="00C90715"/>
    <w:rsid w:val="00C9152D"/>
    <w:rsid w:val="00C92661"/>
    <w:rsid w:val="00C93DCD"/>
    <w:rsid w:val="00C94A0F"/>
    <w:rsid w:val="00C9593B"/>
    <w:rsid w:val="00C96930"/>
    <w:rsid w:val="00C97665"/>
    <w:rsid w:val="00CA692A"/>
    <w:rsid w:val="00CA6971"/>
    <w:rsid w:val="00CA6AEB"/>
    <w:rsid w:val="00CB1F47"/>
    <w:rsid w:val="00CB60EC"/>
    <w:rsid w:val="00CC2F84"/>
    <w:rsid w:val="00CC4E15"/>
    <w:rsid w:val="00CC5BDE"/>
    <w:rsid w:val="00CC5D1E"/>
    <w:rsid w:val="00CC5E1F"/>
    <w:rsid w:val="00CC6440"/>
    <w:rsid w:val="00CD1646"/>
    <w:rsid w:val="00CD200B"/>
    <w:rsid w:val="00CD21D5"/>
    <w:rsid w:val="00CD258E"/>
    <w:rsid w:val="00CD4A45"/>
    <w:rsid w:val="00CD76D9"/>
    <w:rsid w:val="00CE0D45"/>
    <w:rsid w:val="00CE295B"/>
    <w:rsid w:val="00CE49D7"/>
    <w:rsid w:val="00CE5C6B"/>
    <w:rsid w:val="00CF090A"/>
    <w:rsid w:val="00CF0ADF"/>
    <w:rsid w:val="00CF1147"/>
    <w:rsid w:val="00CF16C1"/>
    <w:rsid w:val="00CF4142"/>
    <w:rsid w:val="00CF5748"/>
    <w:rsid w:val="00CF5D4E"/>
    <w:rsid w:val="00CF72DA"/>
    <w:rsid w:val="00D006E2"/>
    <w:rsid w:val="00D0163F"/>
    <w:rsid w:val="00D076D4"/>
    <w:rsid w:val="00D078C1"/>
    <w:rsid w:val="00D078DB"/>
    <w:rsid w:val="00D07DF8"/>
    <w:rsid w:val="00D11870"/>
    <w:rsid w:val="00D12773"/>
    <w:rsid w:val="00D1558C"/>
    <w:rsid w:val="00D20A27"/>
    <w:rsid w:val="00D22D13"/>
    <w:rsid w:val="00D25A88"/>
    <w:rsid w:val="00D25EAD"/>
    <w:rsid w:val="00D270D2"/>
    <w:rsid w:val="00D31055"/>
    <w:rsid w:val="00D31B6D"/>
    <w:rsid w:val="00D31F7C"/>
    <w:rsid w:val="00D32078"/>
    <w:rsid w:val="00D33B46"/>
    <w:rsid w:val="00D35BB6"/>
    <w:rsid w:val="00D41159"/>
    <w:rsid w:val="00D4311A"/>
    <w:rsid w:val="00D4582C"/>
    <w:rsid w:val="00D501AE"/>
    <w:rsid w:val="00D515D0"/>
    <w:rsid w:val="00D52D67"/>
    <w:rsid w:val="00D543B9"/>
    <w:rsid w:val="00D55A7D"/>
    <w:rsid w:val="00D564FA"/>
    <w:rsid w:val="00D5764B"/>
    <w:rsid w:val="00D6082C"/>
    <w:rsid w:val="00D6229D"/>
    <w:rsid w:val="00D63A2D"/>
    <w:rsid w:val="00D644C8"/>
    <w:rsid w:val="00D66E2C"/>
    <w:rsid w:val="00D67142"/>
    <w:rsid w:val="00D676BD"/>
    <w:rsid w:val="00D71753"/>
    <w:rsid w:val="00D71DE9"/>
    <w:rsid w:val="00D7340B"/>
    <w:rsid w:val="00D73544"/>
    <w:rsid w:val="00D77F97"/>
    <w:rsid w:val="00D81703"/>
    <w:rsid w:val="00D826AB"/>
    <w:rsid w:val="00D847ED"/>
    <w:rsid w:val="00D86C28"/>
    <w:rsid w:val="00D93780"/>
    <w:rsid w:val="00D959B0"/>
    <w:rsid w:val="00D95AE9"/>
    <w:rsid w:val="00D96294"/>
    <w:rsid w:val="00D97ACB"/>
    <w:rsid w:val="00DA16C0"/>
    <w:rsid w:val="00DA1FA9"/>
    <w:rsid w:val="00DA35F1"/>
    <w:rsid w:val="00DA4E82"/>
    <w:rsid w:val="00DB07DF"/>
    <w:rsid w:val="00DB1CE3"/>
    <w:rsid w:val="00DB29AF"/>
    <w:rsid w:val="00DB3245"/>
    <w:rsid w:val="00DB3B01"/>
    <w:rsid w:val="00DB4951"/>
    <w:rsid w:val="00DB52C6"/>
    <w:rsid w:val="00DB60EF"/>
    <w:rsid w:val="00DB76DD"/>
    <w:rsid w:val="00DC0137"/>
    <w:rsid w:val="00DC0891"/>
    <w:rsid w:val="00DC0C4F"/>
    <w:rsid w:val="00DC0D0A"/>
    <w:rsid w:val="00DC0ED9"/>
    <w:rsid w:val="00DC313F"/>
    <w:rsid w:val="00DC354A"/>
    <w:rsid w:val="00DC3E1F"/>
    <w:rsid w:val="00DC54E2"/>
    <w:rsid w:val="00DC6143"/>
    <w:rsid w:val="00DC6FB1"/>
    <w:rsid w:val="00DC706A"/>
    <w:rsid w:val="00DD0F9B"/>
    <w:rsid w:val="00DD4587"/>
    <w:rsid w:val="00DE052B"/>
    <w:rsid w:val="00DE149E"/>
    <w:rsid w:val="00DE1797"/>
    <w:rsid w:val="00DE1D22"/>
    <w:rsid w:val="00DE4E61"/>
    <w:rsid w:val="00DE6C43"/>
    <w:rsid w:val="00DE7213"/>
    <w:rsid w:val="00DF0E6C"/>
    <w:rsid w:val="00DF1E8F"/>
    <w:rsid w:val="00DF2C6E"/>
    <w:rsid w:val="00DF316E"/>
    <w:rsid w:val="00DF74E9"/>
    <w:rsid w:val="00E04167"/>
    <w:rsid w:val="00E04B1E"/>
    <w:rsid w:val="00E04DB9"/>
    <w:rsid w:val="00E07D6E"/>
    <w:rsid w:val="00E1578A"/>
    <w:rsid w:val="00E16A96"/>
    <w:rsid w:val="00E20620"/>
    <w:rsid w:val="00E2108E"/>
    <w:rsid w:val="00E235F9"/>
    <w:rsid w:val="00E25107"/>
    <w:rsid w:val="00E25AB5"/>
    <w:rsid w:val="00E26EC2"/>
    <w:rsid w:val="00E27A12"/>
    <w:rsid w:val="00E27FEF"/>
    <w:rsid w:val="00E300C3"/>
    <w:rsid w:val="00E3012E"/>
    <w:rsid w:val="00E30323"/>
    <w:rsid w:val="00E30920"/>
    <w:rsid w:val="00E3145F"/>
    <w:rsid w:val="00E32385"/>
    <w:rsid w:val="00E32782"/>
    <w:rsid w:val="00E34E6E"/>
    <w:rsid w:val="00E34EDB"/>
    <w:rsid w:val="00E36036"/>
    <w:rsid w:val="00E36813"/>
    <w:rsid w:val="00E36FFC"/>
    <w:rsid w:val="00E42186"/>
    <w:rsid w:val="00E42C8A"/>
    <w:rsid w:val="00E4333A"/>
    <w:rsid w:val="00E43852"/>
    <w:rsid w:val="00E47D14"/>
    <w:rsid w:val="00E52565"/>
    <w:rsid w:val="00E540B9"/>
    <w:rsid w:val="00E54ADD"/>
    <w:rsid w:val="00E57C37"/>
    <w:rsid w:val="00E57DCD"/>
    <w:rsid w:val="00E601CA"/>
    <w:rsid w:val="00E61599"/>
    <w:rsid w:val="00E70493"/>
    <w:rsid w:val="00E726EC"/>
    <w:rsid w:val="00E72C4C"/>
    <w:rsid w:val="00E74176"/>
    <w:rsid w:val="00E75483"/>
    <w:rsid w:val="00E761A2"/>
    <w:rsid w:val="00E76B98"/>
    <w:rsid w:val="00E80A3C"/>
    <w:rsid w:val="00E8105F"/>
    <w:rsid w:val="00E8159C"/>
    <w:rsid w:val="00E84034"/>
    <w:rsid w:val="00E846ED"/>
    <w:rsid w:val="00E85C09"/>
    <w:rsid w:val="00E863AA"/>
    <w:rsid w:val="00E86667"/>
    <w:rsid w:val="00E90827"/>
    <w:rsid w:val="00E91A05"/>
    <w:rsid w:val="00E9361C"/>
    <w:rsid w:val="00E9523D"/>
    <w:rsid w:val="00E95A88"/>
    <w:rsid w:val="00E96025"/>
    <w:rsid w:val="00E964B2"/>
    <w:rsid w:val="00E97CCA"/>
    <w:rsid w:val="00EA143F"/>
    <w:rsid w:val="00EA1490"/>
    <w:rsid w:val="00EA180F"/>
    <w:rsid w:val="00EA356A"/>
    <w:rsid w:val="00EA3787"/>
    <w:rsid w:val="00EA56FD"/>
    <w:rsid w:val="00EA60F4"/>
    <w:rsid w:val="00EA75A7"/>
    <w:rsid w:val="00EA7A89"/>
    <w:rsid w:val="00EB1BA6"/>
    <w:rsid w:val="00EB5160"/>
    <w:rsid w:val="00EB6413"/>
    <w:rsid w:val="00EB6FEA"/>
    <w:rsid w:val="00EB7CAD"/>
    <w:rsid w:val="00EB7E36"/>
    <w:rsid w:val="00EC085D"/>
    <w:rsid w:val="00EC0ED4"/>
    <w:rsid w:val="00EC1D7C"/>
    <w:rsid w:val="00EC1EC4"/>
    <w:rsid w:val="00EC2A69"/>
    <w:rsid w:val="00EC3A92"/>
    <w:rsid w:val="00EC70E5"/>
    <w:rsid w:val="00EC7257"/>
    <w:rsid w:val="00ED0E9C"/>
    <w:rsid w:val="00ED4B61"/>
    <w:rsid w:val="00ED5790"/>
    <w:rsid w:val="00ED660B"/>
    <w:rsid w:val="00ED712F"/>
    <w:rsid w:val="00ED7759"/>
    <w:rsid w:val="00EE3815"/>
    <w:rsid w:val="00EE40B0"/>
    <w:rsid w:val="00EE57C0"/>
    <w:rsid w:val="00EF407B"/>
    <w:rsid w:val="00EF418F"/>
    <w:rsid w:val="00EF73C2"/>
    <w:rsid w:val="00EF7ED4"/>
    <w:rsid w:val="00F00690"/>
    <w:rsid w:val="00F01E1A"/>
    <w:rsid w:val="00F02393"/>
    <w:rsid w:val="00F034C9"/>
    <w:rsid w:val="00F0508D"/>
    <w:rsid w:val="00F06558"/>
    <w:rsid w:val="00F07F98"/>
    <w:rsid w:val="00F10181"/>
    <w:rsid w:val="00F110C0"/>
    <w:rsid w:val="00F12B58"/>
    <w:rsid w:val="00F13824"/>
    <w:rsid w:val="00F14C3A"/>
    <w:rsid w:val="00F1520A"/>
    <w:rsid w:val="00F15988"/>
    <w:rsid w:val="00F15C63"/>
    <w:rsid w:val="00F16A82"/>
    <w:rsid w:val="00F17161"/>
    <w:rsid w:val="00F17492"/>
    <w:rsid w:val="00F201FD"/>
    <w:rsid w:val="00F23654"/>
    <w:rsid w:val="00F23A9A"/>
    <w:rsid w:val="00F24C6C"/>
    <w:rsid w:val="00F318EE"/>
    <w:rsid w:val="00F31CBB"/>
    <w:rsid w:val="00F31DF8"/>
    <w:rsid w:val="00F34D10"/>
    <w:rsid w:val="00F36475"/>
    <w:rsid w:val="00F36E40"/>
    <w:rsid w:val="00F404F9"/>
    <w:rsid w:val="00F421EA"/>
    <w:rsid w:val="00F4447A"/>
    <w:rsid w:val="00F468B7"/>
    <w:rsid w:val="00F4732A"/>
    <w:rsid w:val="00F479CC"/>
    <w:rsid w:val="00F47BBE"/>
    <w:rsid w:val="00F50C6A"/>
    <w:rsid w:val="00F517CB"/>
    <w:rsid w:val="00F527EA"/>
    <w:rsid w:val="00F53F5F"/>
    <w:rsid w:val="00F55B8E"/>
    <w:rsid w:val="00F55BB9"/>
    <w:rsid w:val="00F5686A"/>
    <w:rsid w:val="00F574FF"/>
    <w:rsid w:val="00F62C79"/>
    <w:rsid w:val="00F63DE3"/>
    <w:rsid w:val="00F661EE"/>
    <w:rsid w:val="00F66356"/>
    <w:rsid w:val="00F66412"/>
    <w:rsid w:val="00F70DC6"/>
    <w:rsid w:val="00F712A5"/>
    <w:rsid w:val="00F773A0"/>
    <w:rsid w:val="00F8167B"/>
    <w:rsid w:val="00F81744"/>
    <w:rsid w:val="00F847FB"/>
    <w:rsid w:val="00F92851"/>
    <w:rsid w:val="00F94847"/>
    <w:rsid w:val="00F96892"/>
    <w:rsid w:val="00F96CE5"/>
    <w:rsid w:val="00FA117A"/>
    <w:rsid w:val="00FA12B5"/>
    <w:rsid w:val="00FB685C"/>
    <w:rsid w:val="00FC0501"/>
    <w:rsid w:val="00FC0DB9"/>
    <w:rsid w:val="00FC1A12"/>
    <w:rsid w:val="00FC1AE7"/>
    <w:rsid w:val="00FC4A44"/>
    <w:rsid w:val="00FC57E6"/>
    <w:rsid w:val="00FC6617"/>
    <w:rsid w:val="00FC721B"/>
    <w:rsid w:val="00FC776E"/>
    <w:rsid w:val="00FD063D"/>
    <w:rsid w:val="00FD1063"/>
    <w:rsid w:val="00FD145F"/>
    <w:rsid w:val="00FD38EF"/>
    <w:rsid w:val="00FD4678"/>
    <w:rsid w:val="00FD57ED"/>
    <w:rsid w:val="00FD5D16"/>
    <w:rsid w:val="00FD68F7"/>
    <w:rsid w:val="00FD6E05"/>
    <w:rsid w:val="00FD7017"/>
    <w:rsid w:val="00FE0040"/>
    <w:rsid w:val="00FE0A3C"/>
    <w:rsid w:val="00FE6958"/>
    <w:rsid w:val="00FF4681"/>
    <w:rsid w:val="00FF5E83"/>
    <w:rsid w:val="00FF70C7"/>
    <w:rsid w:val="00FF746A"/>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5:docId w15:val="{B7453CD5-355A-4D7C-BB4C-69003253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cs-CZ"/>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47F3E"/>
    <w:pPr>
      <w:suppressAutoHyphens/>
      <w:spacing w:after="200" w:line="276" w:lineRule="auto"/>
    </w:pPr>
    <w:rPr>
      <w:rFonts w:ascii="Calibri" w:eastAsia="Calibri" w:hAnsi="Calibri"/>
      <w:sz w:val="22"/>
      <w:szCs w:val="22"/>
    </w:rPr>
  </w:style>
  <w:style w:type="paragraph" w:styleId="Nadpis1">
    <w:name w:val="heading 1"/>
    <w:basedOn w:val="Normln"/>
    <w:next w:val="Normln"/>
    <w:link w:val="Nadpis1Char"/>
    <w:uiPriority w:val="9"/>
    <w:qFormat/>
    <w:rsid w:val="000170DD"/>
    <w:pPr>
      <w:keepNext/>
      <w:keepLines/>
      <w:spacing w:before="480" w:after="0"/>
      <w:outlineLvl w:val="0"/>
    </w:pPr>
    <w:rPr>
      <w:rFonts w:ascii="Times New Roman" w:eastAsiaTheme="majorEastAsia" w:hAnsi="Times New Roman" w:cstheme="majorBidi"/>
      <w:b/>
      <w:bCs/>
      <w:sz w:val="24"/>
      <w:szCs w:val="28"/>
    </w:rPr>
  </w:style>
  <w:style w:type="paragraph" w:styleId="Nadpis2">
    <w:name w:val="heading 2"/>
    <w:basedOn w:val="Normln"/>
    <w:next w:val="Normln"/>
    <w:link w:val="Nadpis2Char"/>
    <w:uiPriority w:val="9"/>
    <w:unhideWhenUsed/>
    <w:qFormat/>
    <w:rsid w:val="00190728"/>
    <w:pPr>
      <w:keepNext/>
      <w:keepLines/>
      <w:spacing w:before="200" w:after="0"/>
      <w:outlineLvl w:val="1"/>
    </w:pPr>
    <w:rPr>
      <w:rFonts w:ascii="Times New Roman" w:eastAsia="Times New Roman" w:hAnsi="Times New Roman"/>
      <w:b/>
      <w:bCs/>
      <w:i/>
      <w:sz w:val="24"/>
      <w:szCs w:val="26"/>
    </w:rPr>
  </w:style>
  <w:style w:type="paragraph" w:styleId="Nadpis3">
    <w:name w:val="heading 3"/>
    <w:basedOn w:val="Normln"/>
    <w:next w:val="Normln"/>
    <w:link w:val="Nadpis3Char"/>
    <w:uiPriority w:val="9"/>
    <w:semiHidden/>
    <w:unhideWhenUsed/>
    <w:qFormat/>
    <w:rsid w:val="001F4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color w:val="0000FF"/>
      <w:sz w:val="16"/>
      <w:szCs w:val="16"/>
      <w:lang w:val="cs-CZ"/>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24"/>
      <w:szCs w:val="24"/>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i/>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3">
    <w:name w:val="WW8Num32z3"/>
    <w:rPr>
      <w:rFonts w:ascii="Times New Roman" w:eastAsia="Calibri" w:hAnsi="Times New Roman" w:cs="Times New Roman" w:hint="default"/>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rPr>
      <w:rFonts w:ascii="Symbol" w:hAnsi="Symbol" w:cs="Symbol" w:hint="default"/>
    </w:rPr>
  </w:style>
  <w:style w:type="character" w:customStyle="1" w:styleId="WW8Num34z4">
    <w:name w:val="WW8Num34z4"/>
    <w:rPr>
      <w:rFonts w:hint="default"/>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Times New Roman" w:hAnsi="Symbol" w:cs="Symbol" w:hint="default"/>
      <w:sz w:val="24"/>
      <w:szCs w:val="24"/>
      <w:shd w:val="clear" w:color="auto" w:fill="FFFF00"/>
    </w:rPr>
  </w:style>
  <w:style w:type="character" w:customStyle="1" w:styleId="WW8Num37z1">
    <w:name w:val="WW8Num37z1"/>
    <w:rPr>
      <w:rFonts w:ascii="Times New Roman" w:eastAsia="Calibri" w:hAnsi="Times New Roman" w:cs="Times New Roman" w:hint="default"/>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hAnsi="Wingdings" w:cs="Wingdings" w:hint="default"/>
      <w:color w:val="0000FF"/>
      <w:sz w:val="16"/>
      <w:szCs w:val="16"/>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Symbol" w:eastAsia="Times New Roman" w:hAnsi="Symbol" w:cs="Symbol" w:hint="default"/>
      <w:sz w:val="24"/>
      <w:szCs w:val="24"/>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24"/>
      <w:szCs w:val="24"/>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sz w:val="24"/>
      <w:szCs w:val="24"/>
      <w:lang w:val="cs-CZ"/>
    </w:rPr>
  </w:style>
  <w:style w:type="character" w:customStyle="1" w:styleId="WW8Num43z1">
    <w:name w:val="WW8Num43z1"/>
    <w:rPr>
      <w:rFonts w:ascii="Courier New" w:hAnsi="Courier New" w:cs="Courier New" w:hint="default"/>
      <w:sz w:val="24"/>
      <w:szCs w:val="24"/>
      <w:lang w:val="cs-CZ"/>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hint="default"/>
      <w:sz w:val="24"/>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hint="default"/>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hint="default"/>
      <w:sz w:val="24"/>
      <w:szCs w:val="24"/>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hAnsi="Times New Roman" w:cs="Times New Roman"/>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Times New Roman" w:hAnsi="Times New Roman" w:cs="Times New Roman" w:hint="default"/>
    </w:rPr>
  </w:style>
  <w:style w:type="character" w:customStyle="1" w:styleId="WW8Num53z6">
    <w:name w:val="WW8Num53z6"/>
    <w:rPr>
      <w:rFonts w:ascii="Symbol" w:hAnsi="Symbol" w:cs="Symbol"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FootnoteTextChar">
    <w:name w:val="Footnote Text Char"/>
    <w:uiPriority w:val="99"/>
  </w:style>
  <w:style w:type="character" w:customStyle="1" w:styleId="Voetnoottekens">
    <w:name w:val="Voetnoottekens"/>
    <w:rPr>
      <w:vertAlign w:val="superscript"/>
    </w:rPr>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styleId="Odkaznakoment">
    <w:name w:val="annotation reference"/>
    <w:uiPriority w:val="99"/>
    <w:rPr>
      <w:sz w:val="16"/>
      <w:szCs w:val="16"/>
    </w:rPr>
  </w:style>
  <w:style w:type="character" w:customStyle="1" w:styleId="CommentTextChar">
    <w:name w:val="Comment Text Char"/>
    <w:uiPriority w:val="99"/>
  </w:style>
  <w:style w:type="character" w:customStyle="1" w:styleId="BalloonTextChar">
    <w:name w:val="Balloon Text Char"/>
    <w:uiPriority w:val="99"/>
    <w:rPr>
      <w:rFonts w:ascii="Tahoma" w:hAnsi="Tahoma" w:cs="Tahoma"/>
      <w:sz w:val="16"/>
      <w:szCs w:val="16"/>
    </w:rPr>
  </w:style>
  <w:style w:type="character" w:customStyle="1" w:styleId="CommentSubjectChar">
    <w:name w:val="Comment Subject Char"/>
    <w:uiPriority w:val="99"/>
    <w:rPr>
      <w:b/>
      <w:bCs/>
    </w:rPr>
  </w:style>
  <w:style w:type="character" w:styleId="Zdraznn">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textovodkaz">
    <w:name w:val="Hyperlink"/>
    <w:uiPriority w:val="99"/>
    <w:rPr>
      <w:color w:val="0000FF"/>
      <w:u w:val="single"/>
    </w:rPr>
  </w:style>
  <w:style w:type="character" w:styleId="Sledovanodkaz">
    <w:name w:val="FollowedHyperlink"/>
    <w:uiPriority w:val="99"/>
    <w:rPr>
      <w:color w:val="800080"/>
      <w:u w:val="single"/>
    </w:rPr>
  </w:style>
  <w:style w:type="character" w:customStyle="1" w:styleId="TitleChar">
    <w:name w:val="Title Char"/>
    <w:rPr>
      <w:rFonts w:ascii="Times New Roman" w:eastAsia="Times New Roman" w:hAnsi="Times New Roman" w:cs="Times New Roman"/>
      <w:b/>
      <w:bCs/>
      <w:sz w:val="22"/>
      <w:szCs w:val="22"/>
      <w:lang w:val="cs-CZ"/>
    </w:rPr>
  </w:style>
  <w:style w:type="character" w:styleId="Znakapoznpodarou">
    <w:name w:val="footnote reference"/>
    <w:aliases w:val="Footnote symbol,Times 10 Point,Exposant 3 Point,Footnote number,Footnote Reference Number,Footnote reference number,Footnote Reference Superscript,EN Footnote Reference,note TESI,Voetnootverwijzing,fr,o,FR,FR1,note T"/>
    <w:link w:val="1"/>
    <w:uiPriority w:val="99"/>
    <w:rPr>
      <w:vertAlign w:val="superscript"/>
    </w:rPr>
  </w:style>
  <w:style w:type="character" w:customStyle="1" w:styleId="Nummeringssymbolen">
    <w:name w:val="Nummeringssymbolen"/>
  </w:style>
  <w:style w:type="character" w:styleId="Odkaznavysvtlivky">
    <w:name w:val="endnote reference"/>
    <w:rPr>
      <w:vertAlign w:val="superscript"/>
    </w:rPr>
  </w:style>
  <w:style w:type="character" w:customStyle="1" w:styleId="Eindnoottekens">
    <w:name w:val="Eindnoottekens"/>
  </w:style>
  <w:style w:type="paragraph" w:customStyle="1" w:styleId="Kop">
    <w:name w:val="Kop"/>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link w:val="ZkladntextChar"/>
    <w:pPr>
      <w:spacing w:after="120"/>
    </w:pPr>
  </w:style>
  <w:style w:type="paragraph" w:styleId="Seznam">
    <w:name w:val="List"/>
    <w:basedOn w:val="Zkladntext"/>
  </w:style>
  <w:style w:type="paragraph" w:customStyle="1" w:styleId="Bijschrift">
    <w:name w:val="Bijschrift"/>
    <w:basedOn w:val="Normln"/>
    <w:pPr>
      <w:suppressLineNumbers/>
      <w:spacing w:before="120" w:after="120"/>
    </w:pPr>
    <w:rPr>
      <w:i/>
      <w:iCs/>
      <w:sz w:val="24"/>
      <w:szCs w:val="24"/>
    </w:rPr>
  </w:style>
  <w:style w:type="paragraph" w:customStyle="1" w:styleId="Index">
    <w:name w:val="Index"/>
    <w:basedOn w:val="Normln"/>
    <w:pPr>
      <w:suppressLineNumbers/>
    </w:pPr>
  </w:style>
  <w:style w:type="paragraph" w:styleId="Textpoznpodarou">
    <w:name w:val="footnote text"/>
    <w:basedOn w:val="Normln"/>
    <w:link w:val="TextpoznpodarouChar"/>
    <w:uiPriority w:val="99"/>
    <w:rPr>
      <w:sz w:val="20"/>
      <w:szCs w:val="20"/>
    </w:rPr>
  </w:style>
  <w:style w:type="paragraph" w:styleId="Zhlav">
    <w:name w:val="header"/>
    <w:basedOn w:val="Normln"/>
    <w:link w:val="ZhlavChar"/>
    <w:pPr>
      <w:tabs>
        <w:tab w:val="center" w:pos="4513"/>
        <w:tab w:val="right" w:pos="9026"/>
      </w:tabs>
    </w:pPr>
  </w:style>
  <w:style w:type="paragraph" w:styleId="Zpat">
    <w:name w:val="footer"/>
    <w:basedOn w:val="Normln"/>
    <w:link w:val="ZpatChar"/>
    <w:uiPriority w:val="99"/>
    <w:pPr>
      <w:tabs>
        <w:tab w:val="center" w:pos="4513"/>
        <w:tab w:val="right" w:pos="9026"/>
      </w:tabs>
    </w:pPr>
  </w:style>
  <w:style w:type="paragraph" w:styleId="Textkomente">
    <w:name w:val="annotation text"/>
    <w:basedOn w:val="Normln"/>
    <w:link w:val="TextkomenteChar"/>
    <w:uiPriority w:val="99"/>
    <w:rPr>
      <w:sz w:val="20"/>
      <w:szCs w:val="20"/>
    </w:rPr>
  </w:style>
  <w:style w:type="paragraph" w:styleId="Textbubliny">
    <w:name w:val="Balloon Text"/>
    <w:basedOn w:val="Normln"/>
    <w:uiPriority w:val="99"/>
    <w:pPr>
      <w:spacing w:after="0" w:line="240" w:lineRule="auto"/>
    </w:pPr>
    <w:rPr>
      <w:rFonts w:ascii="Tahoma" w:hAnsi="Tahoma" w:cs="Tahoma"/>
      <w:sz w:val="16"/>
      <w:szCs w:val="16"/>
    </w:rPr>
  </w:style>
  <w:style w:type="paragraph" w:styleId="Pedmtkomente">
    <w:name w:val="annotation subject"/>
    <w:basedOn w:val="Textkomente"/>
    <w:next w:val="Textkomente"/>
    <w:uiPriority w:val="99"/>
    <w:rPr>
      <w:b/>
      <w:bCs/>
    </w:rPr>
  </w:style>
  <w:style w:type="paragraph" w:styleId="Odstavecseseznamem">
    <w:name w:val="List Paragraph"/>
    <w:basedOn w:val="Normln"/>
    <w:uiPriority w:val="34"/>
    <w:qFormat/>
    <w:pPr>
      <w:ind w:left="720"/>
    </w:pPr>
  </w:style>
  <w:style w:type="paragraph" w:customStyle="1" w:styleId="ListDash">
    <w:name w:val="List Dash"/>
    <w:basedOn w:val="Normln"/>
    <w:rsid w:val="005030B4"/>
    <w:pPr>
      <w:numPr>
        <w:numId w:val="33"/>
      </w:numPr>
      <w:suppressAutoHyphens w:val="0"/>
      <w:spacing w:after="240" w:line="240" w:lineRule="auto"/>
      <w:jc w:val="both"/>
    </w:pPr>
    <w:rPr>
      <w:rFonts w:ascii="Times New Roman" w:eastAsia="Times New Roman" w:hAnsi="Times New Roman"/>
      <w:sz w:val="24"/>
      <w:szCs w:val="20"/>
      <w:lang w:eastAsia="en-US" w:bidi="ar-SA"/>
    </w:rPr>
  </w:style>
  <w:style w:type="paragraph" w:customStyle="1" w:styleId="Char1CharCharChar">
    <w:name w:val="Char1 Char Char Char"/>
    <w:basedOn w:val="Normln"/>
    <w:pPr>
      <w:spacing w:after="160" w:line="240" w:lineRule="exact"/>
    </w:pPr>
    <w:rPr>
      <w:rFonts w:ascii="Tahoma" w:eastAsia="Times New Roman" w:hAnsi="Tahoma" w:cs="Tahoma"/>
      <w:sz w:val="20"/>
      <w:szCs w:val="20"/>
    </w:rPr>
  </w:style>
  <w:style w:type="paragraph" w:customStyle="1" w:styleId="CM1">
    <w:name w:val="CM1"/>
    <w:basedOn w:val="Normln"/>
    <w:next w:val="Normln"/>
    <w:uiPriority w:val="99"/>
    <w:pPr>
      <w:autoSpaceDE w:val="0"/>
      <w:spacing w:after="0" w:line="240" w:lineRule="auto"/>
    </w:pPr>
    <w:rPr>
      <w:rFonts w:ascii="EUAlbertina" w:hAnsi="EUAlbertina"/>
      <w:sz w:val="24"/>
      <w:szCs w:val="24"/>
    </w:rPr>
  </w:style>
  <w:style w:type="paragraph" w:customStyle="1" w:styleId="CM3">
    <w:name w:val="CM3"/>
    <w:basedOn w:val="Normln"/>
    <w:next w:val="Normln"/>
    <w:uiPriority w:val="99"/>
    <w:pPr>
      <w:autoSpaceDE w:val="0"/>
      <w:spacing w:after="0" w:line="240" w:lineRule="auto"/>
    </w:pPr>
    <w:rPr>
      <w:rFonts w:ascii="EUAlbertina" w:hAnsi="EUAlbertina"/>
      <w:sz w:val="24"/>
      <w:szCs w:val="24"/>
    </w:rPr>
  </w:style>
  <w:style w:type="paragraph" w:customStyle="1" w:styleId="Revision1">
    <w:name w:val="Revision1"/>
    <w:next w:val="Revize"/>
    <w:uiPriority w:val="99"/>
    <w:pPr>
      <w:suppressAutoHyphens/>
    </w:pPr>
    <w:rPr>
      <w:rFonts w:ascii="Calibri" w:eastAsia="Calibri" w:hAnsi="Calibri"/>
      <w:sz w:val="22"/>
      <w:szCs w:val="22"/>
    </w:rPr>
  </w:style>
  <w:style w:type="paragraph" w:styleId="Revize">
    <w:name w:val="Revision"/>
    <w:uiPriority w:val="99"/>
    <w:pPr>
      <w:suppressAutoHyphens/>
    </w:pPr>
    <w:rPr>
      <w:rFonts w:ascii="Calibri" w:eastAsia="Calibri" w:hAnsi="Calibri"/>
      <w:sz w:val="22"/>
      <w:szCs w:val="22"/>
    </w:rPr>
  </w:style>
  <w:style w:type="paragraph" w:customStyle="1" w:styleId="Char1CharCharChar1">
    <w:name w:val="Char1 Char Char Char1"/>
    <w:basedOn w:val="Normln"/>
    <w:pPr>
      <w:spacing w:after="160" w:line="240" w:lineRule="exact"/>
    </w:pPr>
    <w:rPr>
      <w:rFonts w:ascii="Tahoma" w:eastAsia="Times New Roman" w:hAnsi="Tahoma" w:cs="Tahoma"/>
      <w:sz w:val="20"/>
      <w:szCs w:val="20"/>
    </w:rPr>
  </w:style>
  <w:style w:type="paragraph" w:customStyle="1" w:styleId="ZCom">
    <w:name w:val="Z_Com"/>
    <w:basedOn w:val="Normln"/>
    <w:next w:val="ZDGName"/>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ln"/>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ln"/>
    <w:qFormat/>
    <w:pPr>
      <w:keepNext/>
      <w:spacing w:before="120" w:after="0" w:line="240" w:lineRule="auto"/>
      <w:ind w:left="709" w:hanging="709"/>
      <w:jc w:val="both"/>
    </w:pPr>
    <w:rPr>
      <w:rFonts w:ascii="Times New Roman" w:eastAsia="Times New Roman" w:hAnsi="Times New Roman"/>
      <w:b/>
      <w:sz w:val="24"/>
      <w:szCs w:val="24"/>
    </w:rPr>
  </w:style>
  <w:style w:type="paragraph" w:styleId="Nzev">
    <w:name w:val="Title"/>
    <w:basedOn w:val="Normln"/>
    <w:next w:val="Podnadpis"/>
    <w:qFormat/>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rPr>
  </w:style>
  <w:style w:type="paragraph" w:styleId="Podnadpis">
    <w:name w:val="Subtitle"/>
    <w:basedOn w:val="Kop"/>
    <w:next w:val="Zkladntext"/>
    <w:link w:val="PodnadpisChar"/>
    <w:qFormat/>
    <w:pPr>
      <w:jc w:val="center"/>
    </w:pPr>
    <w:rPr>
      <w:i/>
      <w:iCs/>
    </w:rPr>
  </w:style>
  <w:style w:type="paragraph" w:customStyle="1" w:styleId="CharCharChar">
    <w:name w:val="Char Char Char"/>
    <w:basedOn w:val="Normln"/>
    <w:pPr>
      <w:spacing w:after="160" w:line="240" w:lineRule="exact"/>
    </w:pPr>
    <w:rPr>
      <w:rFonts w:ascii="Tahoma" w:eastAsia="Times New Roman" w:hAnsi="Tahoma" w:cs="Tahoma"/>
      <w:sz w:val="20"/>
      <w:szCs w:val="20"/>
    </w:rPr>
  </w:style>
  <w:style w:type="paragraph" w:customStyle="1" w:styleId="Char1CharCharCharCharCharChar">
    <w:name w:val="Char1 Char Char Char Char Char Char"/>
    <w:basedOn w:val="Normln"/>
    <w:pPr>
      <w:spacing w:after="160" w:line="240" w:lineRule="exact"/>
    </w:pPr>
    <w:rPr>
      <w:rFonts w:ascii="Tahoma" w:eastAsia="Times New Roman" w:hAnsi="Tahoma" w:cs="Tahoma"/>
      <w:sz w:val="20"/>
      <w:szCs w:val="20"/>
    </w:rPr>
  </w:style>
  <w:style w:type="paragraph" w:customStyle="1" w:styleId="Inhoudtabel">
    <w:name w:val="Inhoud tabel"/>
    <w:basedOn w:val="Normln"/>
    <w:pPr>
      <w:suppressLineNumbers/>
    </w:pPr>
  </w:style>
  <w:style w:type="paragraph" w:customStyle="1" w:styleId="Tabelkop">
    <w:name w:val="Tabelkop"/>
    <w:basedOn w:val="Inhoudtabel"/>
    <w:pPr>
      <w:jc w:val="center"/>
    </w:pPr>
    <w:rPr>
      <w:b/>
      <w:bCs/>
    </w:rPr>
  </w:style>
  <w:style w:type="paragraph" w:styleId="Textvysvtlivek">
    <w:name w:val="endnote text"/>
    <w:basedOn w:val="Normln"/>
    <w:link w:val="TextvysvtlivekChar"/>
    <w:uiPriority w:val="99"/>
    <w:semiHidden/>
    <w:unhideWhenUsed/>
    <w:rsid w:val="003A7839"/>
    <w:rPr>
      <w:sz w:val="20"/>
      <w:szCs w:val="20"/>
    </w:rPr>
  </w:style>
  <w:style w:type="character" w:customStyle="1" w:styleId="TextvysvtlivekChar">
    <w:name w:val="Text vysvětlivek Char"/>
    <w:link w:val="Textvysvtlivek"/>
    <w:uiPriority w:val="99"/>
    <w:semiHidden/>
    <w:rsid w:val="003A7839"/>
    <w:rPr>
      <w:rFonts w:ascii="Calibri" w:eastAsia="Calibri" w:hAnsi="Calibri"/>
      <w:lang w:val="cs-CZ" w:eastAsia="cs-CZ"/>
    </w:rPr>
  </w:style>
  <w:style w:type="numbering" w:customStyle="1" w:styleId="NoList1">
    <w:name w:val="No List1"/>
    <w:next w:val="Bezseznamu"/>
    <w:uiPriority w:val="99"/>
    <w:semiHidden/>
    <w:unhideWhenUsed/>
    <w:rsid w:val="001A794E"/>
  </w:style>
  <w:style w:type="numbering" w:customStyle="1" w:styleId="NoList11">
    <w:name w:val="No List11"/>
    <w:next w:val="Bezseznamu"/>
    <w:uiPriority w:val="99"/>
    <w:semiHidden/>
    <w:unhideWhenUsed/>
    <w:rsid w:val="001A794E"/>
  </w:style>
  <w:style w:type="paragraph" w:customStyle="1" w:styleId="articletitle">
    <w:name w:val="article title"/>
    <w:basedOn w:val="Normln"/>
    <w:link w:val="articletitleChar"/>
    <w:qFormat/>
    <w:rsid w:val="00DB3245"/>
    <w:rPr>
      <w:rFonts w:ascii="Times New Roman" w:hAnsi="Times New Roman"/>
      <w:b/>
      <w:sz w:val="24"/>
      <w:szCs w:val="24"/>
    </w:rPr>
  </w:style>
  <w:style w:type="paragraph" w:customStyle="1" w:styleId="paragraph">
    <w:name w:val="paragraph"/>
    <w:basedOn w:val="Normln"/>
    <w:link w:val="paragraphChar"/>
    <w:qFormat/>
    <w:rsid w:val="00DB3245"/>
    <w:pPr>
      <w:suppressAutoHyphens w:val="0"/>
      <w:spacing w:after="0" w:line="240" w:lineRule="auto"/>
      <w:jc w:val="both"/>
    </w:pPr>
    <w:rPr>
      <w:rFonts w:ascii="Times New Roman" w:eastAsia="Times New Roman" w:hAnsi="Times New Roman"/>
      <w:snapToGrid w:val="0"/>
      <w:sz w:val="24"/>
      <w:szCs w:val="24"/>
    </w:rPr>
  </w:style>
  <w:style w:type="character" w:customStyle="1" w:styleId="articletitleChar">
    <w:name w:val="article title Char"/>
    <w:link w:val="articletitle"/>
    <w:rsid w:val="00DB3245"/>
    <w:rPr>
      <w:rFonts w:eastAsia="Calibri"/>
      <w:b/>
      <w:sz w:val="24"/>
      <w:szCs w:val="24"/>
      <w:lang w:eastAsia="cs-CZ"/>
    </w:rPr>
  </w:style>
  <w:style w:type="character" w:customStyle="1" w:styleId="paragraphChar">
    <w:name w:val="paragraph Char"/>
    <w:link w:val="paragraph"/>
    <w:rsid w:val="00DB3245"/>
    <w:rPr>
      <w:snapToGrid w:val="0"/>
      <w:sz w:val="24"/>
      <w:szCs w:val="24"/>
    </w:rPr>
  </w:style>
  <w:style w:type="numbering" w:customStyle="1" w:styleId="PartI">
    <w:name w:val="Part I"/>
    <w:rsid w:val="00DB3245"/>
    <w:pPr>
      <w:numPr>
        <w:numId w:val="11"/>
      </w:numPr>
    </w:pPr>
  </w:style>
  <w:style w:type="character" w:customStyle="1" w:styleId="Hyperlink1">
    <w:name w:val="Hyperlink.1"/>
    <w:rsid w:val="00FD5D16"/>
    <w:rPr>
      <w:rFonts w:ascii="Verdana" w:eastAsia="Verdana" w:hAnsi="Verdana" w:cs="Verdana"/>
      <w:color w:val="000000"/>
      <w:sz w:val="20"/>
      <w:szCs w:val="20"/>
      <w:u w:val="single" w:color="000000"/>
      <w:lang w:val="cs-CZ"/>
    </w:rPr>
  </w:style>
  <w:style w:type="numbering" w:customStyle="1" w:styleId="List0">
    <w:name w:val="List 0"/>
    <w:basedOn w:val="Bezseznamu"/>
    <w:rsid w:val="00FD5D16"/>
    <w:pPr>
      <w:numPr>
        <w:numId w:val="9"/>
      </w:numPr>
    </w:pPr>
  </w:style>
  <w:style w:type="numbering" w:customStyle="1" w:styleId="List1">
    <w:name w:val="List 1"/>
    <w:basedOn w:val="Bezseznamu"/>
    <w:rsid w:val="00FD5D16"/>
    <w:pPr>
      <w:numPr>
        <w:numId w:val="10"/>
      </w:numPr>
    </w:pPr>
  </w:style>
  <w:style w:type="character" w:styleId="Siln">
    <w:name w:val="Strong"/>
    <w:basedOn w:val="Standardnpsmoodstavce"/>
    <w:uiPriority w:val="22"/>
    <w:qFormat/>
    <w:rsid w:val="00167913"/>
    <w:rPr>
      <w:b/>
      <w:bCs/>
    </w:rPr>
  </w:style>
  <w:style w:type="paragraph" w:customStyle="1" w:styleId="Default">
    <w:name w:val="Default"/>
    <w:rsid w:val="00FE6958"/>
    <w:pPr>
      <w:autoSpaceDE w:val="0"/>
      <w:autoSpaceDN w:val="0"/>
      <w:adjustRightInd w:val="0"/>
    </w:pPr>
    <w:rPr>
      <w:rFonts w:ascii="Tahoma" w:hAnsi="Tahoma" w:cs="Tahoma"/>
      <w:color w:val="000000"/>
      <w:sz w:val="24"/>
      <w:szCs w:val="24"/>
    </w:rPr>
  </w:style>
  <w:style w:type="paragraph" w:customStyle="1" w:styleId="Contact">
    <w:name w:val="Contact"/>
    <w:basedOn w:val="Normln"/>
    <w:next w:val="Normln"/>
    <w:rsid w:val="005030B4"/>
    <w:pPr>
      <w:suppressAutoHyphens w:val="0"/>
      <w:spacing w:after="480" w:line="240" w:lineRule="auto"/>
      <w:ind w:left="567" w:hanging="567"/>
    </w:pPr>
    <w:rPr>
      <w:rFonts w:ascii="Times New Roman" w:eastAsia="Times New Roman" w:hAnsi="Times New Roman"/>
      <w:sz w:val="24"/>
      <w:szCs w:val="20"/>
      <w:lang w:eastAsia="en-US" w:bidi="ar-SA"/>
    </w:rPr>
  </w:style>
  <w:style w:type="paragraph" w:styleId="Seznamsodrkami">
    <w:name w:val="List Bullet"/>
    <w:basedOn w:val="Normln"/>
    <w:rsid w:val="005030B4"/>
    <w:pPr>
      <w:numPr>
        <w:numId w:val="28"/>
      </w:numPr>
      <w:suppressAutoHyphens w:val="0"/>
      <w:spacing w:after="240" w:line="240" w:lineRule="auto"/>
      <w:jc w:val="both"/>
    </w:pPr>
    <w:rPr>
      <w:rFonts w:ascii="Times New Roman" w:eastAsia="Times New Roman" w:hAnsi="Times New Roman"/>
      <w:sz w:val="24"/>
      <w:szCs w:val="20"/>
      <w:lang w:eastAsia="en-US" w:bidi="ar-SA"/>
    </w:rPr>
  </w:style>
  <w:style w:type="paragraph" w:customStyle="1" w:styleId="ListBullet1">
    <w:name w:val="List Bullet 1"/>
    <w:basedOn w:val="Normln"/>
    <w:rsid w:val="005030B4"/>
    <w:pPr>
      <w:numPr>
        <w:numId w:val="29"/>
      </w:numPr>
      <w:suppressAutoHyphens w:val="0"/>
      <w:spacing w:after="240" w:line="240" w:lineRule="auto"/>
      <w:jc w:val="both"/>
    </w:pPr>
    <w:rPr>
      <w:rFonts w:ascii="Times New Roman" w:eastAsia="Times New Roman" w:hAnsi="Times New Roman"/>
      <w:sz w:val="24"/>
      <w:szCs w:val="20"/>
      <w:lang w:eastAsia="en-US" w:bidi="ar-SA"/>
    </w:rPr>
  </w:style>
  <w:style w:type="paragraph" w:styleId="Seznamsodrkami2">
    <w:name w:val="List Bullet 2"/>
    <w:basedOn w:val="Normln"/>
    <w:rsid w:val="005030B4"/>
    <w:pPr>
      <w:numPr>
        <w:numId w:val="30"/>
      </w:numPr>
      <w:suppressAutoHyphens w:val="0"/>
      <w:spacing w:after="240" w:line="240" w:lineRule="auto"/>
      <w:jc w:val="both"/>
    </w:pPr>
    <w:rPr>
      <w:rFonts w:ascii="Times New Roman" w:eastAsia="Times New Roman" w:hAnsi="Times New Roman"/>
      <w:sz w:val="24"/>
      <w:szCs w:val="20"/>
      <w:lang w:eastAsia="en-US" w:bidi="ar-SA"/>
    </w:rPr>
  </w:style>
  <w:style w:type="paragraph" w:styleId="Seznamsodrkami3">
    <w:name w:val="List Bullet 3"/>
    <w:basedOn w:val="Normln"/>
    <w:rsid w:val="005030B4"/>
    <w:pPr>
      <w:numPr>
        <w:numId w:val="31"/>
      </w:numPr>
      <w:suppressAutoHyphens w:val="0"/>
      <w:spacing w:after="240" w:line="240" w:lineRule="auto"/>
      <w:jc w:val="both"/>
    </w:pPr>
    <w:rPr>
      <w:rFonts w:ascii="Times New Roman" w:eastAsia="Times New Roman" w:hAnsi="Times New Roman"/>
      <w:sz w:val="24"/>
      <w:szCs w:val="20"/>
      <w:lang w:eastAsia="en-US" w:bidi="ar-SA"/>
    </w:rPr>
  </w:style>
  <w:style w:type="paragraph" w:styleId="Seznamsodrkami4">
    <w:name w:val="List Bullet 4"/>
    <w:basedOn w:val="Normln"/>
    <w:rsid w:val="005030B4"/>
    <w:pPr>
      <w:numPr>
        <w:numId w:val="32"/>
      </w:numPr>
      <w:suppressAutoHyphens w:val="0"/>
      <w:spacing w:after="240" w:line="240" w:lineRule="auto"/>
      <w:jc w:val="both"/>
    </w:pPr>
    <w:rPr>
      <w:rFonts w:ascii="Times New Roman" w:eastAsia="Times New Roman" w:hAnsi="Times New Roman"/>
      <w:sz w:val="24"/>
      <w:szCs w:val="20"/>
      <w:lang w:eastAsia="en-US" w:bidi="ar-SA"/>
    </w:rPr>
  </w:style>
  <w:style w:type="paragraph" w:customStyle="1" w:styleId="ListDash1">
    <w:name w:val="List Dash 1"/>
    <w:basedOn w:val="Normln"/>
    <w:rsid w:val="005030B4"/>
    <w:pPr>
      <w:numPr>
        <w:numId w:val="34"/>
      </w:numPr>
      <w:suppressAutoHyphens w:val="0"/>
      <w:spacing w:after="240" w:line="240" w:lineRule="auto"/>
      <w:jc w:val="both"/>
    </w:pPr>
    <w:rPr>
      <w:rFonts w:ascii="Times New Roman" w:eastAsia="Times New Roman" w:hAnsi="Times New Roman"/>
      <w:sz w:val="24"/>
      <w:szCs w:val="20"/>
      <w:lang w:eastAsia="en-US" w:bidi="ar-SA"/>
    </w:rPr>
  </w:style>
  <w:style w:type="paragraph" w:customStyle="1" w:styleId="ListDash2">
    <w:name w:val="List Dash 2"/>
    <w:basedOn w:val="Normln"/>
    <w:rsid w:val="005030B4"/>
    <w:pPr>
      <w:numPr>
        <w:numId w:val="35"/>
      </w:numPr>
      <w:suppressAutoHyphens w:val="0"/>
      <w:spacing w:after="240" w:line="240" w:lineRule="auto"/>
      <w:jc w:val="both"/>
    </w:pPr>
    <w:rPr>
      <w:rFonts w:ascii="Times New Roman" w:eastAsia="Times New Roman" w:hAnsi="Times New Roman"/>
      <w:sz w:val="24"/>
      <w:szCs w:val="20"/>
      <w:lang w:eastAsia="en-US" w:bidi="ar-SA"/>
    </w:rPr>
  </w:style>
  <w:style w:type="paragraph" w:customStyle="1" w:styleId="ListDash3">
    <w:name w:val="List Dash 3"/>
    <w:basedOn w:val="Normln"/>
    <w:rsid w:val="005030B4"/>
    <w:pPr>
      <w:numPr>
        <w:numId w:val="36"/>
      </w:numPr>
      <w:suppressAutoHyphens w:val="0"/>
      <w:spacing w:after="240" w:line="240" w:lineRule="auto"/>
      <w:jc w:val="both"/>
    </w:pPr>
    <w:rPr>
      <w:rFonts w:ascii="Times New Roman" w:eastAsia="Times New Roman" w:hAnsi="Times New Roman"/>
      <w:sz w:val="24"/>
      <w:szCs w:val="20"/>
      <w:lang w:eastAsia="en-US" w:bidi="ar-SA"/>
    </w:rPr>
  </w:style>
  <w:style w:type="paragraph" w:customStyle="1" w:styleId="ListDash4">
    <w:name w:val="List Dash 4"/>
    <w:basedOn w:val="Normln"/>
    <w:rsid w:val="005030B4"/>
    <w:pPr>
      <w:numPr>
        <w:numId w:val="37"/>
      </w:numPr>
      <w:suppressAutoHyphens w:val="0"/>
      <w:spacing w:after="240" w:line="240" w:lineRule="auto"/>
      <w:jc w:val="both"/>
    </w:pPr>
    <w:rPr>
      <w:rFonts w:ascii="Times New Roman" w:eastAsia="Times New Roman" w:hAnsi="Times New Roman"/>
      <w:sz w:val="24"/>
      <w:szCs w:val="20"/>
      <w:lang w:eastAsia="en-US" w:bidi="ar-SA"/>
    </w:rPr>
  </w:style>
  <w:style w:type="paragraph" w:styleId="slovanseznam">
    <w:name w:val="List Number"/>
    <w:basedOn w:val="Normln"/>
    <w:rsid w:val="005030B4"/>
    <w:pPr>
      <w:numPr>
        <w:numId w:val="38"/>
      </w:numPr>
      <w:suppressAutoHyphens w:val="0"/>
      <w:spacing w:after="240" w:line="240" w:lineRule="auto"/>
      <w:jc w:val="both"/>
    </w:pPr>
    <w:rPr>
      <w:rFonts w:ascii="Times New Roman" w:eastAsia="Times New Roman" w:hAnsi="Times New Roman"/>
      <w:sz w:val="24"/>
      <w:szCs w:val="20"/>
      <w:lang w:eastAsia="en-US" w:bidi="ar-SA"/>
    </w:rPr>
  </w:style>
  <w:style w:type="paragraph" w:customStyle="1" w:styleId="ListNumber1">
    <w:name w:val="List Number 1"/>
    <w:basedOn w:val="Normln"/>
    <w:rsid w:val="005030B4"/>
    <w:pPr>
      <w:numPr>
        <w:numId w:val="39"/>
      </w:numPr>
      <w:suppressAutoHyphens w:val="0"/>
      <w:spacing w:after="240" w:line="240" w:lineRule="auto"/>
      <w:jc w:val="both"/>
    </w:pPr>
    <w:rPr>
      <w:rFonts w:ascii="Times New Roman" w:eastAsia="Times New Roman" w:hAnsi="Times New Roman"/>
      <w:sz w:val="24"/>
      <w:szCs w:val="20"/>
      <w:lang w:eastAsia="en-US" w:bidi="ar-SA"/>
    </w:rPr>
  </w:style>
  <w:style w:type="paragraph" w:styleId="slovanseznam2">
    <w:name w:val="List Number 2"/>
    <w:basedOn w:val="Normln"/>
    <w:rsid w:val="005030B4"/>
    <w:pPr>
      <w:numPr>
        <w:numId w:val="40"/>
      </w:numPr>
      <w:suppressAutoHyphens w:val="0"/>
      <w:spacing w:after="240" w:line="240" w:lineRule="auto"/>
      <w:jc w:val="both"/>
    </w:pPr>
    <w:rPr>
      <w:rFonts w:ascii="Times New Roman" w:eastAsia="Times New Roman" w:hAnsi="Times New Roman"/>
      <w:sz w:val="24"/>
      <w:szCs w:val="20"/>
      <w:lang w:eastAsia="en-US" w:bidi="ar-SA"/>
    </w:rPr>
  </w:style>
  <w:style w:type="paragraph" w:styleId="slovanseznam3">
    <w:name w:val="List Number 3"/>
    <w:basedOn w:val="Normln"/>
    <w:rsid w:val="005030B4"/>
    <w:pPr>
      <w:numPr>
        <w:numId w:val="41"/>
      </w:numPr>
      <w:suppressAutoHyphens w:val="0"/>
      <w:spacing w:after="240" w:line="240" w:lineRule="auto"/>
      <w:jc w:val="both"/>
    </w:pPr>
    <w:rPr>
      <w:rFonts w:ascii="Times New Roman" w:eastAsia="Times New Roman" w:hAnsi="Times New Roman"/>
      <w:sz w:val="24"/>
      <w:szCs w:val="20"/>
      <w:lang w:eastAsia="en-US" w:bidi="ar-SA"/>
    </w:rPr>
  </w:style>
  <w:style w:type="paragraph" w:styleId="slovanseznam4">
    <w:name w:val="List Number 4"/>
    <w:basedOn w:val="Normln"/>
    <w:rsid w:val="005030B4"/>
    <w:pPr>
      <w:numPr>
        <w:numId w:val="42"/>
      </w:numPr>
      <w:suppressAutoHyphens w:val="0"/>
      <w:spacing w:after="240" w:line="240" w:lineRule="auto"/>
      <w:jc w:val="both"/>
    </w:pPr>
    <w:rPr>
      <w:rFonts w:ascii="Times New Roman" w:eastAsia="Times New Roman" w:hAnsi="Times New Roman"/>
      <w:sz w:val="24"/>
      <w:szCs w:val="20"/>
      <w:lang w:eastAsia="en-US" w:bidi="ar-SA"/>
    </w:rPr>
  </w:style>
  <w:style w:type="paragraph" w:customStyle="1" w:styleId="ListNumberLevel2">
    <w:name w:val="List Number (Level 2)"/>
    <w:basedOn w:val="Normln"/>
    <w:rsid w:val="005030B4"/>
    <w:pPr>
      <w:numPr>
        <w:ilvl w:val="1"/>
        <w:numId w:val="38"/>
      </w:numPr>
      <w:suppressAutoHyphens w:val="0"/>
      <w:spacing w:after="240" w:line="240" w:lineRule="auto"/>
      <w:jc w:val="both"/>
    </w:pPr>
    <w:rPr>
      <w:rFonts w:ascii="Times New Roman" w:eastAsia="Times New Roman" w:hAnsi="Times New Roman"/>
      <w:sz w:val="24"/>
      <w:szCs w:val="20"/>
      <w:lang w:eastAsia="en-US" w:bidi="ar-SA"/>
    </w:rPr>
  </w:style>
  <w:style w:type="paragraph" w:customStyle="1" w:styleId="ListNumber1Level2">
    <w:name w:val="List Number 1 (Level 2)"/>
    <w:basedOn w:val="Normln"/>
    <w:rsid w:val="005030B4"/>
    <w:pPr>
      <w:numPr>
        <w:ilvl w:val="1"/>
        <w:numId w:val="39"/>
      </w:numPr>
      <w:suppressAutoHyphens w:val="0"/>
      <w:spacing w:after="240" w:line="240" w:lineRule="auto"/>
      <w:jc w:val="both"/>
    </w:pPr>
    <w:rPr>
      <w:rFonts w:ascii="Times New Roman" w:eastAsia="Times New Roman" w:hAnsi="Times New Roman"/>
      <w:sz w:val="24"/>
      <w:szCs w:val="20"/>
      <w:lang w:eastAsia="en-US" w:bidi="ar-SA"/>
    </w:rPr>
  </w:style>
  <w:style w:type="paragraph" w:customStyle="1" w:styleId="ListNumber2Level2">
    <w:name w:val="List Number 2 (Level 2)"/>
    <w:basedOn w:val="Normln"/>
    <w:rsid w:val="005030B4"/>
    <w:pPr>
      <w:numPr>
        <w:ilvl w:val="1"/>
        <w:numId w:val="40"/>
      </w:numPr>
      <w:suppressAutoHyphens w:val="0"/>
      <w:spacing w:after="240" w:line="240" w:lineRule="auto"/>
      <w:jc w:val="both"/>
    </w:pPr>
    <w:rPr>
      <w:rFonts w:ascii="Times New Roman" w:eastAsia="Times New Roman" w:hAnsi="Times New Roman"/>
      <w:sz w:val="24"/>
      <w:szCs w:val="20"/>
      <w:lang w:eastAsia="en-US" w:bidi="ar-SA"/>
    </w:rPr>
  </w:style>
  <w:style w:type="paragraph" w:customStyle="1" w:styleId="ListNumber3Level2">
    <w:name w:val="List Number 3 (Level 2)"/>
    <w:basedOn w:val="Normln"/>
    <w:rsid w:val="005030B4"/>
    <w:pPr>
      <w:numPr>
        <w:ilvl w:val="1"/>
        <w:numId w:val="41"/>
      </w:numPr>
      <w:suppressAutoHyphens w:val="0"/>
      <w:spacing w:after="240" w:line="240" w:lineRule="auto"/>
      <w:jc w:val="both"/>
    </w:pPr>
    <w:rPr>
      <w:rFonts w:ascii="Times New Roman" w:eastAsia="Times New Roman" w:hAnsi="Times New Roman"/>
      <w:sz w:val="24"/>
      <w:szCs w:val="20"/>
      <w:lang w:eastAsia="en-US" w:bidi="ar-SA"/>
    </w:rPr>
  </w:style>
  <w:style w:type="paragraph" w:customStyle="1" w:styleId="ListNumber4Level2">
    <w:name w:val="List Number 4 (Level 2)"/>
    <w:basedOn w:val="Normln"/>
    <w:rsid w:val="005030B4"/>
    <w:pPr>
      <w:numPr>
        <w:ilvl w:val="1"/>
        <w:numId w:val="42"/>
      </w:numPr>
      <w:suppressAutoHyphens w:val="0"/>
      <w:spacing w:after="240" w:line="240" w:lineRule="auto"/>
      <w:jc w:val="both"/>
    </w:pPr>
    <w:rPr>
      <w:rFonts w:ascii="Times New Roman" w:eastAsia="Times New Roman" w:hAnsi="Times New Roman"/>
      <w:sz w:val="24"/>
      <w:szCs w:val="20"/>
      <w:lang w:eastAsia="en-US" w:bidi="ar-SA"/>
    </w:rPr>
  </w:style>
  <w:style w:type="paragraph" w:customStyle="1" w:styleId="ListNumberLevel3">
    <w:name w:val="List Number (Level 3)"/>
    <w:basedOn w:val="Normln"/>
    <w:rsid w:val="005030B4"/>
    <w:pPr>
      <w:numPr>
        <w:ilvl w:val="2"/>
        <w:numId w:val="38"/>
      </w:numPr>
      <w:suppressAutoHyphens w:val="0"/>
      <w:spacing w:after="240" w:line="240" w:lineRule="auto"/>
      <w:jc w:val="both"/>
    </w:pPr>
    <w:rPr>
      <w:rFonts w:ascii="Times New Roman" w:eastAsia="Times New Roman" w:hAnsi="Times New Roman"/>
      <w:sz w:val="24"/>
      <w:szCs w:val="20"/>
      <w:lang w:eastAsia="en-US" w:bidi="ar-SA"/>
    </w:rPr>
  </w:style>
  <w:style w:type="paragraph" w:customStyle="1" w:styleId="ListNumber1Level3">
    <w:name w:val="List Number 1 (Level 3)"/>
    <w:basedOn w:val="Normln"/>
    <w:rsid w:val="005030B4"/>
    <w:pPr>
      <w:numPr>
        <w:ilvl w:val="2"/>
        <w:numId w:val="39"/>
      </w:numPr>
      <w:suppressAutoHyphens w:val="0"/>
      <w:spacing w:after="240" w:line="240" w:lineRule="auto"/>
      <w:jc w:val="both"/>
    </w:pPr>
    <w:rPr>
      <w:rFonts w:ascii="Times New Roman" w:eastAsia="Times New Roman" w:hAnsi="Times New Roman"/>
      <w:sz w:val="24"/>
      <w:szCs w:val="20"/>
      <w:lang w:eastAsia="en-US" w:bidi="ar-SA"/>
    </w:rPr>
  </w:style>
  <w:style w:type="paragraph" w:customStyle="1" w:styleId="ListNumber2Level3">
    <w:name w:val="List Number 2 (Level 3)"/>
    <w:basedOn w:val="Normln"/>
    <w:rsid w:val="005030B4"/>
    <w:pPr>
      <w:numPr>
        <w:ilvl w:val="2"/>
        <w:numId w:val="40"/>
      </w:numPr>
      <w:suppressAutoHyphens w:val="0"/>
      <w:spacing w:after="240" w:line="240" w:lineRule="auto"/>
      <w:jc w:val="both"/>
    </w:pPr>
    <w:rPr>
      <w:rFonts w:ascii="Times New Roman" w:eastAsia="Times New Roman" w:hAnsi="Times New Roman"/>
      <w:sz w:val="24"/>
      <w:szCs w:val="20"/>
      <w:lang w:eastAsia="en-US" w:bidi="ar-SA"/>
    </w:rPr>
  </w:style>
  <w:style w:type="paragraph" w:customStyle="1" w:styleId="ListNumber3Level3">
    <w:name w:val="List Number 3 (Level 3)"/>
    <w:basedOn w:val="Normln"/>
    <w:rsid w:val="005030B4"/>
    <w:pPr>
      <w:numPr>
        <w:ilvl w:val="2"/>
        <w:numId w:val="41"/>
      </w:numPr>
      <w:suppressAutoHyphens w:val="0"/>
      <w:spacing w:after="240" w:line="240" w:lineRule="auto"/>
      <w:jc w:val="both"/>
    </w:pPr>
    <w:rPr>
      <w:rFonts w:ascii="Times New Roman" w:eastAsia="Times New Roman" w:hAnsi="Times New Roman"/>
      <w:sz w:val="24"/>
      <w:szCs w:val="20"/>
      <w:lang w:eastAsia="en-US" w:bidi="ar-SA"/>
    </w:rPr>
  </w:style>
  <w:style w:type="paragraph" w:customStyle="1" w:styleId="ListNumber4Level3">
    <w:name w:val="List Number 4 (Level 3)"/>
    <w:basedOn w:val="Normln"/>
    <w:rsid w:val="005030B4"/>
    <w:pPr>
      <w:numPr>
        <w:ilvl w:val="2"/>
        <w:numId w:val="42"/>
      </w:numPr>
      <w:suppressAutoHyphens w:val="0"/>
      <w:spacing w:after="240" w:line="240" w:lineRule="auto"/>
      <w:jc w:val="both"/>
    </w:pPr>
    <w:rPr>
      <w:rFonts w:ascii="Times New Roman" w:eastAsia="Times New Roman" w:hAnsi="Times New Roman"/>
      <w:sz w:val="24"/>
      <w:szCs w:val="20"/>
      <w:lang w:eastAsia="en-US" w:bidi="ar-SA"/>
    </w:rPr>
  </w:style>
  <w:style w:type="paragraph" w:customStyle="1" w:styleId="ListNumberLevel4">
    <w:name w:val="List Number (Level 4)"/>
    <w:basedOn w:val="Normln"/>
    <w:rsid w:val="005030B4"/>
    <w:pPr>
      <w:numPr>
        <w:ilvl w:val="3"/>
        <w:numId w:val="38"/>
      </w:numPr>
      <w:suppressAutoHyphens w:val="0"/>
      <w:spacing w:after="240" w:line="240" w:lineRule="auto"/>
      <w:jc w:val="both"/>
    </w:pPr>
    <w:rPr>
      <w:rFonts w:ascii="Times New Roman" w:eastAsia="Times New Roman" w:hAnsi="Times New Roman"/>
      <w:sz w:val="24"/>
      <w:szCs w:val="20"/>
      <w:lang w:eastAsia="en-US" w:bidi="ar-SA"/>
    </w:rPr>
  </w:style>
  <w:style w:type="paragraph" w:customStyle="1" w:styleId="ListNumber1Level4">
    <w:name w:val="List Number 1 (Level 4)"/>
    <w:basedOn w:val="Normln"/>
    <w:rsid w:val="005030B4"/>
    <w:pPr>
      <w:numPr>
        <w:ilvl w:val="3"/>
        <w:numId w:val="39"/>
      </w:numPr>
      <w:suppressAutoHyphens w:val="0"/>
      <w:spacing w:after="240" w:line="240" w:lineRule="auto"/>
      <w:jc w:val="both"/>
    </w:pPr>
    <w:rPr>
      <w:rFonts w:ascii="Times New Roman" w:eastAsia="Times New Roman" w:hAnsi="Times New Roman"/>
      <w:sz w:val="24"/>
      <w:szCs w:val="20"/>
      <w:lang w:eastAsia="en-US" w:bidi="ar-SA"/>
    </w:rPr>
  </w:style>
  <w:style w:type="paragraph" w:customStyle="1" w:styleId="ListNumber2Level4">
    <w:name w:val="List Number 2 (Level 4)"/>
    <w:basedOn w:val="Normln"/>
    <w:rsid w:val="005030B4"/>
    <w:pPr>
      <w:numPr>
        <w:ilvl w:val="3"/>
        <w:numId w:val="40"/>
      </w:numPr>
      <w:suppressAutoHyphens w:val="0"/>
      <w:spacing w:after="240" w:line="240" w:lineRule="auto"/>
      <w:jc w:val="both"/>
    </w:pPr>
    <w:rPr>
      <w:rFonts w:ascii="Times New Roman" w:eastAsia="Times New Roman" w:hAnsi="Times New Roman"/>
      <w:sz w:val="24"/>
      <w:szCs w:val="20"/>
      <w:lang w:eastAsia="en-US" w:bidi="ar-SA"/>
    </w:rPr>
  </w:style>
  <w:style w:type="paragraph" w:customStyle="1" w:styleId="ListNumber3Level4">
    <w:name w:val="List Number 3 (Level 4)"/>
    <w:basedOn w:val="Normln"/>
    <w:rsid w:val="005030B4"/>
    <w:pPr>
      <w:numPr>
        <w:ilvl w:val="3"/>
        <w:numId w:val="41"/>
      </w:numPr>
      <w:suppressAutoHyphens w:val="0"/>
      <w:spacing w:after="240" w:line="240" w:lineRule="auto"/>
      <w:jc w:val="both"/>
    </w:pPr>
    <w:rPr>
      <w:rFonts w:ascii="Times New Roman" w:eastAsia="Times New Roman" w:hAnsi="Times New Roman"/>
      <w:sz w:val="24"/>
      <w:szCs w:val="20"/>
      <w:lang w:eastAsia="en-US" w:bidi="ar-SA"/>
    </w:rPr>
  </w:style>
  <w:style w:type="paragraph" w:customStyle="1" w:styleId="ListNumber4Level4">
    <w:name w:val="List Number 4 (Level 4)"/>
    <w:basedOn w:val="Normln"/>
    <w:rsid w:val="005030B4"/>
    <w:pPr>
      <w:numPr>
        <w:ilvl w:val="3"/>
        <w:numId w:val="42"/>
      </w:numPr>
      <w:suppressAutoHyphens w:val="0"/>
      <w:spacing w:after="240" w:line="240" w:lineRule="auto"/>
      <w:jc w:val="both"/>
    </w:pPr>
    <w:rPr>
      <w:rFonts w:ascii="Times New Roman" w:eastAsia="Times New Roman" w:hAnsi="Times New Roman"/>
      <w:sz w:val="24"/>
      <w:szCs w:val="20"/>
      <w:lang w:eastAsia="en-US" w:bidi="ar-SA"/>
    </w:rPr>
  </w:style>
  <w:style w:type="paragraph" w:styleId="Obsah5">
    <w:name w:val="toc 5"/>
    <w:basedOn w:val="Normln"/>
    <w:next w:val="Normln"/>
    <w:semiHidden/>
    <w:rsid w:val="005030B4"/>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bidi="ar-SA"/>
    </w:rPr>
  </w:style>
  <w:style w:type="character" w:customStyle="1" w:styleId="Nadpis1Char">
    <w:name w:val="Nadpis 1 Char"/>
    <w:basedOn w:val="Standardnpsmoodstavce"/>
    <w:link w:val="Nadpis1"/>
    <w:uiPriority w:val="9"/>
    <w:rsid w:val="000170DD"/>
    <w:rPr>
      <w:rFonts w:eastAsiaTheme="majorEastAsia" w:cstheme="majorBidi"/>
      <w:b/>
      <w:bCs/>
      <w:sz w:val="24"/>
      <w:szCs w:val="28"/>
      <w:lang w:eastAsia="cs-CZ"/>
    </w:rPr>
  </w:style>
  <w:style w:type="paragraph" w:styleId="Nadpisobsahu">
    <w:name w:val="TOC Heading"/>
    <w:basedOn w:val="Normln"/>
    <w:next w:val="Normln"/>
    <w:uiPriority w:val="39"/>
    <w:qFormat/>
    <w:rsid w:val="005030B4"/>
    <w:pPr>
      <w:keepNext/>
      <w:suppressAutoHyphens w:val="0"/>
      <w:spacing w:before="240" w:after="240" w:line="240" w:lineRule="auto"/>
      <w:jc w:val="center"/>
    </w:pPr>
    <w:rPr>
      <w:rFonts w:ascii="Times New Roman" w:eastAsia="Times New Roman" w:hAnsi="Times New Roman"/>
      <w:b/>
      <w:sz w:val="24"/>
      <w:szCs w:val="20"/>
      <w:lang w:eastAsia="en-US" w:bidi="ar-SA"/>
    </w:rPr>
  </w:style>
  <w:style w:type="character" w:customStyle="1" w:styleId="Nadpis3Char">
    <w:name w:val="Nadpis 3 Char"/>
    <w:basedOn w:val="Standardnpsmoodstavce"/>
    <w:link w:val="Nadpis3"/>
    <w:uiPriority w:val="9"/>
    <w:semiHidden/>
    <w:rsid w:val="001F49B6"/>
    <w:rPr>
      <w:rFonts w:asciiTheme="majorHAnsi" w:eastAsiaTheme="majorEastAsia" w:hAnsiTheme="majorHAnsi" w:cstheme="majorBidi"/>
      <w:b/>
      <w:bCs/>
      <w:color w:val="4F81BD" w:themeColor="accent1"/>
      <w:sz w:val="22"/>
      <w:szCs w:val="22"/>
      <w:lang w:eastAsia="cs-CZ"/>
    </w:rPr>
  </w:style>
  <w:style w:type="character" w:customStyle="1" w:styleId="TextkomenteChar">
    <w:name w:val="Text komentáře Char"/>
    <w:basedOn w:val="Standardnpsmoodstavce"/>
    <w:link w:val="Textkomente"/>
    <w:uiPriority w:val="99"/>
    <w:rsid w:val="0096695B"/>
    <w:rPr>
      <w:rFonts w:ascii="Calibri" w:eastAsia="Calibri" w:hAnsi="Calibri"/>
      <w:lang w:eastAsia="cs-CZ"/>
    </w:rPr>
  </w:style>
  <w:style w:type="character" w:customStyle="1" w:styleId="TextpoznpodarouChar">
    <w:name w:val="Text pozn. pod čarou Char"/>
    <w:basedOn w:val="Standardnpsmoodstavce"/>
    <w:link w:val="Textpoznpodarou"/>
    <w:uiPriority w:val="99"/>
    <w:locked/>
    <w:rsid w:val="002C5D4E"/>
    <w:rPr>
      <w:rFonts w:ascii="Calibri" w:eastAsia="Calibri" w:hAnsi="Calibri"/>
      <w:lang w:eastAsia="cs-CZ"/>
    </w:rPr>
  </w:style>
  <w:style w:type="paragraph" w:customStyle="1" w:styleId="articletitlepartII">
    <w:name w:val="article title part II"/>
    <w:basedOn w:val="Normln"/>
    <w:qFormat/>
    <w:rsid w:val="005A0CAD"/>
    <w:pPr>
      <w:numPr>
        <w:numId w:val="19"/>
      </w:numPr>
      <w:spacing w:after="0" w:line="240" w:lineRule="auto"/>
      <w:ind w:left="567" w:hanging="567"/>
      <w:jc w:val="both"/>
    </w:pPr>
    <w:rPr>
      <w:rFonts w:ascii="Times New Roman" w:eastAsia="Times New Roman" w:hAnsi="Times New Roman"/>
      <w:b/>
      <w:sz w:val="24"/>
      <w:szCs w:val="24"/>
    </w:rPr>
  </w:style>
  <w:style w:type="paragraph" w:customStyle="1" w:styleId="paragraphpartII">
    <w:name w:val="paragraph part II"/>
    <w:basedOn w:val="Normln"/>
    <w:qFormat/>
    <w:rsid w:val="005A0CAD"/>
    <w:pPr>
      <w:numPr>
        <w:ilvl w:val="1"/>
        <w:numId w:val="19"/>
      </w:numPr>
      <w:adjustRightInd w:val="0"/>
      <w:spacing w:after="0" w:line="240" w:lineRule="auto"/>
      <w:ind w:left="567" w:hanging="567"/>
      <w:jc w:val="both"/>
    </w:pPr>
    <w:rPr>
      <w:rFonts w:ascii="Times New Roman" w:eastAsia="Times New Roman" w:hAnsi="Times New Roman"/>
      <w:b/>
      <w:sz w:val="24"/>
      <w:szCs w:val="24"/>
    </w:rPr>
  </w:style>
  <w:style w:type="numbering" w:customStyle="1" w:styleId="PARTII">
    <w:name w:val="PART II"/>
    <w:uiPriority w:val="99"/>
    <w:rsid w:val="005A0CAD"/>
    <w:pPr>
      <w:numPr>
        <w:numId w:val="20"/>
      </w:numPr>
    </w:pPr>
  </w:style>
  <w:style w:type="character" w:customStyle="1" w:styleId="Nadpis2Char">
    <w:name w:val="Nadpis 2 Char"/>
    <w:basedOn w:val="Standardnpsmoodstavce"/>
    <w:link w:val="Nadpis2"/>
    <w:uiPriority w:val="9"/>
    <w:rsid w:val="00190728"/>
    <w:rPr>
      <w:b/>
      <w:bCs/>
      <w:i/>
      <w:sz w:val="24"/>
      <w:szCs w:val="26"/>
    </w:rPr>
  </w:style>
  <w:style w:type="character" w:customStyle="1" w:styleId="ZkladntextChar">
    <w:name w:val="Základní text Char"/>
    <w:basedOn w:val="Standardnpsmoodstavce"/>
    <w:link w:val="Zkladntext"/>
    <w:rsid w:val="00A47F3E"/>
    <w:rPr>
      <w:rFonts w:ascii="Calibri" w:eastAsia="Calibri" w:hAnsi="Calibri"/>
      <w:sz w:val="22"/>
      <w:szCs w:val="22"/>
      <w:lang w:eastAsia="cs-CZ"/>
    </w:rPr>
  </w:style>
  <w:style w:type="paragraph" w:styleId="Obsah1">
    <w:name w:val="toc 1"/>
    <w:basedOn w:val="Normln"/>
    <w:next w:val="Normln"/>
    <w:autoRedefine/>
    <w:uiPriority w:val="39"/>
    <w:unhideWhenUsed/>
    <w:rsid w:val="00EA56FD"/>
    <w:pPr>
      <w:spacing w:after="100"/>
    </w:pPr>
  </w:style>
  <w:style w:type="paragraph" w:styleId="Obsah2">
    <w:name w:val="toc 2"/>
    <w:basedOn w:val="Normln"/>
    <w:next w:val="Normln"/>
    <w:autoRedefine/>
    <w:uiPriority w:val="39"/>
    <w:unhideWhenUsed/>
    <w:rsid w:val="00EA56FD"/>
    <w:pPr>
      <w:spacing w:after="100"/>
      <w:ind w:left="220"/>
    </w:pPr>
  </w:style>
  <w:style w:type="character" w:customStyle="1" w:styleId="ZhlavChar">
    <w:name w:val="Záhlaví Char"/>
    <w:basedOn w:val="Standardnpsmoodstavce"/>
    <w:link w:val="Zhlav"/>
    <w:rsid w:val="001609C9"/>
    <w:rPr>
      <w:rFonts w:ascii="Calibri" w:eastAsia="Calibri" w:hAnsi="Calibri"/>
      <w:sz w:val="22"/>
      <w:szCs w:val="22"/>
      <w:lang w:eastAsia="cs-CZ"/>
    </w:rPr>
  </w:style>
  <w:style w:type="character" w:customStyle="1" w:styleId="PodnadpisChar">
    <w:name w:val="Podnadpis Char"/>
    <w:basedOn w:val="Standardnpsmoodstavce"/>
    <w:link w:val="Podnadpis"/>
    <w:rsid w:val="006D59F5"/>
    <w:rPr>
      <w:rFonts w:ascii="Arial" w:eastAsia="Arial Unicode MS" w:hAnsi="Arial" w:cs="Arial Unicode MS"/>
      <w:i/>
      <w:iCs/>
      <w:sz w:val="28"/>
      <w:szCs w:val="28"/>
      <w:lang w:eastAsia="cs-CZ"/>
    </w:rPr>
  </w:style>
  <w:style w:type="table" w:styleId="Mkatabulky">
    <w:name w:val="Table Grid"/>
    <w:basedOn w:val="Normlntabulka"/>
    <w:uiPriority w:val="59"/>
    <w:rsid w:val="00287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ln"/>
    <w:link w:val="Znakapoznpodarou"/>
    <w:uiPriority w:val="99"/>
    <w:qFormat/>
    <w:rsid w:val="00646638"/>
    <w:pPr>
      <w:suppressAutoHyphens w:val="0"/>
      <w:spacing w:after="160" w:line="240" w:lineRule="exact"/>
    </w:pPr>
    <w:rPr>
      <w:rFonts w:ascii="Times New Roman" w:eastAsia="Times New Roman" w:hAnsi="Times New Roman"/>
      <w:sz w:val="20"/>
      <w:szCs w:val="20"/>
      <w:vertAlign w:val="superscript"/>
    </w:rPr>
  </w:style>
  <w:style w:type="character" w:customStyle="1" w:styleId="ZpatChar">
    <w:name w:val="Zápatí Char"/>
    <w:basedOn w:val="Standardnpsmoodstavce"/>
    <w:link w:val="Zpat"/>
    <w:uiPriority w:val="99"/>
    <w:rsid w:val="000D1F1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61177">
      <w:bodyDiv w:val="1"/>
      <w:marLeft w:val="0"/>
      <w:marRight w:val="0"/>
      <w:marTop w:val="0"/>
      <w:marBottom w:val="0"/>
      <w:divBdr>
        <w:top w:val="none" w:sz="0" w:space="0" w:color="auto"/>
        <w:left w:val="none" w:sz="0" w:space="0" w:color="auto"/>
        <w:bottom w:val="none" w:sz="0" w:space="0" w:color="auto"/>
        <w:right w:val="none" w:sz="0" w:space="0" w:color="auto"/>
      </w:divBdr>
    </w:div>
    <w:div w:id="117072921">
      <w:bodyDiv w:val="1"/>
      <w:marLeft w:val="0"/>
      <w:marRight w:val="0"/>
      <w:marTop w:val="0"/>
      <w:marBottom w:val="0"/>
      <w:divBdr>
        <w:top w:val="none" w:sz="0" w:space="0" w:color="auto"/>
        <w:left w:val="none" w:sz="0" w:space="0" w:color="auto"/>
        <w:bottom w:val="none" w:sz="0" w:space="0" w:color="auto"/>
        <w:right w:val="none" w:sz="0" w:space="0" w:color="auto"/>
      </w:divBdr>
    </w:div>
    <w:div w:id="139735143">
      <w:bodyDiv w:val="1"/>
      <w:marLeft w:val="0"/>
      <w:marRight w:val="0"/>
      <w:marTop w:val="0"/>
      <w:marBottom w:val="0"/>
      <w:divBdr>
        <w:top w:val="none" w:sz="0" w:space="0" w:color="auto"/>
        <w:left w:val="none" w:sz="0" w:space="0" w:color="auto"/>
        <w:bottom w:val="none" w:sz="0" w:space="0" w:color="auto"/>
        <w:right w:val="none" w:sz="0" w:space="0" w:color="auto"/>
      </w:divBdr>
    </w:div>
    <w:div w:id="329916048">
      <w:bodyDiv w:val="1"/>
      <w:marLeft w:val="0"/>
      <w:marRight w:val="0"/>
      <w:marTop w:val="0"/>
      <w:marBottom w:val="0"/>
      <w:divBdr>
        <w:top w:val="none" w:sz="0" w:space="0" w:color="auto"/>
        <w:left w:val="none" w:sz="0" w:space="0" w:color="auto"/>
        <w:bottom w:val="none" w:sz="0" w:space="0" w:color="auto"/>
        <w:right w:val="none" w:sz="0" w:space="0" w:color="auto"/>
      </w:divBdr>
    </w:div>
    <w:div w:id="470946202">
      <w:bodyDiv w:val="1"/>
      <w:marLeft w:val="0"/>
      <w:marRight w:val="0"/>
      <w:marTop w:val="0"/>
      <w:marBottom w:val="0"/>
      <w:divBdr>
        <w:top w:val="none" w:sz="0" w:space="0" w:color="auto"/>
        <w:left w:val="none" w:sz="0" w:space="0" w:color="auto"/>
        <w:bottom w:val="none" w:sz="0" w:space="0" w:color="auto"/>
        <w:right w:val="none" w:sz="0" w:space="0" w:color="auto"/>
      </w:divBdr>
    </w:div>
    <w:div w:id="475490912">
      <w:bodyDiv w:val="1"/>
      <w:marLeft w:val="0"/>
      <w:marRight w:val="0"/>
      <w:marTop w:val="0"/>
      <w:marBottom w:val="0"/>
      <w:divBdr>
        <w:top w:val="none" w:sz="0" w:space="0" w:color="auto"/>
        <w:left w:val="none" w:sz="0" w:space="0" w:color="auto"/>
        <w:bottom w:val="none" w:sz="0" w:space="0" w:color="auto"/>
        <w:right w:val="none" w:sz="0" w:space="0" w:color="auto"/>
      </w:divBdr>
    </w:div>
    <w:div w:id="604577322">
      <w:bodyDiv w:val="1"/>
      <w:marLeft w:val="0"/>
      <w:marRight w:val="0"/>
      <w:marTop w:val="0"/>
      <w:marBottom w:val="0"/>
      <w:divBdr>
        <w:top w:val="none" w:sz="0" w:space="0" w:color="auto"/>
        <w:left w:val="none" w:sz="0" w:space="0" w:color="auto"/>
        <w:bottom w:val="none" w:sz="0" w:space="0" w:color="auto"/>
        <w:right w:val="none" w:sz="0" w:space="0" w:color="auto"/>
      </w:divBdr>
    </w:div>
    <w:div w:id="708647179">
      <w:bodyDiv w:val="1"/>
      <w:marLeft w:val="0"/>
      <w:marRight w:val="0"/>
      <w:marTop w:val="0"/>
      <w:marBottom w:val="0"/>
      <w:divBdr>
        <w:top w:val="none" w:sz="0" w:space="0" w:color="auto"/>
        <w:left w:val="none" w:sz="0" w:space="0" w:color="auto"/>
        <w:bottom w:val="none" w:sz="0" w:space="0" w:color="auto"/>
        <w:right w:val="none" w:sz="0" w:space="0" w:color="auto"/>
      </w:divBdr>
    </w:div>
    <w:div w:id="922763504">
      <w:bodyDiv w:val="1"/>
      <w:marLeft w:val="0"/>
      <w:marRight w:val="0"/>
      <w:marTop w:val="0"/>
      <w:marBottom w:val="0"/>
      <w:divBdr>
        <w:top w:val="none" w:sz="0" w:space="0" w:color="auto"/>
        <w:left w:val="none" w:sz="0" w:space="0" w:color="auto"/>
        <w:bottom w:val="none" w:sz="0" w:space="0" w:color="auto"/>
        <w:right w:val="none" w:sz="0" w:space="0" w:color="auto"/>
      </w:divBdr>
    </w:div>
    <w:div w:id="968125752">
      <w:bodyDiv w:val="1"/>
      <w:marLeft w:val="0"/>
      <w:marRight w:val="0"/>
      <w:marTop w:val="0"/>
      <w:marBottom w:val="0"/>
      <w:divBdr>
        <w:top w:val="none" w:sz="0" w:space="0" w:color="auto"/>
        <w:left w:val="none" w:sz="0" w:space="0" w:color="auto"/>
        <w:bottom w:val="none" w:sz="0" w:space="0" w:color="auto"/>
        <w:right w:val="none" w:sz="0" w:space="0" w:color="auto"/>
      </w:divBdr>
    </w:div>
    <w:div w:id="973372135">
      <w:bodyDiv w:val="1"/>
      <w:marLeft w:val="0"/>
      <w:marRight w:val="0"/>
      <w:marTop w:val="0"/>
      <w:marBottom w:val="0"/>
      <w:divBdr>
        <w:top w:val="none" w:sz="0" w:space="0" w:color="auto"/>
        <w:left w:val="none" w:sz="0" w:space="0" w:color="auto"/>
        <w:bottom w:val="none" w:sz="0" w:space="0" w:color="auto"/>
        <w:right w:val="none" w:sz="0" w:space="0" w:color="auto"/>
      </w:divBdr>
    </w:div>
    <w:div w:id="991953272">
      <w:bodyDiv w:val="1"/>
      <w:marLeft w:val="0"/>
      <w:marRight w:val="0"/>
      <w:marTop w:val="0"/>
      <w:marBottom w:val="0"/>
      <w:divBdr>
        <w:top w:val="none" w:sz="0" w:space="0" w:color="auto"/>
        <w:left w:val="none" w:sz="0" w:space="0" w:color="auto"/>
        <w:bottom w:val="none" w:sz="0" w:space="0" w:color="auto"/>
        <w:right w:val="none" w:sz="0" w:space="0" w:color="auto"/>
      </w:divBdr>
    </w:div>
    <w:div w:id="1105231025">
      <w:bodyDiv w:val="1"/>
      <w:marLeft w:val="0"/>
      <w:marRight w:val="0"/>
      <w:marTop w:val="0"/>
      <w:marBottom w:val="0"/>
      <w:divBdr>
        <w:top w:val="none" w:sz="0" w:space="0" w:color="auto"/>
        <w:left w:val="none" w:sz="0" w:space="0" w:color="auto"/>
        <w:bottom w:val="none" w:sz="0" w:space="0" w:color="auto"/>
        <w:right w:val="none" w:sz="0" w:space="0" w:color="auto"/>
      </w:divBdr>
    </w:div>
    <w:div w:id="1153526180">
      <w:bodyDiv w:val="1"/>
      <w:marLeft w:val="0"/>
      <w:marRight w:val="0"/>
      <w:marTop w:val="0"/>
      <w:marBottom w:val="0"/>
      <w:divBdr>
        <w:top w:val="none" w:sz="0" w:space="0" w:color="auto"/>
        <w:left w:val="none" w:sz="0" w:space="0" w:color="auto"/>
        <w:bottom w:val="none" w:sz="0" w:space="0" w:color="auto"/>
        <w:right w:val="none" w:sz="0" w:space="0" w:color="auto"/>
      </w:divBdr>
    </w:div>
    <w:div w:id="1180464967">
      <w:bodyDiv w:val="1"/>
      <w:marLeft w:val="0"/>
      <w:marRight w:val="0"/>
      <w:marTop w:val="0"/>
      <w:marBottom w:val="0"/>
      <w:divBdr>
        <w:top w:val="none" w:sz="0" w:space="0" w:color="auto"/>
        <w:left w:val="none" w:sz="0" w:space="0" w:color="auto"/>
        <w:bottom w:val="none" w:sz="0" w:space="0" w:color="auto"/>
        <w:right w:val="none" w:sz="0" w:space="0" w:color="auto"/>
      </w:divBdr>
    </w:div>
    <w:div w:id="1181699738">
      <w:bodyDiv w:val="1"/>
      <w:marLeft w:val="0"/>
      <w:marRight w:val="0"/>
      <w:marTop w:val="0"/>
      <w:marBottom w:val="0"/>
      <w:divBdr>
        <w:top w:val="none" w:sz="0" w:space="0" w:color="auto"/>
        <w:left w:val="none" w:sz="0" w:space="0" w:color="auto"/>
        <w:bottom w:val="none" w:sz="0" w:space="0" w:color="auto"/>
        <w:right w:val="none" w:sz="0" w:space="0" w:color="auto"/>
      </w:divBdr>
    </w:div>
    <w:div w:id="1240675464">
      <w:bodyDiv w:val="1"/>
      <w:marLeft w:val="0"/>
      <w:marRight w:val="0"/>
      <w:marTop w:val="0"/>
      <w:marBottom w:val="0"/>
      <w:divBdr>
        <w:top w:val="none" w:sz="0" w:space="0" w:color="auto"/>
        <w:left w:val="none" w:sz="0" w:space="0" w:color="auto"/>
        <w:bottom w:val="none" w:sz="0" w:space="0" w:color="auto"/>
        <w:right w:val="none" w:sz="0" w:space="0" w:color="auto"/>
      </w:divBdr>
    </w:div>
    <w:div w:id="1247543788">
      <w:bodyDiv w:val="1"/>
      <w:marLeft w:val="0"/>
      <w:marRight w:val="0"/>
      <w:marTop w:val="0"/>
      <w:marBottom w:val="0"/>
      <w:divBdr>
        <w:top w:val="none" w:sz="0" w:space="0" w:color="auto"/>
        <w:left w:val="none" w:sz="0" w:space="0" w:color="auto"/>
        <w:bottom w:val="none" w:sz="0" w:space="0" w:color="auto"/>
        <w:right w:val="none" w:sz="0" w:space="0" w:color="auto"/>
      </w:divBdr>
    </w:div>
    <w:div w:id="1368943141">
      <w:bodyDiv w:val="1"/>
      <w:marLeft w:val="0"/>
      <w:marRight w:val="0"/>
      <w:marTop w:val="0"/>
      <w:marBottom w:val="0"/>
      <w:divBdr>
        <w:top w:val="none" w:sz="0" w:space="0" w:color="auto"/>
        <w:left w:val="none" w:sz="0" w:space="0" w:color="auto"/>
        <w:bottom w:val="none" w:sz="0" w:space="0" w:color="auto"/>
        <w:right w:val="none" w:sz="0" w:space="0" w:color="auto"/>
      </w:divBdr>
    </w:div>
    <w:div w:id="1603802402">
      <w:bodyDiv w:val="1"/>
      <w:marLeft w:val="0"/>
      <w:marRight w:val="0"/>
      <w:marTop w:val="0"/>
      <w:marBottom w:val="0"/>
      <w:divBdr>
        <w:top w:val="none" w:sz="0" w:space="0" w:color="auto"/>
        <w:left w:val="none" w:sz="0" w:space="0" w:color="auto"/>
        <w:bottom w:val="none" w:sz="0" w:space="0" w:color="auto"/>
        <w:right w:val="none" w:sz="0" w:space="0" w:color="auto"/>
      </w:divBdr>
    </w:div>
    <w:div w:id="1675718376">
      <w:bodyDiv w:val="1"/>
      <w:marLeft w:val="0"/>
      <w:marRight w:val="0"/>
      <w:marTop w:val="0"/>
      <w:marBottom w:val="0"/>
      <w:divBdr>
        <w:top w:val="none" w:sz="0" w:space="0" w:color="auto"/>
        <w:left w:val="none" w:sz="0" w:space="0" w:color="auto"/>
        <w:bottom w:val="none" w:sz="0" w:space="0" w:color="auto"/>
        <w:right w:val="none" w:sz="0" w:space="0" w:color="auto"/>
      </w:divBdr>
    </w:div>
    <w:div w:id="1732998750">
      <w:bodyDiv w:val="1"/>
      <w:marLeft w:val="0"/>
      <w:marRight w:val="0"/>
      <w:marTop w:val="0"/>
      <w:marBottom w:val="0"/>
      <w:divBdr>
        <w:top w:val="none" w:sz="0" w:space="0" w:color="auto"/>
        <w:left w:val="none" w:sz="0" w:space="0" w:color="auto"/>
        <w:bottom w:val="none" w:sz="0" w:space="0" w:color="auto"/>
        <w:right w:val="none" w:sz="0" w:space="0" w:color="auto"/>
      </w:divBdr>
    </w:div>
    <w:div w:id="1987008065">
      <w:bodyDiv w:val="1"/>
      <w:marLeft w:val="0"/>
      <w:marRight w:val="0"/>
      <w:marTop w:val="0"/>
      <w:marBottom w:val="0"/>
      <w:divBdr>
        <w:top w:val="none" w:sz="0" w:space="0" w:color="auto"/>
        <w:left w:val="none" w:sz="0" w:space="0" w:color="auto"/>
        <w:bottom w:val="none" w:sz="0" w:space="0" w:color="auto"/>
        <w:right w:val="none" w:sz="0" w:space="0" w:color="auto"/>
      </w:divBdr>
    </w:div>
    <w:div w:id="2098550824">
      <w:bodyDiv w:val="1"/>
      <w:marLeft w:val="0"/>
      <w:marRight w:val="0"/>
      <w:marTop w:val="0"/>
      <w:marBottom w:val="0"/>
      <w:divBdr>
        <w:top w:val="none" w:sz="0" w:space="0" w:color="auto"/>
        <w:left w:val="none" w:sz="0" w:space="0" w:color="auto"/>
        <w:bottom w:val="none" w:sz="0" w:space="0" w:color="auto"/>
        <w:right w:val="none" w:sz="0" w:space="0" w:color="auto"/>
      </w:divBdr>
    </w:div>
    <w:div w:id="2104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acea.ec.europa.eu/about-eacea/visual-identity_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programmes/erasmus-plus/projec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al_x0020_date_x0020_of_x0020_delivery xmlns="cfd06d9f-862c-4359-9a69-c66ff689f26a">2018-01-14T23:00:00+00:00</Final_x0020_date_x0020_of_x0020_delivery>
    <Leader_x0020__x0028_staff_x0020_member_x0029_ xmlns="cfd06d9f-862c-4359-9a69-c66ff689f26a">MHM</Leader_x0020__x0028_staff_x0020_member_x0029_>
    <Leader_x0020__x0028_unit_x0029_ xmlns="cfd06d9f-862c-4359-9a69-c66ff689f26a">B4</Leader_x0020__x0028_unit_x0029_>
    <Year xmlns="cfd06d9f-862c-4359-9a69-c66ff689f26a">2018</Year>
    <Next_x0020_date_x0020_of_x0020_delivery xmlns="cfd06d9f-862c-4359-9a69-c66ff689f26a">2017-09-28T22:00:00+00:00</Next_x0020_date_x0020_of_x0020_delivery>
    <_x0070_gc6 xmlns="cfd06d9f-862c-4359-9a69-c66ff689f26a" xsi:nil="true"/>
    <Document xmlns="cfd06d9f-862c-4359-9a69-c66ff689f26a">E+ Grant agreements (master files)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7460-0FF2-40B9-8EE2-FF19FA404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8C017-46FC-495F-9406-2E938FCA50D4}">
  <ds:schemaRefs>
    <ds:schemaRef ds:uri="http://schemas.microsoft.com/sharepoint/v3/contenttype/forms"/>
  </ds:schemaRefs>
</ds:datastoreItem>
</file>

<file path=customXml/itemProps3.xml><?xml version="1.0" encoding="utf-8"?>
<ds:datastoreItem xmlns:ds="http://schemas.openxmlformats.org/officeDocument/2006/customXml" ds:itemID="{47FBC205-3798-403B-93F0-35D972D53812}">
  <ds:schemaRef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cfd06d9f-862c-4359-9a69-c66ff689f26a"/>
    <ds:schemaRef ds:uri="http://schemas.microsoft.com/office/2006/metadata/properties"/>
  </ds:schemaRefs>
</ds:datastoreItem>
</file>

<file path=customXml/itemProps4.xml><?xml version="1.0" encoding="utf-8"?>
<ds:datastoreItem xmlns:ds="http://schemas.openxmlformats.org/officeDocument/2006/customXml" ds:itemID="{EE964E48-D620-4063-8E19-0B64055B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14</Pages>
  <Words>3590</Words>
  <Characters>21186</Characters>
  <Application>Microsoft Office Word</Application>
  <DocSecurity>0</DocSecurity>
  <Lines>176</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24727</CharactersWithSpaces>
  <SharedDoc>false</SharedDoc>
  <HLinks>
    <vt:vector size="30" baseType="variant">
      <vt:variant>
        <vt:i4>4587560</vt:i4>
      </vt:variant>
      <vt:variant>
        <vt:i4>12</vt:i4>
      </vt:variant>
      <vt:variant>
        <vt:i4>0</vt:i4>
      </vt:variant>
      <vt:variant>
        <vt:i4>5</vt:i4>
      </vt:variant>
      <vt:variant>
        <vt:lpwstr>http://ec.europa.eu/budget/contracts_grants/info_contracts/inforeuro/inforeuro_en.cfm</vt:lpwstr>
      </vt:variant>
      <vt:variant>
        <vt:lpwstr/>
      </vt:variant>
      <vt:variant>
        <vt:i4>4259840</vt:i4>
      </vt:variant>
      <vt:variant>
        <vt:i4>9</vt:i4>
      </vt:variant>
      <vt:variant>
        <vt:i4>0</vt:i4>
      </vt:variant>
      <vt:variant>
        <vt:i4>5</vt:i4>
      </vt:variant>
      <vt:variant>
        <vt:lpwstr>http://eur-lex.europa.eu/LexUriServ/LexUriServ.do?uri=CELEX:32004L0017:EN:NOT</vt:lpwstr>
      </vt:variant>
      <vt:variant>
        <vt:lpwstr/>
      </vt:variant>
      <vt:variant>
        <vt:i4>4390930</vt:i4>
      </vt:variant>
      <vt:variant>
        <vt:i4>6</vt:i4>
      </vt:variant>
      <vt:variant>
        <vt:i4>0</vt:i4>
      </vt:variant>
      <vt:variant>
        <vt:i4>5</vt:i4>
      </vt:variant>
      <vt:variant>
        <vt:lpwstr>http://ec.europa.eu/dgs/communication/services/visual_identity/pdf/use-emblem_en.pdf</vt:lpwstr>
      </vt:variant>
      <vt:variant>
        <vt:lpwstr/>
      </vt:variant>
      <vt:variant>
        <vt:i4>1572952</vt:i4>
      </vt:variant>
      <vt:variant>
        <vt:i4>3</vt:i4>
      </vt:variant>
      <vt:variant>
        <vt:i4>0</vt:i4>
      </vt:variant>
      <vt:variant>
        <vt:i4>5</vt:i4>
      </vt:variant>
      <vt:variant>
        <vt:lpwstr>http://ec.europa.eu/dgs/education_culture/publ/graphics/identity_en.htm</vt:lpwstr>
      </vt:variant>
      <vt:variant>
        <vt:lpwstr/>
      </vt:variant>
      <vt:variant>
        <vt:i4>196692</vt:i4>
      </vt:variant>
      <vt:variant>
        <vt:i4>0</vt:i4>
      </vt:variant>
      <vt:variant>
        <vt:i4>0</vt:i4>
      </vt:variant>
      <vt:variant>
        <vt:i4>5</vt:i4>
      </vt:variant>
      <vt:variant>
        <vt:lpwstr>http://ec.europa.eu/programmes/erasmus-plus/projects/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grant agreement</dc:subject>
  <dc:creator>HUERTAS MARTINEZ Marta (EAC)</dc:creator>
  <cp:keywords>grant, agreement, subventions, multi, beneficiaries</cp:keywords>
  <cp:lastModifiedBy>Sejkorová Lucie Ing.</cp:lastModifiedBy>
  <cp:revision>2</cp:revision>
  <cp:lastPrinted>2019-06-17T10:47:00Z</cp:lastPrinted>
  <dcterms:created xsi:type="dcterms:W3CDTF">2019-08-07T14:00:00Z</dcterms:created>
  <dcterms:modified xsi:type="dcterms:W3CDTF">2019-08-07T14:00:00Z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y fmtid="{D5CDD505-2E9C-101B-9397-08002B2CF9AE}" pid="3" name="ContentTypeId">
    <vt:lpwstr>0x010100258AA79CEB83498886A3A0868112325000C1490CE060273747A60689B6E70012AE</vt:lpwstr>
  </property>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About">
    <vt:lpwstr>Grant agreements with beneficiaries</vt:lpwstr>
  </property>
  <property fmtid="{D5CDD505-2E9C-101B-9397-08002B2CF9AE}" pid="8" name="Status">
    <vt:lpwstr>EAC consultation</vt:lpwstr>
  </property>
</Properties>
</file>