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5131" w14:textId="77777777" w:rsidR="00AE4BFB" w:rsidRDefault="00AE4BFB" w:rsidP="00AE4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SPECIFIKACE</w:t>
      </w:r>
    </w:p>
    <w:p w14:paraId="55CC834A" w14:textId="77777777" w:rsidR="00AE4BFB" w:rsidRDefault="00AE4BFB" w:rsidP="00AE4BFB">
      <w:pPr>
        <w:spacing w:after="98"/>
        <w:ind w:right="266"/>
        <w:rPr>
          <w:b/>
          <w:u w:val="single"/>
        </w:rPr>
      </w:pPr>
    </w:p>
    <w:p w14:paraId="21D59A75" w14:textId="1BF5EFDF" w:rsidR="00AE4BFB" w:rsidRDefault="00AE4BFB" w:rsidP="00AE4BFB">
      <w:pPr>
        <w:spacing w:after="98"/>
        <w:ind w:right="266"/>
        <w:rPr>
          <w:b/>
          <w:sz w:val="32"/>
          <w:u w:val="single" w:color="000000"/>
        </w:rPr>
      </w:pPr>
      <w:r>
        <w:rPr>
          <w:b/>
          <w:u w:val="single"/>
        </w:rPr>
        <w:t xml:space="preserve">Předmět </w:t>
      </w:r>
      <w:r w:rsidR="00C01923">
        <w:rPr>
          <w:b/>
          <w:u w:val="single"/>
        </w:rPr>
        <w:t>koupě</w:t>
      </w:r>
      <w:bookmarkStart w:id="0" w:name="_GoBack"/>
      <w:bookmarkEnd w:id="0"/>
      <w:r>
        <w:rPr>
          <w:b/>
          <w:u w:val="single"/>
        </w:rPr>
        <w:t xml:space="preserve"> musí splňovat všechny níže uvedené požadavky:</w:t>
      </w:r>
    </w:p>
    <w:p w14:paraId="1362BCE8" w14:textId="10805892" w:rsidR="008F615E" w:rsidRDefault="00FD795F" w:rsidP="00DB1072">
      <w:pPr>
        <w:spacing w:before="180" w:after="240"/>
        <w:jc w:val="both"/>
        <w:rPr>
          <w:rFonts w:cstheme="minorHAnsi"/>
        </w:rPr>
      </w:pPr>
      <w:r w:rsidRPr="00FD795F">
        <w:rPr>
          <w:rFonts w:cstheme="minorHAnsi"/>
        </w:rPr>
        <w:t>Rukavicový box i všechny jeho aktivní součásti musí být vyrobeny z nerez oceli. Rukavicový box musí být dodán jako systém s jednou pracovní plochou, velkou a malou přechodovou komorou. Box musí umožňovat cirkulaci inertního plynu přes jednotku, která z něj odstraňuje kyslík a vlhkost. Součástí rukavicového boxu musí být zabudovaný systém indikace provozních parametrů (koncentrace kyslíku a vlhkosti, tlak). Rukavicový box musí být schopen práce s atmosférou dusíku, argonu nebo helia. Uvnitř rukavicového boxu musí být možné udržovat mírný přetlak. Součástí dodávky musí být nosný rám a vakuová pumpa.</w:t>
      </w:r>
    </w:p>
    <w:p w14:paraId="26D28AB8" w14:textId="4DF17202" w:rsidR="00E57854" w:rsidRDefault="00E57854" w:rsidP="00DB1072">
      <w:pPr>
        <w:spacing w:before="180" w:after="24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Rukavicový box bude umístěn v bezprašné laboratoři v budově C3, 2. NP – je třeba počítat s dveřmi šířky 100 cm.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3060"/>
      </w:tblGrid>
      <w:tr w:rsidR="00C01923" w:rsidRPr="00DB1072" w14:paraId="6EC9F5EE" w14:textId="77777777" w:rsidTr="0052513E">
        <w:trPr>
          <w:trHeight w:val="432"/>
        </w:trPr>
        <w:tc>
          <w:tcPr>
            <w:tcW w:w="9146" w:type="dxa"/>
            <w:gridSpan w:val="2"/>
            <w:shd w:val="clear" w:color="000000" w:fill="C0C0C0"/>
            <w:vAlign w:val="center"/>
            <w:hideMark/>
          </w:tcPr>
          <w:p w14:paraId="3874AAD1" w14:textId="3F802BB4" w:rsidR="00C01923" w:rsidRPr="00DB1072" w:rsidRDefault="00C01923" w:rsidP="00DB107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T</w:t>
            </w:r>
            <w:r w:rsidRPr="00DB1072">
              <w:rPr>
                <w:rFonts w:eastAsia="Times New Roman" w:cstheme="minorHAnsi"/>
                <w:b/>
                <w:bCs/>
                <w:lang w:eastAsia="cs-CZ"/>
              </w:rPr>
              <w:t>echnické a funkční vlastnosti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předmětu koupě</w:t>
            </w:r>
            <w:r w:rsidRPr="00DB1072">
              <w:rPr>
                <w:rFonts w:eastAsia="Times New Roman" w:cstheme="minorHAnsi"/>
                <w:b/>
                <w:bCs/>
                <w:lang w:eastAsia="cs-CZ"/>
              </w:rPr>
              <w:t xml:space="preserve">                                               </w:t>
            </w:r>
            <w:r w:rsidRPr="00DB107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  <w:tr w:rsidR="00DB1072" w:rsidRPr="00DB1072" w14:paraId="51ED0666" w14:textId="77777777" w:rsidTr="00C01923">
        <w:trPr>
          <w:trHeight w:val="375"/>
        </w:trPr>
        <w:tc>
          <w:tcPr>
            <w:tcW w:w="6086" w:type="dxa"/>
            <w:shd w:val="clear" w:color="auto" w:fill="auto"/>
            <w:vAlign w:val="center"/>
          </w:tcPr>
          <w:p w14:paraId="54EC9BC7" w14:textId="544F2FE1" w:rsidR="00DB1072" w:rsidRPr="00DB1072" w:rsidRDefault="00C01923" w:rsidP="00DB1072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Typové označení zařízení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42105ED" w14:textId="175AB7A1" w:rsidR="00DB1072" w:rsidRPr="00DB1072" w:rsidRDefault="00C01923" w:rsidP="00DB107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 xml:space="preserve">GP </w:t>
            </w:r>
            <w:proofErr w:type="spellStart"/>
            <w:r>
              <w:rPr>
                <w:rFonts w:eastAsia="Times New Roman" w:cstheme="minorHAnsi"/>
                <w:i/>
                <w:iCs/>
                <w:lang w:eastAsia="cs-CZ"/>
              </w:rPr>
              <w:t>Campus</w:t>
            </w:r>
            <w:proofErr w:type="spellEnd"/>
            <w:r>
              <w:rPr>
                <w:rFonts w:eastAsia="Times New Roman" w:cstheme="minorHAnsi"/>
                <w:i/>
                <w:iCs/>
                <w:lang w:eastAsia="cs-CZ"/>
              </w:rPr>
              <w:t xml:space="preserve"> T2</w:t>
            </w:r>
          </w:p>
        </w:tc>
      </w:tr>
      <w:tr w:rsidR="00C01923" w:rsidRPr="00DB1072" w14:paraId="22ABD650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</w:tcPr>
          <w:p w14:paraId="7E731648" w14:textId="095B29F3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Materiál skeletu boxu i všech aktivních součástí je nerez minimálně třídy 304L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2ABD45" w14:textId="0965162A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34052898" w14:textId="77777777" w:rsidTr="00DB1072">
        <w:trPr>
          <w:trHeight w:val="750"/>
        </w:trPr>
        <w:tc>
          <w:tcPr>
            <w:tcW w:w="6086" w:type="dxa"/>
            <w:shd w:val="clear" w:color="auto" w:fill="auto"/>
            <w:vAlign w:val="center"/>
            <w:hideMark/>
          </w:tcPr>
          <w:p w14:paraId="0D1B64D4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Minimální rozměry vnitřního pracovního prostoru 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EF7D076" w14:textId="6E5D7E02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1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200/725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/900 mm (š/h/v)</w:t>
            </w:r>
          </w:p>
        </w:tc>
      </w:tr>
      <w:tr w:rsidR="00C01923" w:rsidRPr="00DB1072" w14:paraId="583BF403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44F30E15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Materiál čelního panelu je sklo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B7024AE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2C03E593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0F0CF7E7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průměr otvorů pro rukavice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F8F001A" w14:textId="02DCE605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22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0 mm</w:t>
            </w:r>
          </w:p>
        </w:tc>
      </w:tr>
      <w:tr w:rsidR="00C01923" w:rsidRPr="00DB1072" w14:paraId="26BCEB6C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2C8B0342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Materiál rukavic je butylový kaučuk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C08C00F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3E078502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8A05E55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tloušťka materiálu rukavic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B4FC362" w14:textId="5F73531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0,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6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mm</w:t>
            </w:r>
          </w:p>
        </w:tc>
      </w:tr>
      <w:tr w:rsidR="00C01923" w:rsidRPr="00DB1072" w14:paraId="508CB2A6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418661B0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počet polic umístěných na zadní stěně boxu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B5E6D1C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3</w:t>
            </w:r>
          </w:p>
        </w:tc>
      </w:tr>
      <w:tr w:rsidR="00C01923" w:rsidRPr="00DB1072" w14:paraId="4790D190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40AE5E3A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Osvětlení pracovní plochy LED světlem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C619B54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4B7E056E" w14:textId="77777777" w:rsidTr="00DB1072">
        <w:trPr>
          <w:trHeight w:val="420"/>
        </w:trPr>
        <w:tc>
          <w:tcPr>
            <w:tcW w:w="6086" w:type="dxa"/>
            <w:shd w:val="clear" w:color="auto" w:fill="auto"/>
            <w:vAlign w:val="center"/>
            <w:hideMark/>
          </w:tcPr>
          <w:p w14:paraId="19C45875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Povolená těsnost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C823D7F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lang w:eastAsia="cs-CZ"/>
              </w:rPr>
              <w:t>˂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10</w:t>
            </w:r>
            <w:r w:rsidRPr="00DB1072">
              <w:rPr>
                <w:rFonts w:eastAsia="Times New Roman" w:cstheme="minorHAnsi"/>
                <w:i/>
                <w:iCs/>
                <w:vertAlign w:val="superscript"/>
                <w:lang w:eastAsia="cs-CZ"/>
              </w:rPr>
              <w:t>-5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mbar.l.s</w:t>
            </w:r>
            <w:r w:rsidRPr="00DB1072">
              <w:rPr>
                <w:rFonts w:eastAsia="Times New Roman" w:cstheme="minorHAnsi"/>
                <w:i/>
                <w:iCs/>
                <w:vertAlign w:val="superscript"/>
                <w:lang w:eastAsia="cs-CZ"/>
              </w:rPr>
              <w:t>-1</w:t>
            </w:r>
          </w:p>
        </w:tc>
      </w:tr>
      <w:tr w:rsidR="00C01923" w:rsidRPr="00DB1072" w14:paraId="1835937B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CA33410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Maximální povolená hlučnost během provozu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C112141" w14:textId="17F353E1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49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dB</w:t>
            </w:r>
          </w:p>
        </w:tc>
      </w:tr>
      <w:tr w:rsidR="00C01923" w:rsidRPr="00DB1072" w14:paraId="4BEFAF3B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5A67997E" w14:textId="64A1EE11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počet průchodek pro 230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 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V umístěných na zadní straně rukavicového boxu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3785F5F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1</w:t>
            </w:r>
          </w:p>
        </w:tc>
      </w:tr>
      <w:tr w:rsidR="00C01923" w:rsidRPr="00DB1072" w14:paraId="61E30590" w14:textId="77777777" w:rsidTr="00DB1072">
        <w:trPr>
          <w:trHeight w:val="750"/>
        </w:trPr>
        <w:tc>
          <w:tcPr>
            <w:tcW w:w="6086" w:type="dxa"/>
            <w:shd w:val="clear" w:color="auto" w:fill="auto"/>
            <w:vAlign w:val="center"/>
            <w:hideMark/>
          </w:tcPr>
          <w:p w14:paraId="45223D9B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Bezpečnostní ventil zajišťující snížení nežádoucího přetlaku nezávislý na elektrickém napájení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DA22E9C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0A3F4F24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5D595EEB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Vakuová pumpa pro evakuaci přechodových komor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89B5601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103CE072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9CBC556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čerpací rychlost vakuové pumpy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95E42FE" w14:textId="3FEA6559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2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1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m</w:t>
            </w:r>
            <w:r w:rsidRPr="00DB1072">
              <w:rPr>
                <w:rFonts w:eastAsia="Times New Roman" w:cstheme="minorHAnsi"/>
                <w:i/>
                <w:iCs/>
                <w:vertAlign w:val="superscript"/>
                <w:lang w:eastAsia="cs-CZ"/>
              </w:rPr>
              <w:t>3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/h</w:t>
            </w:r>
          </w:p>
        </w:tc>
      </w:tr>
      <w:tr w:rsidR="00C01923" w:rsidRPr="00DB1072" w14:paraId="77DFFE3A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0A7B248C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2 separátní přechodové komory (malá, velká)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135CC01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4B3AD740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6728FC4A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průměr velké přechodové komory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2A63A197" w14:textId="21FB8F2F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40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0 mm</w:t>
            </w:r>
          </w:p>
        </w:tc>
      </w:tr>
      <w:tr w:rsidR="00C01923" w:rsidRPr="00DB1072" w14:paraId="4B797A47" w14:textId="77777777" w:rsidTr="00DB1072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2B609156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délka velké přechodové komory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2B456FA" w14:textId="55366A24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 xml:space="preserve"> 60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0 mm</w:t>
            </w:r>
          </w:p>
        </w:tc>
      </w:tr>
      <w:tr w:rsidR="00C01923" w:rsidRPr="00DB1072" w14:paraId="3E383810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F79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Průměr malé přechodové komory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C90F" w14:textId="370A6F29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1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5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0 mm </w:t>
            </w:r>
          </w:p>
        </w:tc>
      </w:tr>
      <w:tr w:rsidR="00C01923" w:rsidRPr="00DB1072" w14:paraId="30BFD2B0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225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Délka malé přechodové komory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13C" w14:textId="0C2E4570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400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mm </w:t>
            </w:r>
          </w:p>
        </w:tc>
      </w:tr>
      <w:tr w:rsidR="00C01923" w:rsidRPr="00DB1072" w14:paraId="38A49583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640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lastRenderedPageBreak/>
              <w:t>Obě přechodové komory jsou vybaveny vnitřními a vnějšími dvířky, která se dají snadno ovládat/otevírat pomocí jedné ruky, jsou připojeny k vakuové pumpě a opatřeny čidly vnitřního tlaku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16B2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27E6B826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D2E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Jednotka pro čištění plynů od zbytkového O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a H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856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143E95CC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5BDA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Analyzátory kyslíku a vlhkosti pro měření koncentrace O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a H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9011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64B7327D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0BC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Maximální povolená koncentrace O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ve vnitřním prostoru boxu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D08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˂ 1 </w:t>
            </w:r>
            <w:proofErr w:type="spellStart"/>
            <w:r w:rsidRPr="00DB1072">
              <w:rPr>
                <w:rFonts w:eastAsia="Times New Roman" w:cstheme="minorHAnsi"/>
                <w:i/>
                <w:iCs/>
                <w:lang w:eastAsia="cs-CZ"/>
              </w:rPr>
              <w:t>ppm</w:t>
            </w:r>
            <w:proofErr w:type="spellEnd"/>
          </w:p>
        </w:tc>
      </w:tr>
      <w:tr w:rsidR="00C01923" w:rsidRPr="00DB1072" w14:paraId="1D0F4C39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C34B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Maximální povolená koncentrace H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O ve vnitřním prostoru boxu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04F0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˂ 1 </w:t>
            </w:r>
            <w:proofErr w:type="spellStart"/>
            <w:r w:rsidRPr="00DB1072">
              <w:rPr>
                <w:rFonts w:eastAsia="Times New Roman" w:cstheme="minorHAnsi"/>
                <w:i/>
                <w:iCs/>
                <w:lang w:eastAsia="cs-CZ"/>
              </w:rPr>
              <w:t>ppm</w:t>
            </w:r>
            <w:proofErr w:type="spellEnd"/>
          </w:p>
        </w:tc>
      </w:tr>
      <w:tr w:rsidR="00C01923" w:rsidRPr="00DB1072" w14:paraId="4ACA2047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2CC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hmotnost regenerační náplně pro záchyt O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FDF" w14:textId="0C8CD25E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4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kg</w:t>
            </w:r>
          </w:p>
        </w:tc>
      </w:tr>
      <w:tr w:rsidR="00C01923" w:rsidRPr="00DB1072" w14:paraId="061DD4F7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DB5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hmotnost regenerační náplně pro záchyt H</w:t>
            </w:r>
            <w:r w:rsidRPr="00DB1072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165" w14:textId="6FE2F52E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4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kg</w:t>
            </w:r>
          </w:p>
        </w:tc>
      </w:tr>
      <w:tr w:rsidR="00C01923" w:rsidRPr="00DB1072" w14:paraId="289D9EE4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FF8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HEPA filtr (H13) s aktivním uhlím instalovaný na rozhraní mezi čistící jednotkou a vnitřním prostorem rukavicového boxu pro zabránění prostupu prachových částic z boxu do čistící jednotky a pro záchyt menšího množství par organických rozpouštědel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553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1531FD1C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D38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Minimální průtok plynu prošlého čistící jednotkou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69F" w14:textId="3ECF1BA4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>30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 xml:space="preserve"> m</w:t>
            </w:r>
            <w:r w:rsidRPr="00DB1072">
              <w:rPr>
                <w:rFonts w:eastAsia="Times New Roman" w:cstheme="minorHAnsi"/>
                <w:i/>
                <w:iCs/>
                <w:vertAlign w:val="superscript"/>
                <w:lang w:eastAsia="cs-CZ"/>
              </w:rPr>
              <w:t>3</w:t>
            </w:r>
            <w:r w:rsidRPr="00DB1072">
              <w:rPr>
                <w:rFonts w:eastAsia="Times New Roman" w:cstheme="minorHAnsi"/>
                <w:i/>
                <w:iCs/>
                <w:lang w:eastAsia="cs-CZ"/>
              </w:rPr>
              <w:t>/h</w:t>
            </w:r>
          </w:p>
        </w:tc>
      </w:tr>
      <w:tr w:rsidR="00C01923" w:rsidRPr="00DB1072" w14:paraId="1F529316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C941" w14:textId="0BF0CA33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Nasávání plynu do čistící jednotky z ho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rní poloviny čištěného prostoru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914A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55295B6B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63E" w14:textId="53A2D3A9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Přívod přečištěného plynu z čistící jednotky do spodní polovin</w:t>
            </w:r>
            <w:r>
              <w:rPr>
                <w:rFonts w:eastAsia="Times New Roman" w:cstheme="minorHAnsi"/>
                <w:i/>
                <w:iCs/>
                <w:lang w:eastAsia="cs-CZ"/>
              </w:rPr>
              <w:t>y čištěného prostoru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BA8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72A52960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B56" w14:textId="77777777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Průchodka NW40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890" w14:textId="77777777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DB1072">
              <w:rPr>
                <w:rFonts w:eastAsia="Times New Roman" w:cstheme="minorHAnsi"/>
                <w:i/>
                <w:iCs/>
                <w:lang w:eastAsia="cs-CZ"/>
              </w:rPr>
              <w:t>ANO</w:t>
            </w:r>
          </w:p>
        </w:tc>
      </w:tr>
      <w:tr w:rsidR="00C01923" w:rsidRPr="00DB1072" w14:paraId="54AEC4F1" w14:textId="77777777" w:rsidTr="00DB1072">
        <w:trPr>
          <w:trHeight w:val="37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2E1" w14:textId="47A77E84" w:rsidR="00C01923" w:rsidRPr="00DB1072" w:rsidRDefault="00C01923" w:rsidP="00C01923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eastAsia="Times New Roman" w:cstheme="minorHAnsi"/>
                <w:i/>
                <w:iCs/>
                <w:lang w:eastAsia="cs-CZ"/>
              </w:rPr>
              <w:t xml:space="preserve">Hodnota čistoty a stability </w:t>
            </w:r>
            <w:r w:rsidRPr="00733E31">
              <w:rPr>
                <w:rFonts w:eastAsia="Times New Roman" w:cstheme="minorHAnsi"/>
                <w:i/>
                <w:iCs/>
                <w:lang w:eastAsia="cs-CZ"/>
              </w:rPr>
              <w:t xml:space="preserve">vnitřní atmosféry boxu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611E" w14:textId="12477B9B" w:rsidR="00C01923" w:rsidRPr="00DB1072" w:rsidRDefault="00C01923" w:rsidP="00C0192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˂ </w:t>
            </w:r>
            <w:r w:rsidRPr="00733E31">
              <w:rPr>
                <w:rFonts w:eastAsia="Times New Roman" w:cstheme="minorHAnsi"/>
                <w:i/>
                <w:iCs/>
                <w:lang w:eastAsia="cs-CZ"/>
              </w:rPr>
              <w:t xml:space="preserve">1 </w:t>
            </w:r>
            <w:proofErr w:type="spellStart"/>
            <w:r w:rsidRPr="00733E31">
              <w:rPr>
                <w:rFonts w:eastAsia="Times New Roman" w:cstheme="minorHAnsi"/>
                <w:i/>
                <w:iCs/>
                <w:lang w:eastAsia="cs-CZ"/>
              </w:rPr>
              <w:t>ppm</w:t>
            </w:r>
            <w:proofErr w:type="spellEnd"/>
            <w:r w:rsidRPr="00733E31">
              <w:rPr>
                <w:rFonts w:eastAsia="Times New Roman" w:cstheme="minorHAnsi"/>
                <w:i/>
                <w:iCs/>
                <w:lang w:eastAsia="cs-CZ"/>
              </w:rPr>
              <w:t xml:space="preserve"> O</w:t>
            </w:r>
            <w:r w:rsidRPr="00733E31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 xml:space="preserve">2 </w:t>
            </w:r>
            <w:r w:rsidRPr="00733E31">
              <w:rPr>
                <w:rFonts w:eastAsia="Times New Roman" w:cstheme="minorHAnsi"/>
                <w:i/>
                <w:iCs/>
                <w:lang w:eastAsia="cs-CZ"/>
              </w:rPr>
              <w:t xml:space="preserve">a 1 </w:t>
            </w:r>
            <w:proofErr w:type="spellStart"/>
            <w:r w:rsidRPr="00733E31">
              <w:rPr>
                <w:rFonts w:eastAsia="Times New Roman" w:cstheme="minorHAnsi"/>
                <w:i/>
                <w:iCs/>
                <w:lang w:eastAsia="cs-CZ"/>
              </w:rPr>
              <w:t>ppm</w:t>
            </w:r>
            <w:proofErr w:type="spellEnd"/>
            <w:r w:rsidRPr="00733E31">
              <w:rPr>
                <w:rFonts w:eastAsia="Times New Roman" w:cstheme="minorHAnsi"/>
                <w:i/>
                <w:iCs/>
                <w:lang w:eastAsia="cs-CZ"/>
              </w:rPr>
              <w:t xml:space="preserve"> H</w:t>
            </w:r>
            <w:r w:rsidRPr="00733E31">
              <w:rPr>
                <w:rFonts w:eastAsia="Times New Roman" w:cstheme="minorHAnsi"/>
                <w:i/>
                <w:iCs/>
                <w:vertAlign w:val="subscript"/>
                <w:lang w:eastAsia="cs-CZ"/>
              </w:rPr>
              <w:t>2</w:t>
            </w:r>
            <w:r w:rsidRPr="00733E31">
              <w:rPr>
                <w:rFonts w:eastAsia="Times New Roman" w:cstheme="minorHAnsi"/>
                <w:i/>
                <w:iCs/>
                <w:lang w:eastAsia="cs-CZ"/>
              </w:rPr>
              <w:t>O</w:t>
            </w:r>
          </w:p>
        </w:tc>
      </w:tr>
    </w:tbl>
    <w:p w14:paraId="70D5DFDB" w14:textId="23667B3A" w:rsidR="00DB1072" w:rsidRPr="006D1608" w:rsidRDefault="00DB1072" w:rsidP="00222734">
      <w:pPr>
        <w:spacing w:before="180" w:after="60"/>
        <w:jc w:val="both"/>
        <w:rPr>
          <w:rFonts w:cstheme="minorHAnsi"/>
          <w:b/>
          <w:bCs/>
          <w:i/>
        </w:rPr>
      </w:pPr>
    </w:p>
    <w:sectPr w:rsidR="00DB1072" w:rsidRPr="006D1608" w:rsidSect="00AE4B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6042" w14:textId="77777777" w:rsidR="00041544" w:rsidRDefault="00041544" w:rsidP="00AE4BFB">
      <w:pPr>
        <w:spacing w:after="0" w:line="240" w:lineRule="auto"/>
      </w:pPr>
      <w:r>
        <w:separator/>
      </w:r>
    </w:p>
  </w:endnote>
  <w:endnote w:type="continuationSeparator" w:id="0">
    <w:p w14:paraId="4C1C636E" w14:textId="77777777" w:rsidR="00041544" w:rsidRDefault="00041544" w:rsidP="00AE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61C60" w14:textId="77777777" w:rsidR="00041544" w:rsidRDefault="00041544" w:rsidP="00AE4BFB">
      <w:pPr>
        <w:spacing w:after="0" w:line="240" w:lineRule="auto"/>
      </w:pPr>
      <w:r>
        <w:separator/>
      </w:r>
    </w:p>
  </w:footnote>
  <w:footnote w:type="continuationSeparator" w:id="0">
    <w:p w14:paraId="1B110E9F" w14:textId="77777777" w:rsidR="00041544" w:rsidRDefault="00041544" w:rsidP="00AE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FE3B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180C6C"/>
    <w:multiLevelType w:val="hybridMultilevel"/>
    <w:tmpl w:val="FDDECE64"/>
    <w:lvl w:ilvl="0" w:tplc="9B1C06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5CB0"/>
    <w:multiLevelType w:val="hybridMultilevel"/>
    <w:tmpl w:val="6F9A0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E20"/>
    <w:multiLevelType w:val="hybridMultilevel"/>
    <w:tmpl w:val="A1AA73AC"/>
    <w:lvl w:ilvl="0" w:tplc="77768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5F18"/>
    <w:multiLevelType w:val="hybridMultilevel"/>
    <w:tmpl w:val="5950DCF4"/>
    <w:lvl w:ilvl="0" w:tplc="04050011">
      <w:start w:val="1"/>
      <w:numFmt w:val="decimal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E206EEA"/>
    <w:multiLevelType w:val="multilevel"/>
    <w:tmpl w:val="936CFA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14A"/>
    <w:multiLevelType w:val="multilevel"/>
    <w:tmpl w:val="BC602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851632C"/>
    <w:multiLevelType w:val="multilevel"/>
    <w:tmpl w:val="02480206"/>
    <w:lvl w:ilvl="0">
      <w:start w:val="1"/>
      <w:numFmt w:val="decimal"/>
      <w:lvlText w:val="1.1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none"/>
      <w:lvlText w:val="2.1.1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3B5A3D9A"/>
    <w:multiLevelType w:val="multilevel"/>
    <w:tmpl w:val="1EA29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E6971"/>
    <w:multiLevelType w:val="multilevel"/>
    <w:tmpl w:val="CA6C1F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1A4D"/>
    <w:multiLevelType w:val="hybridMultilevel"/>
    <w:tmpl w:val="B53C72B8"/>
    <w:lvl w:ilvl="0" w:tplc="6268AF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A2EE6"/>
    <w:multiLevelType w:val="multilevel"/>
    <w:tmpl w:val="DA4A0B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120B7D"/>
    <w:multiLevelType w:val="multilevel"/>
    <w:tmpl w:val="EA1CCC06"/>
    <w:lvl w:ilvl="0">
      <w:start w:val="1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19"/>
    <w:rsid w:val="00041544"/>
    <w:rsid w:val="00106F8C"/>
    <w:rsid w:val="00164843"/>
    <w:rsid w:val="001A27C0"/>
    <w:rsid w:val="001D5038"/>
    <w:rsid w:val="001F42DB"/>
    <w:rsid w:val="00201A49"/>
    <w:rsid w:val="00222734"/>
    <w:rsid w:val="00251785"/>
    <w:rsid w:val="00272BA7"/>
    <w:rsid w:val="00277A70"/>
    <w:rsid w:val="00290C54"/>
    <w:rsid w:val="002A66A2"/>
    <w:rsid w:val="00307AF9"/>
    <w:rsid w:val="00386C84"/>
    <w:rsid w:val="003C37E2"/>
    <w:rsid w:val="003C45CB"/>
    <w:rsid w:val="004D027A"/>
    <w:rsid w:val="00525712"/>
    <w:rsid w:val="005C2262"/>
    <w:rsid w:val="005F04BD"/>
    <w:rsid w:val="006068DE"/>
    <w:rsid w:val="006B2BF7"/>
    <w:rsid w:val="006B3324"/>
    <w:rsid w:val="006D1608"/>
    <w:rsid w:val="006D780C"/>
    <w:rsid w:val="00733E31"/>
    <w:rsid w:val="007B3D30"/>
    <w:rsid w:val="007B543E"/>
    <w:rsid w:val="007C4C11"/>
    <w:rsid w:val="007E2787"/>
    <w:rsid w:val="008A0047"/>
    <w:rsid w:val="008D4B3B"/>
    <w:rsid w:val="008D7104"/>
    <w:rsid w:val="008F2999"/>
    <w:rsid w:val="008F615E"/>
    <w:rsid w:val="009803DD"/>
    <w:rsid w:val="009B4F25"/>
    <w:rsid w:val="009C6A5A"/>
    <w:rsid w:val="00A11293"/>
    <w:rsid w:val="00A95593"/>
    <w:rsid w:val="00A96D39"/>
    <w:rsid w:val="00AA3E04"/>
    <w:rsid w:val="00AB1469"/>
    <w:rsid w:val="00AB47D1"/>
    <w:rsid w:val="00AB6540"/>
    <w:rsid w:val="00AD5684"/>
    <w:rsid w:val="00AE4BFB"/>
    <w:rsid w:val="00B27790"/>
    <w:rsid w:val="00BA64C1"/>
    <w:rsid w:val="00C01923"/>
    <w:rsid w:val="00C033B6"/>
    <w:rsid w:val="00C7441B"/>
    <w:rsid w:val="00C84CF4"/>
    <w:rsid w:val="00D11E52"/>
    <w:rsid w:val="00D45E50"/>
    <w:rsid w:val="00D54D6F"/>
    <w:rsid w:val="00D65B47"/>
    <w:rsid w:val="00D7426E"/>
    <w:rsid w:val="00DB046F"/>
    <w:rsid w:val="00DB1072"/>
    <w:rsid w:val="00DB132D"/>
    <w:rsid w:val="00DE792D"/>
    <w:rsid w:val="00E172AC"/>
    <w:rsid w:val="00E3104E"/>
    <w:rsid w:val="00E44285"/>
    <w:rsid w:val="00E57854"/>
    <w:rsid w:val="00E83919"/>
    <w:rsid w:val="00E94F4E"/>
    <w:rsid w:val="00FB78F7"/>
    <w:rsid w:val="00FD795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8A18"/>
  <w15:chartTrackingRefBased/>
  <w15:docId w15:val="{2FF80B55-7301-44C0-86FD-3B9E1D0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7E2"/>
  </w:style>
  <w:style w:type="paragraph" w:styleId="Nadpis2">
    <w:name w:val="heading 2"/>
    <w:basedOn w:val="Normln"/>
    <w:link w:val="Nadpis2Char"/>
    <w:uiPriority w:val="99"/>
    <w:qFormat/>
    <w:rsid w:val="009803DD"/>
    <w:pPr>
      <w:spacing w:before="180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803DD"/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paragraph" w:styleId="Odstavecseseznamem">
    <w:name w:val="List Paragraph"/>
    <w:basedOn w:val="Normln"/>
    <w:uiPriority w:val="99"/>
    <w:qFormat/>
    <w:rsid w:val="009803DD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Seznamsodrkami2">
    <w:name w:val="List Bullet 2"/>
    <w:aliases w:val="a-odrazky2"/>
    <w:basedOn w:val="Normln"/>
    <w:uiPriority w:val="99"/>
    <w:rsid w:val="009803DD"/>
    <w:pPr>
      <w:numPr>
        <w:numId w:val="1"/>
      </w:numPr>
      <w:spacing w:after="200" w:line="276" w:lineRule="auto"/>
    </w:pPr>
    <w:rPr>
      <w:rFonts w:ascii="Calibri" w:eastAsia="Calibri" w:hAnsi="Calibri" w:cs="Times New Roman"/>
      <w:lang w:eastAsia="cs-CZ"/>
    </w:rPr>
  </w:style>
  <w:style w:type="paragraph" w:customStyle="1" w:styleId="a-odrazky2Zarovnatdobloku">
    <w:name w:val="a-odrazky2 + Zarovnat do bloku"/>
    <w:basedOn w:val="Seznamsodrkami2"/>
    <w:uiPriority w:val="99"/>
    <w:rsid w:val="009803DD"/>
    <w:pPr>
      <w:jc w:val="both"/>
    </w:pPr>
    <w:rPr>
      <w:szCs w:val="20"/>
    </w:rPr>
  </w:style>
  <w:style w:type="paragraph" w:styleId="Prosttext">
    <w:name w:val="Plain Text"/>
    <w:basedOn w:val="Normln"/>
    <w:link w:val="ProsttextChar"/>
    <w:rsid w:val="009803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803D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E172A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BFB"/>
  </w:style>
  <w:style w:type="paragraph" w:styleId="Zpat">
    <w:name w:val="footer"/>
    <w:basedOn w:val="Normln"/>
    <w:link w:val="ZpatChar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BFB"/>
  </w:style>
  <w:style w:type="character" w:styleId="Odkaznakoment">
    <w:name w:val="annotation reference"/>
    <w:basedOn w:val="Standardnpsmoodstavce"/>
    <w:uiPriority w:val="99"/>
    <w:semiHidden/>
    <w:unhideWhenUsed/>
    <w:rsid w:val="008F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1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1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1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Lisá Hana (25259)</dc:creator>
  <cp:keywords/>
  <dc:description/>
  <cp:lastModifiedBy>Rudá Oxana (143120)</cp:lastModifiedBy>
  <cp:revision>16</cp:revision>
  <cp:lastPrinted>2019-06-11T10:33:00Z</cp:lastPrinted>
  <dcterms:created xsi:type="dcterms:W3CDTF">2019-06-19T14:29:00Z</dcterms:created>
  <dcterms:modified xsi:type="dcterms:W3CDTF">2019-07-29T13:31:00Z</dcterms:modified>
</cp:coreProperties>
</file>