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4348/SFDI/310157/9314/2019</w:t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>
              <w:rPr>
                <w:rFonts w:ascii="Arial" w:hAnsi="Arial" w:cs="Arial"/>
                <w:b w:val="0"/>
              </w:rPr>
              <w:t>239/2019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Ing. Jan Fančo</w:t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266 097 529 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5. 8. 2019</w:t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cs="Arial"/>
          <w:b/>
        </w:rPr>
      </w:pPr>
      <w:r>
        <w:rPr>
          <w:rFonts w:cs="Arial"/>
          <w:b/>
        </w:rPr>
        <w:t>Objednávka Vozidla na operativní leasing</w:t>
      </w:r>
    </w:p>
    <w:p>
      <w:pPr>
        <w:spacing w:after="120"/>
        <w:rPr>
          <w:rFonts w:cs="Arial"/>
        </w:rPr>
      </w:pP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Na základě uzavřené Rámcové dohody CES SFDI 19/2019 ze dne </w:t>
      </w:r>
      <w:r>
        <w:rPr>
          <w:rFonts w:cs="Arial"/>
          <w:sz w:val="20"/>
        </w:rPr>
        <w:t>2. 8. 2019</w:t>
      </w:r>
      <w:r>
        <w:rPr>
          <w:rFonts w:cs="Arial"/>
        </w:rPr>
        <w:t xml:space="preserve"> (dále jen „Smlouva“) Vás tímto </w:t>
      </w:r>
      <w:r>
        <w:rPr>
          <w:rFonts w:cs="Arial"/>
          <w:szCs w:val="22"/>
        </w:rPr>
        <w:t xml:space="preserve">v souladu s  čl. IV. Smlouvy Vás vyzývám k poskytnutí plnění. </w:t>
      </w:r>
      <w:r>
        <w:rPr>
          <w:rFonts w:cs="Arial"/>
        </w:rPr>
        <w:t xml:space="preserve">Předmět plnění je Leasing Vozidla </w:t>
      </w:r>
      <w:proofErr w:type="spellStart"/>
      <w:r>
        <w:rPr>
          <w:rFonts w:cs="Arial"/>
        </w:rPr>
        <w:t>Karoq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Active</w:t>
      </w:r>
      <w:proofErr w:type="spellEnd"/>
      <w:r>
        <w:rPr>
          <w:rFonts w:cs="Arial"/>
        </w:rPr>
        <w:t xml:space="preserve"> 2.0 TDI 110kw 7DSG 4x4 blíže specifikovaného v příloze č. 1 Smlouvy.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Parametry Leasingu: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72"/>
      </w:tblGrid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Doba trvání leasingu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36 měsíců ode dne převzetí Vozidla Nájemcem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Předpokládaný proběh kilometrů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90 000 km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Výše měsíčního nájemného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11 551,91 Kč bez DPH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Datum dodání Vozidla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nejpozději do 5 měsíců od účinnosti Dílčí smlouvy, nedohodnou-li se Strany smlouvy jinak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Místo dodání Vozidla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sídlo Nájemce</w:t>
            </w:r>
          </w:p>
        </w:tc>
      </w:tr>
    </w:tbl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  <w:r>
        <w:rPr>
          <w:rFonts w:cs="Arial"/>
        </w:rPr>
        <w:t>Akceptací této Objednávky Pronajímatel potvrzuje, že se seznámil s obsahem požadavků Nájemce, že je schopen je beze zbytku splnit, akceptuje je a zavazuje se je plnit v souladu s touto Objednávkou a Smlouvou.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Okamžikem akceptace této Objednávky Pronajímatelem se tato Objednávka považuje za Dílčí smlouvu ve smyslu čl. IV Smlouvy. 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Dílčí smlouvu lze měnit pouze písemnými dodatky podepsanými odpovědnými zástupci Nájemce a Pronajímatele. Za změnu Dílčí smlouvy lze považovat pouze změnu doby trvání leasingu, změnu předpokládaného proběhu kilometrů a s tím související změnu výše měsíčního nájemného dle odst. 5.8 písm. b) Smlouvy.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Otázky neupravené touto Dílčí smlouvou se v plném rozsahu řídí Smlouvou. 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Detaily o konkrétním poskytnutém Vozidle (výrobce, typ/model, VIN, číslo karoserie, číslo technického průkazu, barva, registrační značka) budou uvedeny v Předávacím protokolu dle odst. 7.8 Smlouvy.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Pronajímatel je povinen na fakturu uvést následující větu: „Zakázka je spolufinancována z prostředků Technické pomoci OP Doprava 2014-2020 v rámci projektu Technická pomoc ZS OPD 2016-2023 číslo CZ.04.4.125/0.0/0.0/15_005/0000002“ </w:t>
      </w:r>
      <w:r>
        <w:rPr>
          <w:rFonts w:cs="Arial"/>
          <w:i/>
          <w:szCs w:val="22"/>
        </w:rPr>
        <w:t>– minimálně „TP OPD CZ.04.4.125/0.0/0.0/15_005/0000002)“</w:t>
      </w:r>
      <w:r>
        <w:rPr>
          <w:rFonts w:cs="Arial"/>
          <w:szCs w:val="22"/>
        </w:rPr>
        <w:t>.</w:t>
      </w: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  <w:r>
        <w:rPr>
          <w:rFonts w:cs="Arial"/>
        </w:rPr>
        <w:t>Tímto Vás žádám o potvrzení přijetí a akceptaci této Objednávky (viz poslední strana). Po akceptaci bude Dílčí smlouva uveřejněna v registru smluv v souladu se zákonem č. 340/2015 Sb., Zákon o zvláštních podmínkách účinnosti některých smluv, uveřejňování těchto smluv a o registru smluv (zákon o registru smluv), ve znění pozdějších předpisů.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Dílčí smlouva je platná ode dne jejího podpisu a účinná dnem uveřejnění v registru dle předchozího odstavce.</w:t>
      </w:r>
    </w:p>
    <w:p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tbl>
      <w:tblPr>
        <w:tblW w:w="9311" w:type="dxa"/>
        <w:jc w:val="center"/>
        <w:tblInd w:w="-3706" w:type="dxa"/>
        <w:tblLook w:val="01E0" w:firstRow="1" w:lastRow="1" w:firstColumn="1" w:lastColumn="1" w:noHBand="0" w:noVBand="0"/>
      </w:tblPr>
      <w:tblGrid>
        <w:gridCol w:w="9311"/>
      </w:tblGrid>
      <w:tr>
        <w:trPr>
          <w:trHeight w:val="290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Nájemce:</w:t>
            </w:r>
          </w:p>
        </w:tc>
      </w:tr>
      <w:tr>
        <w:trPr>
          <w:trHeight w:val="388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Praze dne …………………………</w:t>
            </w:r>
          </w:p>
        </w:tc>
      </w:tr>
      <w:tr>
        <w:trPr>
          <w:trHeight w:val="1481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</w:t>
            </w:r>
          </w:p>
        </w:tc>
      </w:tr>
      <w:tr>
        <w:trPr>
          <w:trHeight w:val="318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Státní fond dopravní infrastruktury</w:t>
            </w:r>
          </w:p>
        </w:tc>
      </w:tr>
      <w:tr>
        <w:trPr>
          <w:trHeight w:val="332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Ing. Zbyněk Hořelica</w:t>
            </w:r>
          </w:p>
        </w:tc>
      </w:tr>
      <w:tr>
        <w:trPr>
          <w:trHeight w:val="290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Ředitel</w:t>
            </w:r>
          </w:p>
        </w:tc>
      </w:tr>
    </w:tbl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Pronajímatel:</w:t>
      </w:r>
    </w:p>
    <w:p>
      <w:pPr>
        <w:rPr>
          <w:szCs w:val="22"/>
        </w:rPr>
      </w:pPr>
      <w:proofErr w:type="spellStart"/>
      <w:r>
        <w:rPr>
          <w:rStyle w:val="preformatted"/>
          <w:rFonts w:cs="Arial"/>
          <w:b/>
        </w:rPr>
        <w:t>ŠkoFIN</w:t>
      </w:r>
      <w:proofErr w:type="spellEnd"/>
      <w:r>
        <w:rPr>
          <w:rStyle w:val="preformatted"/>
          <w:rFonts w:cs="Arial"/>
          <w:b/>
        </w:rPr>
        <w:t xml:space="preserve"> s.r.o.</w:t>
      </w:r>
      <w:r>
        <w:rPr>
          <w:rStyle w:val="preformatted"/>
          <w:rFonts w:cs="Arial"/>
          <w:b/>
        </w:rPr>
        <w:tab/>
      </w:r>
    </w:p>
    <w:p>
      <w:pPr>
        <w:spacing w:before="120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Se sídlem: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Pekařská 635/6, Praha 5 – Jinonice, 155 00</w:t>
      </w:r>
    </w:p>
    <w:p>
      <w:pPr>
        <w:spacing w:after="200" w:line="276" w:lineRule="auto"/>
        <w:contextualSpacing/>
      </w:pPr>
      <w:r>
        <w:t xml:space="preserve">zastoupená:      </w:t>
      </w:r>
      <w:r>
        <w:tab/>
        <w:t xml:space="preserve">panem </w:t>
      </w:r>
      <w:r>
        <w:rPr>
          <w:b/>
          <w:bCs/>
        </w:rPr>
        <w:t>Janem Pařízkem</w:t>
      </w:r>
      <w:r>
        <w:t>, na základě Pověření ze dne 21. 11. 2018</w:t>
      </w:r>
    </w:p>
    <w:p>
      <w:pPr>
        <w:spacing w:after="200" w:line="276" w:lineRule="auto"/>
        <w:ind w:left="1416" w:firstLine="708"/>
        <w:contextualSpacing/>
      </w:pPr>
      <w:r>
        <w:t xml:space="preserve">panem </w:t>
      </w:r>
      <w:r>
        <w:rPr>
          <w:b/>
          <w:bCs/>
        </w:rPr>
        <w:t>Michalem Farkačem</w:t>
      </w:r>
      <w:r>
        <w:t>, na základě Pověření ze dne 11. 1. 2019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IČO: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45805369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DIČ: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CZ45805369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Bankovní spojení: </w:t>
      </w:r>
      <w:r>
        <w:rPr>
          <w:rFonts w:cs="Arial"/>
          <w:szCs w:val="22"/>
          <w:lang w:eastAsia="cs-CZ" w:bidi="ar-SA"/>
        </w:rPr>
        <w:tab/>
      </w:r>
      <w:proofErr w:type="spellStart"/>
      <w:r>
        <w:rPr>
          <w:rFonts w:cs="Arial"/>
          <w:szCs w:val="22"/>
          <w:lang w:eastAsia="cs-CZ" w:bidi="ar-SA"/>
        </w:rPr>
        <w:t>xxx</w:t>
      </w:r>
      <w:proofErr w:type="spellEnd"/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číslo účtu: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proofErr w:type="spellStart"/>
      <w:r>
        <w:rPr>
          <w:rFonts w:cs="Arial"/>
          <w:szCs w:val="22"/>
          <w:lang w:eastAsia="cs-CZ" w:bidi="ar-SA"/>
        </w:rPr>
        <w:t>xxx</w:t>
      </w:r>
      <w:bookmarkStart w:id="0" w:name="_GoBack"/>
      <w:bookmarkEnd w:id="0"/>
      <w:proofErr w:type="spellEnd"/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jc w:val="both"/>
        <w:rPr>
          <w:rFonts w:cs="Arial"/>
          <w:szCs w:val="22"/>
        </w:rPr>
      </w:pPr>
    </w:p>
    <w:p>
      <w:pPr>
        <w:jc w:val="both"/>
        <w:rPr>
          <w:rFonts w:cs="Arial"/>
          <w:szCs w:val="22"/>
        </w:rPr>
      </w:pPr>
      <w:r>
        <w:rPr>
          <w:rFonts w:cs="Arial"/>
          <w:sz w:val="20"/>
          <w:szCs w:val="22"/>
        </w:rPr>
        <w:lastRenderedPageBreak/>
        <w:t>Kód a název komodity dle číselníku NIPEZ: 66114000-2 - Finanční leasing | 34113000-2 - Vozidla s pohonem čtyř kol</w:t>
      </w:r>
    </w:p>
    <w:p>
      <w:pPr>
        <w:spacing w:before="1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  <w:r>
        <w:rPr>
          <w:rFonts w:cs="Arial"/>
          <w:b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cs="Arial"/>
          <w:szCs w:val="22"/>
        </w:rPr>
      </w:pPr>
    </w:p>
    <w:p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Tímto potvrzuji přijetí objednávky CEO ………… a akceptuji tak veškerá její ustanovení.</w:t>
      </w:r>
    </w:p>
    <w:p>
      <w:pPr>
        <w:spacing w:before="120"/>
        <w:jc w:val="both"/>
        <w:rPr>
          <w:rFonts w:cs="Arial"/>
          <w:szCs w:val="22"/>
        </w:rPr>
      </w:pPr>
    </w:p>
    <w:p>
      <w:pPr>
        <w:spacing w:before="120"/>
        <w:jc w:val="both"/>
        <w:rPr>
          <w:rFonts w:cs="Arial"/>
          <w:szCs w:val="22"/>
        </w:rPr>
      </w:pPr>
    </w:p>
    <w:p>
      <w:pPr>
        <w:spacing w:before="120"/>
        <w:jc w:val="both"/>
        <w:rPr>
          <w:rFonts w:cs="Arial"/>
          <w:szCs w:val="22"/>
        </w:rPr>
      </w:pPr>
    </w:p>
    <w:tbl>
      <w:tblPr>
        <w:tblW w:w="9227" w:type="dxa"/>
        <w:jc w:val="center"/>
        <w:tblInd w:w="-319" w:type="dxa"/>
        <w:tblLook w:val="01E0" w:firstRow="1" w:lastRow="1" w:firstColumn="1" w:lastColumn="1" w:noHBand="0" w:noVBand="0"/>
      </w:tblPr>
      <w:tblGrid>
        <w:gridCol w:w="9227"/>
      </w:tblGrid>
      <w:tr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Pronajímatele:</w:t>
            </w:r>
          </w:p>
        </w:tc>
      </w:tr>
      <w:tr>
        <w:trPr>
          <w:trHeight w:val="388"/>
          <w:jc w:val="center"/>
        </w:trPr>
        <w:tc>
          <w:tcPr>
            <w:tcW w:w="9227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……………</w:t>
            </w:r>
            <w:proofErr w:type="gramStart"/>
            <w:r>
              <w:rPr>
                <w:rFonts w:cs="Arial"/>
                <w:szCs w:val="22"/>
              </w:rPr>
              <w:t>….. dne</w:t>
            </w:r>
            <w:proofErr w:type="gramEnd"/>
            <w:r>
              <w:rPr>
                <w:rFonts w:cs="Arial"/>
                <w:szCs w:val="22"/>
              </w:rPr>
              <w:t>…………………</w:t>
            </w:r>
          </w:p>
        </w:tc>
      </w:tr>
      <w:tr>
        <w:trPr>
          <w:trHeight w:val="1481"/>
          <w:jc w:val="center"/>
        </w:trPr>
        <w:tc>
          <w:tcPr>
            <w:tcW w:w="9227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>
        <w:trPr>
          <w:trHeight w:val="318"/>
          <w:jc w:val="center"/>
        </w:trPr>
        <w:tc>
          <w:tcPr>
            <w:tcW w:w="9227" w:type="dxa"/>
            <w:vAlign w:val="bottom"/>
            <w:hideMark/>
          </w:tcPr>
          <w:p>
            <w:pPr>
              <w:jc w:val="both"/>
              <w:rPr>
                <w:b/>
                <w:color w:val="1F497D"/>
                <w:szCs w:val="22"/>
              </w:rPr>
            </w:pPr>
            <w:r>
              <w:rPr>
                <w:rFonts w:cs="Arial"/>
                <w:b/>
                <w:i/>
                <w:sz w:val="20"/>
              </w:rPr>
              <w:t>Škofin s.r.o.</w:t>
            </w:r>
          </w:p>
        </w:tc>
      </w:tr>
      <w:tr>
        <w:trPr>
          <w:trHeight w:val="332"/>
          <w:jc w:val="center"/>
        </w:trPr>
        <w:tc>
          <w:tcPr>
            <w:tcW w:w="9227" w:type="dxa"/>
            <w:vAlign w:val="bottom"/>
            <w:hideMark/>
          </w:tcPr>
          <w:p>
            <w:pPr>
              <w:jc w:val="both"/>
              <w:rPr>
                <w:rFonts w:cs="Arial"/>
                <w:i/>
                <w:sz w:val="20"/>
                <w:szCs w:val="20"/>
                <w:lang w:eastAsia="cs-CZ" w:bidi="ar-SA"/>
              </w:rPr>
            </w:pPr>
            <w:r>
              <w:rPr>
                <w:rFonts w:cs="Arial"/>
                <w:i/>
                <w:sz w:val="20"/>
                <w:szCs w:val="20"/>
              </w:rPr>
              <w:t>Michalem Farkačem</w:t>
            </w:r>
          </w:p>
        </w:tc>
      </w:tr>
      <w:tr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>
            <w:pPr>
              <w:jc w:val="both"/>
              <w:rPr>
                <w:rFonts w:cs="Arial"/>
                <w:i/>
                <w:sz w:val="20"/>
                <w:szCs w:val="20"/>
                <w:lang w:eastAsia="cs-CZ" w:bidi="ar-SA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Head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sales</w:t>
            </w:r>
          </w:p>
        </w:tc>
      </w:tr>
    </w:tbl>
    <w:p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p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04277"/>
      <w:docPartObj>
        <w:docPartGallery w:val="Page Numbers (Bottom of Page)"/>
        <w:docPartUnique/>
      </w:docPartObj>
    </w:sdtPr>
    <w:sdtContent>
      <w:p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</w:rPr>
    </w:pPr>
    <w:r>
      <w:rPr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color w:val="003378"/>
        <w:sz w:val="16"/>
        <w:szCs w:val="16"/>
      </w:rPr>
      <w:t>190 00  Praha</w:t>
    </w:r>
    <w:proofErr w:type="gramEnd"/>
    <w:r>
      <w:rPr>
        <w:color w:val="003378"/>
        <w:sz w:val="16"/>
        <w:szCs w:val="16"/>
      </w:rPr>
      <w:t xml:space="preserve"> 9</w:t>
    </w:r>
  </w:p>
  <w:p>
    <w:pPr>
      <w:jc w:val="center"/>
      <w:rPr>
        <w:rFonts w:cs="Arial"/>
        <w:color w:val="003378"/>
        <w:sz w:val="16"/>
        <w:szCs w:val="16"/>
      </w:rPr>
    </w:pPr>
    <w:r>
      <w:rPr>
        <w:rFonts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cs="Arial"/>
          <w:color w:val="003378"/>
          <w:spacing w:val="1"/>
          <w:sz w:val="16"/>
          <w:szCs w:val="16"/>
        </w:rPr>
        <w:t>www.sfdi.cz</w:t>
      </w:r>
    </w:hyperlink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 w:bidi="ar-SA"/>
      </w:rPr>
      <w:drawing>
        <wp:inline distT="0" distB="0" distL="0" distR="0">
          <wp:extent cx="5747385" cy="926465"/>
          <wp:effectExtent l="0" t="0" r="5715" b="6985"/>
          <wp:docPr id="3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4E8678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31F240CC"/>
    <w:multiLevelType w:val="hybridMultilevel"/>
    <w:tmpl w:val="3B8E1838"/>
    <w:lvl w:ilvl="0" w:tplc="66CAC51C">
      <w:start w:val="1"/>
      <w:numFmt w:val="decimal"/>
      <w:pStyle w:val="Te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b/>
      <w:sz w:val="26"/>
      <w:szCs w:val="20"/>
      <w:lang w:bidi="ar-SA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jc w:val="both"/>
      <w:outlineLvl w:val="5"/>
    </w:pPr>
    <w:rPr>
      <w:b/>
      <w:bCs/>
      <w:color w:val="000000"/>
      <w:szCs w:val="22"/>
      <w:lang w:bidi="ar-SA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b/>
      <w:bCs/>
      <w:sz w:val="32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spacing w:before="120" w:after="120" w:line="276" w:lineRule="auto"/>
      <w:jc w:val="both"/>
    </w:pPr>
    <w:rPr>
      <w:rFonts w:ascii="Cambria" w:eastAsia="Cambria" w:hAnsi="Cambria"/>
      <w:szCs w:val="22"/>
      <w:lang w:bidi="ar-SA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pPr>
      <w:spacing w:before="120"/>
      <w:ind w:firstLine="567"/>
      <w:jc w:val="both"/>
    </w:pPr>
    <w:rPr>
      <w:rFonts w:ascii="Times New Roman" w:hAnsi="Times New Roman"/>
      <w:sz w:val="24"/>
      <w:lang w:bidi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preformatted">
    <w:name w:val="preformatted"/>
    <w:basedOn w:val="Standardnpsmoodstavce"/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  <w:sz w:val="22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22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bidi="en-US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b/>
      <w:sz w:val="26"/>
      <w:szCs w:val="20"/>
      <w:lang w:bidi="ar-SA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jc w:val="both"/>
      <w:outlineLvl w:val="5"/>
    </w:pPr>
    <w:rPr>
      <w:b/>
      <w:bCs/>
      <w:color w:val="000000"/>
      <w:szCs w:val="22"/>
      <w:lang w:bidi="ar-SA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b/>
      <w:bCs/>
      <w:sz w:val="32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spacing w:before="120" w:after="120" w:line="276" w:lineRule="auto"/>
      <w:jc w:val="both"/>
    </w:pPr>
    <w:rPr>
      <w:rFonts w:ascii="Cambria" w:eastAsia="Cambria" w:hAnsi="Cambria"/>
      <w:szCs w:val="22"/>
      <w:lang w:bidi="ar-SA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pPr>
      <w:spacing w:before="120"/>
      <w:ind w:firstLine="567"/>
      <w:jc w:val="both"/>
    </w:pPr>
    <w:rPr>
      <w:rFonts w:ascii="Times New Roman" w:hAnsi="Times New Roman"/>
      <w:sz w:val="24"/>
      <w:lang w:bidi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preformatted">
    <w:name w:val="preformatted"/>
    <w:basedOn w:val="Standardnpsmoodstavce"/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  <w:sz w:val="22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22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bidi="en-US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2019-08-05T14:16:00Z</dcterms:created>
  <dcterms:modified xsi:type="dcterms:W3CDTF">2019-08-05T14:16:00Z</dcterms:modified>
</cp:coreProperties>
</file>