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2"/>
        <w:gridCol w:w="1386"/>
        <w:gridCol w:w="150"/>
        <w:gridCol w:w="371"/>
        <w:gridCol w:w="490"/>
      </w:tblGrid>
      <w:tr w:rsidR="000B3E43" w:rsidTr="000B3E43">
        <w:trPr>
          <w:trHeight w:hRule="exact" w:val="277"/>
        </w:trPr>
        <w:tc>
          <w:tcPr>
            <w:tcW w:w="7648" w:type="dxa"/>
            <w:gridSpan w:val="3"/>
            <w:shd w:val="clear" w:color="auto" w:fill="FFFFFF"/>
          </w:tcPr>
          <w:p w:rsidR="000B3E43" w:rsidRDefault="000B3E43" w:rsidP="000B3E43">
            <w:pPr>
              <w:pStyle w:val="Bodytext20"/>
              <w:shd w:val="clear" w:color="auto" w:fill="auto"/>
              <w:spacing w:before="0" w:line="178" w:lineRule="exact"/>
              <w:ind w:firstLine="0"/>
            </w:pPr>
            <w:bookmarkStart w:id="0" w:name="bookmark0"/>
            <w:r>
              <w:rPr>
                <w:rStyle w:val="Bodytext28pt"/>
              </w:rPr>
              <w:t>77/19/D/Ma</w:t>
            </w:r>
          </w:p>
        </w:tc>
        <w:tc>
          <w:tcPr>
            <w:tcW w:w="371" w:type="dxa"/>
            <w:shd w:val="clear" w:color="auto" w:fill="FFFFFF"/>
          </w:tcPr>
          <w:p w:rsidR="000B3E43" w:rsidRDefault="000B3E43" w:rsidP="000B3E43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0B3E43" w:rsidRDefault="000B3E43" w:rsidP="000B3E43">
            <w:pPr>
              <w:rPr>
                <w:sz w:val="10"/>
                <w:szCs w:val="10"/>
              </w:rPr>
            </w:pPr>
          </w:p>
        </w:tc>
      </w:tr>
      <w:tr w:rsidR="000B3E43" w:rsidTr="000B3E43">
        <w:trPr>
          <w:trHeight w:hRule="exact" w:val="59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E43" w:rsidRDefault="000B3E43" w:rsidP="000B3E43">
            <w:pPr>
              <w:pStyle w:val="Bodytext20"/>
              <w:shd w:val="clear" w:color="auto" w:fill="auto"/>
              <w:spacing w:before="0" w:line="290" w:lineRule="exact"/>
              <w:ind w:left="240" w:firstLine="0"/>
            </w:pPr>
            <w:r>
              <w:rPr>
                <w:rStyle w:val="Bodytext2Arial13ptBold"/>
              </w:rPr>
              <w:t>DODATEK č. 1 KE SMLOUVĚ č. 818/18/D/Ma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/>
          </w:tcPr>
          <w:p w:rsidR="000B3E43" w:rsidRDefault="000B3E43" w:rsidP="000B3E43">
            <w:pPr>
              <w:rPr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FFFFFF"/>
          </w:tcPr>
          <w:p w:rsidR="000B3E43" w:rsidRDefault="000B3E43" w:rsidP="000B3E43">
            <w:pPr>
              <w:pStyle w:val="Bodytext20"/>
              <w:shd w:val="clear" w:color="auto" w:fill="auto"/>
              <w:spacing w:before="0" w:line="664" w:lineRule="exact"/>
              <w:ind w:firstLine="0"/>
            </w:pPr>
            <w:r>
              <w:rPr>
                <w:rStyle w:val="Bodytext230pt"/>
              </w:rPr>
              <w:t>Q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0B3E43" w:rsidRDefault="000B3E43" w:rsidP="000B3E43">
            <w:pPr>
              <w:pStyle w:val="Bodytext20"/>
              <w:shd w:val="clear" w:color="auto" w:fill="auto"/>
              <w:spacing w:before="0" w:line="554" w:lineRule="exact"/>
              <w:ind w:firstLine="0"/>
            </w:pPr>
            <w:r>
              <w:rPr>
                <w:rStyle w:val="Bodytext225pt"/>
              </w:rPr>
              <w:t>DíliAaaj</w:t>
            </w:r>
          </w:p>
        </w:tc>
      </w:tr>
    </w:tbl>
    <w:p w:rsidR="00B05787" w:rsidRPr="000B3E43" w:rsidRDefault="000B3E43">
      <w:pPr>
        <w:pStyle w:val="Heading10"/>
        <w:keepNext/>
        <w:keepLines/>
        <w:shd w:val="clear" w:color="auto" w:fill="auto"/>
        <w:spacing w:after="422"/>
        <w:ind w:left="6980"/>
        <w:rPr>
          <w:sz w:val="20"/>
          <w:szCs w:val="20"/>
        </w:rPr>
      </w:pPr>
      <w:r w:rsidRPr="000B3E43">
        <w:rPr>
          <w:sz w:val="20"/>
          <w:szCs w:val="20"/>
        </w:rPr>
        <w:t>2.0</w:t>
      </w:r>
      <w:bookmarkEnd w:id="0"/>
    </w:p>
    <w:p w:rsidR="00B05787" w:rsidRPr="000B3E43" w:rsidRDefault="00B05787">
      <w:pPr>
        <w:framePr w:w="9014" w:wrap="notBeside" w:vAnchor="text" w:hAnchor="text" w:xAlign="center" w:y="1"/>
        <w:rPr>
          <w:sz w:val="20"/>
          <w:szCs w:val="20"/>
        </w:rPr>
      </w:pPr>
    </w:p>
    <w:p w:rsidR="00B05787" w:rsidRPr="000B3E43" w:rsidRDefault="00B05787">
      <w:pPr>
        <w:rPr>
          <w:sz w:val="20"/>
          <w:szCs w:val="20"/>
        </w:rPr>
      </w:pPr>
    </w:p>
    <w:p w:rsidR="00B05787" w:rsidRPr="000B3E43" w:rsidRDefault="000B3E43">
      <w:pPr>
        <w:pStyle w:val="Bodytext20"/>
        <w:shd w:val="clear" w:color="auto" w:fill="auto"/>
        <w:spacing w:before="540"/>
        <w:ind w:firstLine="0"/>
        <w:rPr>
          <w:sz w:val="20"/>
          <w:szCs w:val="20"/>
        </w:rPr>
      </w:pPr>
      <w:r w:rsidRPr="000B3E43">
        <w:rPr>
          <w:sz w:val="20"/>
          <w:szCs w:val="20"/>
        </w:rPr>
        <w:t>Nositelé majetkových autorských práv k následujícímu autorskému dílu v následujících oborech autorské tvorby:</w:t>
      </w:r>
    </w:p>
    <w:p w:rsidR="00B05787" w:rsidRPr="000B3E43" w:rsidRDefault="000B3E43">
      <w:pPr>
        <w:pStyle w:val="Bodytext20"/>
        <w:shd w:val="clear" w:color="auto" w:fill="auto"/>
        <w:spacing w:before="0"/>
        <w:ind w:left="400"/>
        <w:rPr>
          <w:sz w:val="20"/>
          <w:szCs w:val="20"/>
        </w:rPr>
      </w:pPr>
      <w:r w:rsidRPr="000B3E43">
        <w:rPr>
          <w:rStyle w:val="Bodytext21"/>
          <w:sz w:val="20"/>
          <w:szCs w:val="20"/>
        </w:rPr>
        <w:t>jméno autora - obor autorské tvorby</w:t>
      </w:r>
      <w:r w:rsidRPr="000B3E43">
        <w:rPr>
          <w:sz w:val="20"/>
          <w:szCs w:val="20"/>
        </w:rPr>
        <w:t>:</w:t>
      </w:r>
    </w:p>
    <w:p w:rsidR="00B05787" w:rsidRPr="000B3E43" w:rsidRDefault="000B3E43">
      <w:pPr>
        <w:pStyle w:val="Bodytext30"/>
        <w:shd w:val="clear" w:color="auto" w:fill="auto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Sergej Prokoljev - autor opery (15 %, minimálně však 1.000,-GBP netto)</w:t>
      </w:r>
    </w:p>
    <w:p w:rsidR="00B05787" w:rsidRPr="000B3E43" w:rsidRDefault="000B3E43">
      <w:pPr>
        <w:pStyle w:val="Bodytext40"/>
        <w:shd w:val="clear" w:color="auto" w:fill="auto"/>
        <w:spacing w:after="244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(na jedné straně; dále jen „Nositelé práv")</w:t>
      </w:r>
    </w:p>
    <w:p w:rsidR="00B05787" w:rsidRPr="000B3E43" w:rsidRDefault="000B3E43">
      <w:pPr>
        <w:pStyle w:val="Bodytext20"/>
        <w:shd w:val="clear" w:color="auto" w:fill="auto"/>
        <w:spacing w:before="0" w:line="250" w:lineRule="exact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zastoupen na základě smlouvy se zahraniční agenturou Boosey and Hawkes, GB</w:t>
      </w:r>
    </w:p>
    <w:p w:rsidR="00B05787" w:rsidRPr="000B3E43" w:rsidRDefault="000B3E43">
      <w:pPr>
        <w:pStyle w:val="Bodytext30"/>
        <w:shd w:val="clear" w:color="auto" w:fill="auto"/>
        <w:spacing w:line="250" w:lineRule="exact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DILIA, divadelní, literární, audiovizuální agentura, z. s.</w:t>
      </w:r>
    </w:p>
    <w:p w:rsidR="00B05787" w:rsidRPr="000B3E43" w:rsidRDefault="000B3E43">
      <w:pPr>
        <w:pStyle w:val="Bodytext20"/>
        <w:shd w:val="clear" w:color="auto" w:fill="auto"/>
        <w:spacing w:before="0" w:line="250" w:lineRule="exact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se sídlem Krátkého 1, 190 03 Praha 9</w:t>
      </w:r>
    </w:p>
    <w:p w:rsidR="00B05787" w:rsidRPr="000B3E43" w:rsidRDefault="000B3E43">
      <w:pPr>
        <w:pStyle w:val="Bodytext20"/>
        <w:shd w:val="clear" w:color="auto" w:fill="auto"/>
        <w:spacing w:before="0" w:line="250" w:lineRule="exact"/>
        <w:ind w:firstLine="0"/>
        <w:rPr>
          <w:sz w:val="20"/>
          <w:szCs w:val="20"/>
        </w:rPr>
      </w:pPr>
      <w:r w:rsidRPr="000B3E43">
        <w:rPr>
          <w:sz w:val="20"/>
          <w:szCs w:val="20"/>
        </w:rPr>
        <w:t>spolek zapsaný u Městského soudu v Praze, oddíl L, vložka 7695 IČ: 65401875, DIČ: CZ65401875</w:t>
      </w:r>
    </w:p>
    <w:p w:rsidR="00B05787" w:rsidRPr="000B3E43" w:rsidRDefault="000B3E43">
      <w:pPr>
        <w:pStyle w:val="Bodytext20"/>
        <w:shd w:val="clear" w:color="auto" w:fill="auto"/>
        <w:spacing w:before="0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a</w:t>
      </w:r>
    </w:p>
    <w:p w:rsidR="00B05787" w:rsidRPr="000B3E43" w:rsidRDefault="000B3E43">
      <w:pPr>
        <w:pStyle w:val="Bodytext20"/>
        <w:shd w:val="clear" w:color="auto" w:fill="auto"/>
        <w:spacing w:before="0"/>
        <w:ind w:firstLine="0"/>
        <w:rPr>
          <w:sz w:val="20"/>
          <w:szCs w:val="20"/>
        </w:rPr>
      </w:pPr>
      <w:r w:rsidRPr="000B3E43">
        <w:rPr>
          <w:sz w:val="20"/>
          <w:szCs w:val="20"/>
        </w:rPr>
        <w:t xml:space="preserve">obchodní firma / obchodní jméno: </w:t>
      </w:r>
      <w:r w:rsidRPr="000B3E43">
        <w:rPr>
          <w:rStyle w:val="Bodytext2Bold"/>
          <w:sz w:val="20"/>
          <w:szCs w:val="20"/>
        </w:rPr>
        <w:t xml:space="preserve">Národní divadlo, umělecký soubor Opery </w:t>
      </w:r>
      <w:r w:rsidRPr="000B3E43">
        <w:rPr>
          <w:sz w:val="20"/>
          <w:szCs w:val="20"/>
        </w:rPr>
        <w:t>sídlo: Ostrovní 1, 112 30 Praha 1 IČ: 00023337, CZ00023337</w:t>
      </w:r>
    </w:p>
    <w:p w:rsidR="00B05787" w:rsidRPr="000B3E43" w:rsidRDefault="000B3E43">
      <w:pPr>
        <w:pStyle w:val="Bodytext20"/>
        <w:shd w:val="clear" w:color="auto" w:fill="auto"/>
        <w:spacing w:before="0" w:after="244"/>
        <w:ind w:firstLine="0"/>
        <w:rPr>
          <w:sz w:val="20"/>
          <w:szCs w:val="20"/>
        </w:rPr>
      </w:pPr>
      <w:r w:rsidRPr="000B3E43">
        <w:rPr>
          <w:sz w:val="20"/>
          <w:szCs w:val="20"/>
        </w:rPr>
        <w:t xml:space="preserve">jejímž jménem jedná: </w:t>
      </w:r>
      <w:r w:rsidRPr="000B3E43">
        <w:rPr>
          <w:sz w:val="20"/>
          <w:szCs w:val="20"/>
          <w:lang w:val="en-US" w:eastAsia="en-US" w:bidi="en-US"/>
        </w:rPr>
        <w:t xml:space="preserve">prof. </w:t>
      </w:r>
      <w:r w:rsidRPr="000B3E43">
        <w:rPr>
          <w:sz w:val="20"/>
          <w:szCs w:val="20"/>
        </w:rPr>
        <w:t xml:space="preserve">MgA. Jan Burian, ředitel divadla </w:t>
      </w:r>
      <w:r w:rsidRPr="000B3E43">
        <w:rPr>
          <w:rStyle w:val="Bodytext2Italic"/>
          <w:sz w:val="20"/>
          <w:szCs w:val="20"/>
        </w:rPr>
        <w:t>(na druhé straně; dále jen „Provozovatel")</w:t>
      </w:r>
    </w:p>
    <w:p w:rsidR="00B05787" w:rsidRPr="000B3E43" w:rsidRDefault="000B3E43">
      <w:pPr>
        <w:pStyle w:val="Heading20"/>
        <w:keepNext/>
        <w:keepLines/>
        <w:shd w:val="clear" w:color="auto" w:fill="auto"/>
        <w:spacing w:before="0"/>
        <w:ind w:left="20"/>
        <w:rPr>
          <w:sz w:val="20"/>
          <w:szCs w:val="20"/>
        </w:rPr>
      </w:pPr>
      <w:bookmarkStart w:id="1" w:name="bookmark1"/>
      <w:r w:rsidRPr="000B3E43">
        <w:rPr>
          <w:sz w:val="20"/>
          <w:szCs w:val="20"/>
        </w:rPr>
        <w:t>článek I.</w:t>
      </w:r>
      <w:bookmarkEnd w:id="1"/>
    </w:p>
    <w:p w:rsidR="00B05787" w:rsidRPr="000B3E43" w:rsidRDefault="000B3E43">
      <w:pPr>
        <w:pStyle w:val="Bodytext20"/>
        <w:shd w:val="clear" w:color="auto" w:fill="auto"/>
        <w:spacing w:before="0" w:line="250" w:lineRule="exact"/>
        <w:ind w:firstLine="0"/>
        <w:rPr>
          <w:sz w:val="20"/>
          <w:szCs w:val="20"/>
        </w:rPr>
      </w:pPr>
      <w:r w:rsidRPr="000B3E43">
        <w:rPr>
          <w:sz w:val="20"/>
          <w:szCs w:val="20"/>
        </w:rPr>
        <w:t xml:space="preserve">Smluvní strany uzavřely dne 29.11.2018 licenční smlouvu č. 818/18/D/Ma k živému divadelnímu provozování díla: </w:t>
      </w:r>
      <w:r w:rsidRPr="000B3E43">
        <w:rPr>
          <w:rStyle w:val="Bodytext2Bold"/>
          <w:sz w:val="20"/>
          <w:szCs w:val="20"/>
        </w:rPr>
        <w:t>Sergej Prokofjev: LÁSKA KE TŘEM POMERANČŮM</w:t>
      </w:r>
    </w:p>
    <w:p w:rsidR="00B05787" w:rsidRPr="000B3E43" w:rsidRDefault="000B3E43">
      <w:pPr>
        <w:pStyle w:val="Bodytext40"/>
        <w:shd w:val="clear" w:color="auto" w:fill="auto"/>
        <w:spacing w:after="236" w:line="250" w:lineRule="exact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(dálejen „Smlouva")</w:t>
      </w:r>
    </w:p>
    <w:p w:rsidR="00B05787" w:rsidRPr="000B3E43" w:rsidRDefault="000B3E43">
      <w:pPr>
        <w:pStyle w:val="Heading20"/>
        <w:keepNext/>
        <w:keepLines/>
        <w:shd w:val="clear" w:color="auto" w:fill="auto"/>
        <w:spacing w:before="0" w:line="254" w:lineRule="exact"/>
        <w:ind w:left="20"/>
        <w:rPr>
          <w:sz w:val="20"/>
          <w:szCs w:val="20"/>
        </w:rPr>
      </w:pPr>
      <w:bookmarkStart w:id="2" w:name="bookmark2"/>
      <w:r w:rsidRPr="000B3E43">
        <w:rPr>
          <w:sz w:val="20"/>
          <w:szCs w:val="20"/>
        </w:rPr>
        <w:t>článek II.</w:t>
      </w:r>
      <w:bookmarkEnd w:id="2"/>
    </w:p>
    <w:p w:rsidR="00B05787" w:rsidRPr="000B3E43" w:rsidRDefault="000B3E43">
      <w:pPr>
        <w:pStyle w:val="Bodytext20"/>
        <w:shd w:val="clear" w:color="auto" w:fill="auto"/>
        <w:spacing w:before="0" w:after="258"/>
        <w:ind w:firstLine="0"/>
        <w:rPr>
          <w:sz w:val="20"/>
          <w:szCs w:val="20"/>
        </w:rPr>
      </w:pPr>
      <w:r w:rsidRPr="000B3E43">
        <w:rPr>
          <w:sz w:val="20"/>
          <w:szCs w:val="20"/>
        </w:rPr>
        <w:t>Smluvní strany se dohodly, že se mění rozsah poskytnuté licence stanovený v čl.II odst.2.1. smlouvy, a to následovně:</w:t>
      </w:r>
    </w:p>
    <w:p w:rsidR="00BE07E1" w:rsidRDefault="0084611B">
      <w:pPr>
        <w:pStyle w:val="Bodytext20"/>
        <w:shd w:val="clear" w:color="auto" w:fill="auto"/>
        <w:spacing w:before="0" w:line="232" w:lineRule="exact"/>
        <w:ind w:left="40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6378575" cy="587375"/>
            <wp:effectExtent l="0" t="0" r="3175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7E1" w:rsidRDefault="00BE07E1">
      <w:pPr>
        <w:pStyle w:val="Bodytext20"/>
        <w:shd w:val="clear" w:color="auto" w:fill="auto"/>
        <w:spacing w:before="0" w:line="232" w:lineRule="exact"/>
        <w:ind w:left="400"/>
        <w:rPr>
          <w:sz w:val="20"/>
          <w:szCs w:val="20"/>
        </w:rPr>
      </w:pPr>
    </w:p>
    <w:p w:rsidR="00BE07E1" w:rsidRDefault="00BE07E1">
      <w:pPr>
        <w:pStyle w:val="Bodytext20"/>
        <w:shd w:val="clear" w:color="auto" w:fill="auto"/>
        <w:spacing w:before="0" w:line="232" w:lineRule="exact"/>
        <w:ind w:left="400"/>
        <w:rPr>
          <w:sz w:val="20"/>
          <w:szCs w:val="20"/>
        </w:rPr>
      </w:pPr>
    </w:p>
    <w:p w:rsidR="00B05787" w:rsidRPr="000B3E43" w:rsidRDefault="000B3E43">
      <w:pPr>
        <w:pStyle w:val="Bodytext20"/>
        <w:shd w:val="clear" w:color="auto" w:fill="auto"/>
        <w:spacing w:before="0" w:line="232" w:lineRule="exact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 xml:space="preserve">□ Mění se časový rozsah licence. Původní doba licence se </w:t>
      </w:r>
      <w:r w:rsidRPr="000B3E43">
        <w:rPr>
          <w:rStyle w:val="Bodytext2Bold"/>
          <w:sz w:val="20"/>
          <w:szCs w:val="20"/>
        </w:rPr>
        <w:t xml:space="preserve">prodlužuje, </w:t>
      </w:r>
      <w:r w:rsidRPr="000B3E43">
        <w:rPr>
          <w:sz w:val="20"/>
          <w:szCs w:val="20"/>
        </w:rPr>
        <w:t>a to následovně;</w:t>
      </w:r>
    </w:p>
    <w:p w:rsidR="00B05787" w:rsidRDefault="000B3E43">
      <w:pPr>
        <w:pStyle w:val="Bodytext30"/>
        <w:shd w:val="clear" w:color="auto" w:fill="auto"/>
        <w:tabs>
          <w:tab w:val="left" w:pos="2987"/>
        </w:tabs>
        <w:spacing w:after="240" w:line="232" w:lineRule="exact"/>
        <w:ind w:left="400" w:firstLine="0"/>
        <w:jc w:val="both"/>
        <w:rPr>
          <w:sz w:val="20"/>
          <w:szCs w:val="20"/>
        </w:rPr>
      </w:pPr>
      <w:r w:rsidRPr="000B3E43">
        <w:rPr>
          <w:sz w:val="20"/>
          <w:szCs w:val="20"/>
        </w:rPr>
        <w:t>od 1.9.2019</w:t>
      </w:r>
      <w:r w:rsidRPr="000B3E43">
        <w:rPr>
          <w:sz w:val="20"/>
          <w:szCs w:val="20"/>
        </w:rPr>
        <w:tab/>
        <w:t>do 30.6.2020</w:t>
      </w:r>
    </w:p>
    <w:p w:rsidR="00BE07E1" w:rsidRDefault="00BE07E1">
      <w:pPr>
        <w:pStyle w:val="Bodytext30"/>
        <w:shd w:val="clear" w:color="auto" w:fill="auto"/>
        <w:tabs>
          <w:tab w:val="left" w:pos="2987"/>
        </w:tabs>
        <w:spacing w:after="240" w:line="232" w:lineRule="exact"/>
        <w:ind w:left="400" w:firstLine="0"/>
        <w:jc w:val="both"/>
        <w:rPr>
          <w:sz w:val="20"/>
          <w:szCs w:val="20"/>
        </w:rPr>
      </w:pPr>
      <w:bookmarkStart w:id="3" w:name="_GoBack"/>
      <w:bookmarkEnd w:id="3"/>
    </w:p>
    <w:p w:rsidR="00BE07E1" w:rsidRPr="000B3E43" w:rsidRDefault="00BE07E1">
      <w:pPr>
        <w:pStyle w:val="Bodytext30"/>
        <w:shd w:val="clear" w:color="auto" w:fill="auto"/>
        <w:tabs>
          <w:tab w:val="left" w:pos="2987"/>
        </w:tabs>
        <w:spacing w:after="240" w:line="232" w:lineRule="exact"/>
        <w:ind w:left="400" w:firstLine="0"/>
        <w:jc w:val="both"/>
        <w:rPr>
          <w:sz w:val="20"/>
          <w:szCs w:val="20"/>
        </w:rPr>
      </w:pPr>
    </w:p>
    <w:p w:rsidR="00B05787" w:rsidRPr="000B3E43" w:rsidRDefault="000B3E43">
      <w:pPr>
        <w:pStyle w:val="Heading20"/>
        <w:keepNext/>
        <w:keepLines/>
        <w:shd w:val="clear" w:color="auto" w:fill="auto"/>
        <w:spacing w:before="0" w:line="232" w:lineRule="exact"/>
        <w:ind w:left="20"/>
        <w:rPr>
          <w:sz w:val="20"/>
          <w:szCs w:val="20"/>
        </w:rPr>
      </w:pPr>
      <w:bookmarkStart w:id="4" w:name="bookmark3"/>
      <w:r w:rsidRPr="000B3E43">
        <w:rPr>
          <w:sz w:val="20"/>
          <w:szCs w:val="20"/>
        </w:rPr>
        <w:t>článek III.</w:t>
      </w:r>
      <w:bookmarkEnd w:id="4"/>
    </w:p>
    <w:p w:rsidR="00B05787" w:rsidRPr="000B3E43" w:rsidRDefault="000B3E43">
      <w:pPr>
        <w:pStyle w:val="Bodytext20"/>
        <w:shd w:val="clear" w:color="auto" w:fill="auto"/>
        <w:spacing w:before="0" w:after="226" w:line="232" w:lineRule="exact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Ostatní ustanovení Smlouvy zůstávají tímto dodatkem nedotčena.</w:t>
      </w:r>
    </w:p>
    <w:p w:rsidR="00B05787" w:rsidRPr="000B3E43" w:rsidRDefault="000B3E43">
      <w:pPr>
        <w:pStyle w:val="Heading20"/>
        <w:keepNext/>
        <w:keepLines/>
        <w:shd w:val="clear" w:color="auto" w:fill="auto"/>
        <w:spacing w:before="0"/>
        <w:ind w:left="20"/>
        <w:rPr>
          <w:sz w:val="20"/>
          <w:szCs w:val="20"/>
        </w:rPr>
      </w:pPr>
      <w:bookmarkStart w:id="5" w:name="bookmark4"/>
      <w:r w:rsidRPr="000B3E43">
        <w:rPr>
          <w:sz w:val="20"/>
          <w:szCs w:val="20"/>
        </w:rPr>
        <w:t>článek IV.</w:t>
      </w:r>
      <w:bookmarkEnd w:id="5"/>
    </w:p>
    <w:p w:rsidR="00B05787" w:rsidRPr="000B3E43" w:rsidRDefault="000B3E43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50" w:lineRule="exact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Tento dodatek nabývá platnosti a účinnosti dnem podpisu oběma smluvními stranami.</w:t>
      </w:r>
    </w:p>
    <w:p w:rsidR="00B05787" w:rsidRPr="000B3E43" w:rsidRDefault="000B3E43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254" w:line="250" w:lineRule="exact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Tento dodatek se vyhotovuje ve dvou stejnopisech splatností originálu, z nichž každá ze smluvních stran obdrží po jednom vyhotovení.</w:t>
      </w:r>
    </w:p>
    <w:p w:rsidR="000B3E43" w:rsidRDefault="000B3E43">
      <w:pPr>
        <w:pStyle w:val="Bodytext20"/>
        <w:shd w:val="clear" w:color="auto" w:fill="auto"/>
        <w:spacing w:before="0" w:line="232" w:lineRule="exact"/>
        <w:ind w:left="400"/>
        <w:rPr>
          <w:sz w:val="20"/>
          <w:szCs w:val="20"/>
        </w:rPr>
      </w:pPr>
    </w:p>
    <w:p w:rsidR="000B3E43" w:rsidRDefault="000B3E43">
      <w:pPr>
        <w:pStyle w:val="Bodytext20"/>
        <w:shd w:val="clear" w:color="auto" w:fill="auto"/>
        <w:spacing w:before="0" w:line="232" w:lineRule="exact"/>
        <w:ind w:left="400"/>
        <w:rPr>
          <w:sz w:val="20"/>
          <w:szCs w:val="20"/>
        </w:rPr>
      </w:pPr>
    </w:p>
    <w:p w:rsidR="00B05787" w:rsidRPr="000B3E43" w:rsidRDefault="000B3E43">
      <w:pPr>
        <w:pStyle w:val="Bodytext20"/>
        <w:shd w:val="clear" w:color="auto" w:fill="auto"/>
        <w:spacing w:before="0" w:line="232" w:lineRule="exact"/>
        <w:ind w:left="400"/>
        <w:rPr>
          <w:sz w:val="20"/>
          <w:szCs w:val="20"/>
        </w:rPr>
      </w:pPr>
      <w:r w:rsidRPr="000B3E43">
        <w:rPr>
          <w:sz w:val="20"/>
          <w:szCs w:val="20"/>
        </w:rPr>
        <w:t>Provozovatel</w:t>
      </w:r>
      <w:r>
        <w:rPr>
          <w:sz w:val="20"/>
          <w:szCs w:val="20"/>
        </w:rPr>
        <w:t xml:space="preserve">                                                                                                                      Dilia</w:t>
      </w:r>
    </w:p>
    <w:sectPr w:rsidR="00B05787" w:rsidRPr="000B3E43">
      <w:pgSz w:w="11900" w:h="16840"/>
      <w:pgMar w:top="559" w:right="1514" w:bottom="559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50" w:rsidRDefault="00D91D50">
      <w:r>
        <w:separator/>
      </w:r>
    </w:p>
  </w:endnote>
  <w:endnote w:type="continuationSeparator" w:id="0">
    <w:p w:rsidR="00D91D50" w:rsidRDefault="00D9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50" w:rsidRDefault="00D91D50"/>
  </w:footnote>
  <w:footnote w:type="continuationSeparator" w:id="0">
    <w:p w:rsidR="00D91D50" w:rsidRDefault="00D91D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839"/>
    <w:multiLevelType w:val="multilevel"/>
    <w:tmpl w:val="EE96B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87"/>
    <w:rsid w:val="000B3E43"/>
    <w:rsid w:val="003526F8"/>
    <w:rsid w:val="00371907"/>
    <w:rsid w:val="0084611B"/>
    <w:rsid w:val="009D6F07"/>
    <w:rsid w:val="00B05787"/>
    <w:rsid w:val="00BE07E1"/>
    <w:rsid w:val="00D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D659"/>
  <w15:docId w15:val="{8E9A0664-BC63-444B-9FCB-C000C47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13ptBold">
    <w:name w:val="Body text (2) + Arial;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30pt">
    <w:name w:val="Body text (2) + 3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Bodytext225pt">
    <w:name w:val="Body text (2) + 2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80" w:line="288" w:lineRule="exact"/>
      <w:outlineLvl w:val="0"/>
    </w:pPr>
    <w:rPr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80" w:line="254" w:lineRule="exact"/>
      <w:ind w:hanging="400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4" w:lineRule="exact"/>
      <w:ind w:hanging="400"/>
    </w:pPr>
    <w:rPr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40" w:line="254" w:lineRule="exact"/>
      <w:ind w:hanging="400"/>
    </w:pPr>
    <w:rPr>
      <w:i/>
      <w:i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250" w:lineRule="exact"/>
      <w:jc w:val="center"/>
      <w:outlineLvl w:val="1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Bejdová</dc:creator>
  <cp:keywords/>
  <cp:lastModifiedBy>Bejdová Natálie</cp:lastModifiedBy>
  <cp:revision>4</cp:revision>
  <dcterms:created xsi:type="dcterms:W3CDTF">2019-07-19T09:46:00Z</dcterms:created>
  <dcterms:modified xsi:type="dcterms:W3CDTF">2019-08-07T09:22:00Z</dcterms:modified>
</cp:coreProperties>
</file>