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EF40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37276043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77777777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386615">
        <w:rPr>
          <w:rFonts w:ascii="Times New Roman" w:hAnsi="Times New Roman" w:cs="Times New Roman"/>
          <w:b/>
          <w:kern w:val="0"/>
          <w:sz w:val="36"/>
          <w:lang w:eastAsia="cs-CZ" w:bidi="ar-SA"/>
        </w:rPr>
        <w:t>112</w:t>
      </w:r>
      <w:r w:rsidR="000379DD">
        <w:rPr>
          <w:rFonts w:ascii="Times New Roman" w:hAnsi="Times New Roman" w:cs="Times New Roman"/>
          <w:b/>
          <w:kern w:val="0"/>
          <w:sz w:val="36"/>
          <w:lang w:eastAsia="cs-CZ" w:bidi="ar-SA"/>
        </w:rPr>
        <w:t>/</w:t>
      </w:r>
      <w:r w:rsidR="009B5907">
        <w:rPr>
          <w:rFonts w:ascii="Times New Roman" w:hAnsi="Times New Roman" w:cs="Times New Roman"/>
          <w:b/>
          <w:kern w:val="0"/>
          <w:sz w:val="36"/>
          <w:lang w:eastAsia="cs-CZ" w:bidi="ar-SA"/>
        </w:rPr>
        <w:t>2016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proofErr w:type="gramStart"/>
      <w:r w:rsidRPr="00660CA5">
        <w:rPr>
          <w:rFonts w:ascii="Times New Roman" w:hAnsi="Times New Roman" w:cs="Times New Roman"/>
          <w:sz w:val="24"/>
        </w:rPr>
        <w:t>ustanovením §  2079</w:t>
      </w:r>
      <w:proofErr w:type="gramEnd"/>
      <w:r w:rsidRPr="00660CA5">
        <w:rPr>
          <w:rFonts w:ascii="Times New Roman" w:hAnsi="Times New Roman" w:cs="Times New Roman"/>
          <w:sz w:val="24"/>
        </w:rPr>
        <w:t xml:space="preserve"> a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66675916" w14:textId="77777777"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25D19103" w14:textId="77777777"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5E7C33A1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</w:t>
      </w:r>
      <w:r w:rsidR="00BB66B2">
        <w:rPr>
          <w:rFonts w:ascii="Times New Roman" w:hAnsi="Times New Roman" w:cs="Times New Roman"/>
          <w:sz w:val="24"/>
        </w:rPr>
        <w:t xml:space="preserve">ení: </w:t>
      </w:r>
    </w:p>
    <w:p w14:paraId="5F4EFEDC" w14:textId="375FC2BB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          </w:t>
      </w:r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6FED6AAF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605AADAD" w14:textId="77777777" w:rsidR="002F58D2" w:rsidRPr="00660CA5" w:rsidRDefault="002F58D2" w:rsidP="002F58D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PROMA REHA s.r.o.</w:t>
      </w:r>
    </w:p>
    <w:p w14:paraId="11C5B92A" w14:textId="77777777" w:rsidR="002F58D2" w:rsidRPr="00660CA5" w:rsidRDefault="002F58D2" w:rsidP="002F58D2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 xml:space="preserve">Sídlo: </w:t>
      </w:r>
      <w:r>
        <w:rPr>
          <w:rFonts w:ascii="Times New Roman" w:hAnsi="Times New Roman" w:cs="Times New Roman"/>
          <w:spacing w:val="-2"/>
          <w:sz w:val="24"/>
        </w:rPr>
        <w:t>Česká Skalice, Riegrova 342, PSČ:552 03</w:t>
      </w:r>
    </w:p>
    <w:p w14:paraId="695D48A3" w14:textId="77777777" w:rsidR="002F58D2" w:rsidRPr="00660CA5" w:rsidRDefault="002F58D2" w:rsidP="002F58D2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>
        <w:rPr>
          <w:rFonts w:ascii="Times New Roman" w:hAnsi="Times New Roman" w:cs="Times New Roman"/>
          <w:spacing w:val="-2"/>
          <w:sz w:val="24"/>
        </w:rPr>
        <w:t>63219107</w:t>
      </w:r>
      <w:r w:rsidRPr="00660CA5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3AB880E3" w14:textId="77777777" w:rsidR="002F58D2" w:rsidRPr="00660CA5" w:rsidRDefault="002F58D2" w:rsidP="002F58D2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>
        <w:rPr>
          <w:rFonts w:ascii="Times New Roman" w:hAnsi="Times New Roman" w:cs="Times New Roman"/>
          <w:spacing w:val="-2"/>
          <w:sz w:val="24"/>
        </w:rPr>
        <w:t>CZ63219107</w:t>
      </w:r>
      <w:r w:rsidRPr="00660CA5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3355EFA" w14:textId="6AB37932" w:rsidR="002F58D2" w:rsidRDefault="002F58D2" w:rsidP="002F58D2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 w:rsidR="00BB66B2">
        <w:rPr>
          <w:rFonts w:ascii="Times New Roman" w:hAnsi="Times New Roman" w:cs="Times New Roman"/>
          <w:sz w:val="24"/>
        </w:rPr>
        <w:t xml:space="preserve"> </w:t>
      </w:r>
    </w:p>
    <w:p w14:paraId="418986D8" w14:textId="3FBA261C" w:rsidR="002F58D2" w:rsidRDefault="002F58D2" w:rsidP="002F58D2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BB66B2">
        <w:rPr>
          <w:rFonts w:ascii="Times New Roman" w:hAnsi="Times New Roman" w:cs="Times New Roman"/>
          <w:sz w:val="24"/>
        </w:rPr>
        <w:t xml:space="preserve"> </w:t>
      </w:r>
    </w:p>
    <w:p w14:paraId="5406E722" w14:textId="27DDD4F3" w:rsidR="002F58D2" w:rsidRPr="00660CA5" w:rsidRDefault="002F58D2" w:rsidP="002F58D2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Radkem Jakubským, jednatelem společnosti </w:t>
      </w:r>
    </w:p>
    <w:p w14:paraId="002D340D" w14:textId="77777777" w:rsidR="008E276D" w:rsidRDefault="008E276D" w:rsidP="003742A6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b/>
          <w:spacing w:val="-2"/>
          <w:sz w:val="24"/>
        </w:rPr>
      </w:pP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77777777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>Tato smlouva je uzavírána mezi kupujícím jako zadavatelem a prodávajícím jako vybraným uchazečem v 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 xml:space="preserve">„PL Šternberk – pořízení nemocničních elektrických polohovacích lůžek vč. příslušenství pro imobilní klienty oddělení </w:t>
      </w:r>
      <w:proofErr w:type="spellStart"/>
      <w:r w:rsidR="009B5907">
        <w:rPr>
          <w:rFonts w:ascii="Times New Roman" w:hAnsi="Times New Roman" w:cs="Times New Roman"/>
          <w:b/>
          <w:sz w:val="24"/>
        </w:rPr>
        <w:t>gerontopsychiatrie</w:t>
      </w:r>
      <w:proofErr w:type="spellEnd"/>
      <w:r w:rsidR="009B5907">
        <w:rPr>
          <w:rFonts w:ascii="Times New Roman" w:hAnsi="Times New Roman" w:cs="Times New Roman"/>
          <w:b/>
          <w:sz w:val="24"/>
        </w:rPr>
        <w:t>“</w:t>
      </w:r>
      <w:r w:rsidR="00386615">
        <w:rPr>
          <w:rFonts w:ascii="Times New Roman" w:hAnsi="Times New Roman" w:cs="Times New Roman"/>
          <w:b/>
          <w:sz w:val="24"/>
        </w:rPr>
        <w:t>-rozšíření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63007523" w14:textId="77777777" w:rsidR="001424AC" w:rsidRDefault="001424AC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77777777" w:rsidR="008E276D" w:rsidRPr="00C96609" w:rsidRDefault="008E276D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77777777" w:rsidR="006554F1" w:rsidRDefault="0057509D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Nemocniční polohovací lůžka včetně příslušenství a dále pasivní antidekubitní matrace a noční stolk</w:t>
      </w:r>
      <w:r w:rsidR="00D21B9D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s jídelní deskou</w:t>
      </w:r>
      <w:r w:rsidR="00B67AED">
        <w:rPr>
          <w:rFonts w:ascii="Times New Roman" w:hAnsi="Times New Roman" w:cs="Times New Roman"/>
          <w:sz w:val="24"/>
        </w:rPr>
        <w:t xml:space="preserve"> 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 w:rsidR="00D15F27">
        <w:rPr>
          <w:rFonts w:ascii="Times New Roman" w:hAnsi="Times New Roman" w:cs="Times New Roman"/>
          <w:b/>
          <w:sz w:val="24"/>
        </w:rPr>
        <w:t>112</w:t>
      </w:r>
      <w:r>
        <w:rPr>
          <w:rFonts w:ascii="Times New Roman" w:hAnsi="Times New Roman" w:cs="Times New Roman"/>
          <w:b/>
          <w:sz w:val="24"/>
        </w:rPr>
        <w:t>/2016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>kdy tato specifikace zboží se shoduje s nabídkou prodávajícího, kterou prodávající jako uchazeč předložil v zadávacím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807B7">
        <w:rPr>
          <w:rFonts w:ascii="Times New Roman" w:hAnsi="Times New Roman" w:cs="Times New Roman"/>
          <w:sz w:val="24"/>
        </w:rPr>
        <w:t xml:space="preserve"> této 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741075" w14:textId="77777777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  <w:r w:rsidR="00434DB4">
        <w:rPr>
          <w:rFonts w:ascii="Times New Roman" w:hAnsi="Times New Roman" w:cs="Times New Roman"/>
          <w:sz w:val="24"/>
        </w:rPr>
        <w:t>Technické parametry a vlastnosti n</w:t>
      </w:r>
      <w:r w:rsidR="00434DB4" w:rsidRPr="00434DB4">
        <w:rPr>
          <w:rFonts w:ascii="Times New Roman" w:hAnsi="Times New Roman" w:cs="Times New Roman"/>
          <w:sz w:val="24"/>
        </w:rPr>
        <w:t>emocniční</w:t>
      </w:r>
      <w:r w:rsidR="00723F68">
        <w:rPr>
          <w:rFonts w:ascii="Times New Roman" w:hAnsi="Times New Roman" w:cs="Times New Roman"/>
          <w:sz w:val="24"/>
        </w:rPr>
        <w:t>ch</w:t>
      </w:r>
      <w:r w:rsidR="00434DB4" w:rsidRPr="00434DB4">
        <w:rPr>
          <w:rFonts w:ascii="Times New Roman" w:hAnsi="Times New Roman" w:cs="Times New Roman"/>
          <w:sz w:val="24"/>
        </w:rPr>
        <w:t xml:space="preserve"> lůž</w:t>
      </w:r>
      <w:r w:rsidR="00723F68">
        <w:rPr>
          <w:rFonts w:ascii="Times New Roman" w:hAnsi="Times New Roman" w:cs="Times New Roman"/>
          <w:sz w:val="24"/>
        </w:rPr>
        <w:t>ek</w:t>
      </w:r>
      <w:r w:rsidR="00335A8E" w:rsidRPr="00434DB4">
        <w:rPr>
          <w:rFonts w:ascii="Times New Roman" w:hAnsi="Times New Roman" w:cs="Times New Roman"/>
          <w:sz w:val="24"/>
        </w:rPr>
        <w:t xml:space="preserve"> musí splňovat normu ČSN EN 60601-2-52</w:t>
      </w:r>
      <w:r w:rsidR="00434DB4" w:rsidRPr="00434DB4">
        <w:rPr>
          <w:rFonts w:ascii="Times New Roman" w:hAnsi="Times New Roman" w:cs="Times New Roman"/>
          <w:sz w:val="24"/>
        </w:rPr>
        <w:t>.</w:t>
      </w:r>
    </w:p>
    <w:p w14:paraId="79A828AD" w14:textId="77777777" w:rsidR="00CC58F0" w:rsidRDefault="00CC58F0" w:rsidP="00CC58F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2D5C53" w14:textId="77777777" w:rsidR="00DE028B" w:rsidRDefault="00CC58F0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zavazuje, že </w:t>
      </w:r>
      <w:r w:rsidR="00636159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bude dodán</w:t>
      </w:r>
      <w:r w:rsidR="0063615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>
        <w:rPr>
          <w:rFonts w:ascii="Times New Roman" w:hAnsi="Times New Roman" w:cs="Times New Roman"/>
          <w:sz w:val="24"/>
        </w:rPr>
        <w:t xml:space="preserve"> zejména s ohledem na předložené produktové listy jednotlivých artiklů</w:t>
      </w:r>
      <w:r w:rsidR="00636159">
        <w:rPr>
          <w:rFonts w:ascii="Times New Roman" w:hAnsi="Times New Roman" w:cs="Times New Roman"/>
          <w:sz w:val="24"/>
        </w:rPr>
        <w:t>.</w:t>
      </w:r>
      <w:r w:rsidR="009270E0">
        <w:rPr>
          <w:rFonts w:ascii="Times New Roman" w:hAnsi="Times New Roman" w:cs="Times New Roman"/>
          <w:sz w:val="24"/>
        </w:rPr>
        <w:t xml:space="preserve"> </w:t>
      </w:r>
      <w:r w:rsidR="00636159">
        <w:rPr>
          <w:rFonts w:ascii="Times New Roman" w:hAnsi="Times New Roman" w:cs="Times New Roman"/>
          <w:sz w:val="24"/>
        </w:rPr>
        <w:t>Zboží</w:t>
      </w:r>
      <w:r w:rsidR="001D0B3D">
        <w:rPr>
          <w:rFonts w:ascii="Times New Roman" w:hAnsi="Times New Roman" w:cs="Times New Roman"/>
          <w:sz w:val="24"/>
        </w:rPr>
        <w:t xml:space="preserve"> </w:t>
      </w:r>
      <w:r w:rsidR="001676F4">
        <w:rPr>
          <w:rFonts w:ascii="Times New Roman" w:hAnsi="Times New Roman" w:cs="Times New Roman"/>
          <w:sz w:val="24"/>
        </w:rPr>
        <w:t>bude dodán</w:t>
      </w:r>
      <w:r w:rsidR="00636159">
        <w:rPr>
          <w:rFonts w:ascii="Times New Roman" w:hAnsi="Times New Roman" w:cs="Times New Roman"/>
          <w:sz w:val="24"/>
        </w:rPr>
        <w:t>o</w:t>
      </w:r>
      <w:r w:rsidR="00723F68">
        <w:rPr>
          <w:rFonts w:ascii="Times New Roman" w:hAnsi="Times New Roman" w:cs="Times New Roman"/>
          <w:sz w:val="24"/>
        </w:rPr>
        <w:t xml:space="preserve"> vč. montáže v sídle kupujícího na oddělení</w:t>
      </w:r>
      <w:r w:rsidR="00725D43">
        <w:rPr>
          <w:rFonts w:ascii="Times New Roman" w:hAnsi="Times New Roman" w:cs="Times New Roman"/>
          <w:sz w:val="24"/>
        </w:rPr>
        <w:t xml:space="preserve"> a to vč. zaškolení obsluhy, předání návodu k</w:t>
      </w:r>
      <w:r w:rsidR="00034B01">
        <w:rPr>
          <w:rFonts w:ascii="Times New Roman" w:hAnsi="Times New Roman" w:cs="Times New Roman"/>
          <w:sz w:val="24"/>
        </w:rPr>
        <w:t> obsluze, dokumentace ke zboží v českém jazyce</w:t>
      </w:r>
      <w:r w:rsidR="00DE028B">
        <w:rPr>
          <w:rFonts w:ascii="Times New Roman" w:hAnsi="Times New Roman" w:cs="Times New Roman"/>
          <w:sz w:val="24"/>
        </w:rPr>
        <w:t>, prohlášení o shodě.</w:t>
      </w:r>
    </w:p>
    <w:p w14:paraId="3E3BB026" w14:textId="77777777" w:rsidR="005E753C" w:rsidRDefault="005E753C" w:rsidP="005E753C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2E16D09" w14:textId="043F40B4" w:rsidR="00B76BA7" w:rsidRDefault="00B76BA7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předmětu plnění je dále provádění všech zákonem stanovených prohlídek, zejména pak pravidelné odborné údržby dle zákona č. 268/2014 Sb., </w:t>
      </w:r>
      <w:r w:rsidR="005E753C">
        <w:rPr>
          <w:rFonts w:ascii="Times New Roman" w:hAnsi="Times New Roman" w:cs="Times New Roman"/>
          <w:sz w:val="24"/>
        </w:rPr>
        <w:t>o zdravotnických prostředcích</w:t>
      </w:r>
      <w:r w:rsidR="00482638">
        <w:rPr>
          <w:rFonts w:ascii="Times New Roman" w:hAnsi="Times New Roman" w:cs="Times New Roman"/>
          <w:sz w:val="24"/>
        </w:rPr>
        <w:t xml:space="preserve"> v platném znění </w:t>
      </w:r>
      <w:r w:rsidR="005E753C">
        <w:rPr>
          <w:rFonts w:ascii="Times New Roman" w:hAnsi="Times New Roman" w:cs="Times New Roman"/>
          <w:sz w:val="24"/>
        </w:rPr>
        <w:t>po dobu záruky.</w:t>
      </w:r>
    </w:p>
    <w:p w14:paraId="6D20B3D4" w14:textId="77777777" w:rsidR="009F6847" w:rsidRPr="00BD039D" w:rsidRDefault="009F6847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5CB5630" w14:textId="77777777" w:rsidR="009F6847" w:rsidRDefault="009F6847" w:rsidP="009F6847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14B675F0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D72D76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F7E753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7244B9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6C36ADD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E76B4A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0BC8E7" w14:textId="77777777" w:rsidR="00BD039D" w:rsidRP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2729A5" w14:textId="77777777" w:rsidR="001D0B3D" w:rsidRPr="001821EF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5F3AA" w14:textId="22E95F41" w:rsidR="008E276D" w:rsidRPr="009F1E49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F1E49">
        <w:rPr>
          <w:rFonts w:ascii="Times New Roman" w:hAnsi="Times New Roman" w:cs="Times New Roman"/>
          <w:b/>
          <w:sz w:val="24"/>
        </w:rPr>
        <w:t>Cena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Pr="009F1E49">
        <w:rPr>
          <w:rFonts w:ascii="Times New Roman" w:hAnsi="Times New Roman" w:cs="Times New Roman"/>
          <w:sz w:val="24"/>
        </w:rPr>
        <w:tab/>
      </w:r>
      <w:r w:rsidRPr="009F1E49">
        <w:rPr>
          <w:rFonts w:ascii="Times New Roman" w:hAnsi="Times New Roman" w:cs="Times New Roman"/>
          <w:sz w:val="24"/>
        </w:rPr>
        <w:tab/>
      </w:r>
      <w:r w:rsidRPr="009F1E49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2F58D2">
        <w:rPr>
          <w:rFonts w:ascii="Times New Roman" w:hAnsi="Times New Roman" w:cs="Times New Roman"/>
          <w:sz w:val="24"/>
        </w:rPr>
        <w:t>193.257,35</w:t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4A318551" w14:textId="10527A7C" w:rsidR="001D0B3D" w:rsidRPr="005A7815" w:rsidRDefault="005A7815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A7815">
        <w:rPr>
          <w:rFonts w:ascii="Times New Roman" w:hAnsi="Times New Roman" w:cs="Times New Roman"/>
          <w:sz w:val="24"/>
        </w:rPr>
        <w:t>DPH</w:t>
      </w:r>
      <w:r w:rsidR="00E42E2A">
        <w:rPr>
          <w:rFonts w:ascii="Times New Roman" w:hAnsi="Times New Roman" w:cs="Times New Roman"/>
          <w:sz w:val="24"/>
        </w:rPr>
        <w:t xml:space="preserve"> 15</w:t>
      </w:r>
      <w:r w:rsidR="008E273D">
        <w:rPr>
          <w:rFonts w:ascii="Times New Roman" w:hAnsi="Times New Roman" w:cs="Times New Roman"/>
          <w:sz w:val="24"/>
        </w:rPr>
        <w:t>%</w:t>
      </w:r>
      <w:r w:rsidRPr="005A7815">
        <w:rPr>
          <w:rFonts w:ascii="Times New Roman" w:hAnsi="Times New Roman" w:cs="Times New Roman"/>
          <w:sz w:val="24"/>
        </w:rPr>
        <w:t>:</w:t>
      </w:r>
      <w:r w:rsidR="008E273D">
        <w:rPr>
          <w:rFonts w:ascii="Times New Roman" w:hAnsi="Times New Roman" w:cs="Times New Roman"/>
          <w:sz w:val="24"/>
        </w:rPr>
        <w:tab/>
      </w:r>
      <w:r w:rsidR="008E273D">
        <w:rPr>
          <w:rFonts w:ascii="Times New Roman" w:hAnsi="Times New Roman" w:cs="Times New Roman"/>
          <w:sz w:val="24"/>
        </w:rPr>
        <w:tab/>
      </w:r>
      <w:r w:rsidR="008E273D">
        <w:rPr>
          <w:rFonts w:ascii="Times New Roman" w:hAnsi="Times New Roman" w:cs="Times New Roman"/>
          <w:sz w:val="24"/>
        </w:rPr>
        <w:tab/>
      </w:r>
      <w:r w:rsidR="008E273D">
        <w:rPr>
          <w:rFonts w:ascii="Times New Roman" w:hAnsi="Times New Roman" w:cs="Times New Roman"/>
          <w:sz w:val="24"/>
        </w:rPr>
        <w:tab/>
        <w:t xml:space="preserve">  </w:t>
      </w:r>
      <w:r w:rsidR="00D15F27">
        <w:rPr>
          <w:rFonts w:ascii="Times New Roman" w:hAnsi="Times New Roman" w:cs="Times New Roman"/>
          <w:sz w:val="24"/>
        </w:rPr>
        <w:tab/>
      </w:r>
      <w:r w:rsidR="002F58D2">
        <w:rPr>
          <w:rFonts w:ascii="Times New Roman" w:hAnsi="Times New Roman" w:cs="Times New Roman"/>
          <w:sz w:val="24"/>
        </w:rPr>
        <w:t xml:space="preserve">  25 425,49</w:t>
      </w:r>
      <w:r w:rsidR="008E273D">
        <w:rPr>
          <w:rFonts w:ascii="Times New Roman" w:hAnsi="Times New Roman" w:cs="Times New Roman"/>
          <w:sz w:val="24"/>
        </w:rPr>
        <w:t xml:space="preserve"> Kč</w:t>
      </w:r>
    </w:p>
    <w:p w14:paraId="68D455FB" w14:textId="4C97594E" w:rsidR="001D0B3D" w:rsidRPr="00974D16" w:rsidRDefault="008E276D" w:rsidP="000A00A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u w:val="single"/>
        </w:rPr>
      </w:pPr>
      <w:r w:rsidRPr="00974D16">
        <w:rPr>
          <w:rFonts w:ascii="Times New Roman" w:hAnsi="Times New Roman" w:cs="Times New Roman"/>
          <w:sz w:val="24"/>
          <w:u w:val="single"/>
        </w:rPr>
        <w:t>DPH</w:t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974D16">
        <w:rPr>
          <w:rFonts w:ascii="Times New Roman" w:hAnsi="Times New Roman" w:cs="Times New Roman"/>
          <w:sz w:val="24"/>
          <w:u w:val="single"/>
        </w:rPr>
        <w:t>:</w:t>
      </w:r>
      <w:r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 </w:t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2F58D2">
        <w:rPr>
          <w:rFonts w:ascii="Times New Roman" w:hAnsi="Times New Roman" w:cs="Times New Roman"/>
          <w:sz w:val="24"/>
          <w:u w:val="single"/>
        </w:rPr>
        <w:t xml:space="preserve">    4 988,35</w:t>
      </w:r>
      <w:r w:rsidR="00A93440" w:rsidRPr="00974D16">
        <w:rPr>
          <w:rFonts w:ascii="Times New Roman" w:hAnsi="Times New Roman" w:cs="Times New Roman"/>
          <w:sz w:val="24"/>
          <w:u w:val="single"/>
        </w:rPr>
        <w:t xml:space="preserve"> Kč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Pr="00974D16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3D2600FD" w:rsidR="008E276D" w:rsidRPr="000A00A2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="002F58D2">
        <w:rPr>
          <w:rFonts w:ascii="Times New Roman" w:hAnsi="Times New Roman" w:cs="Times New Roman"/>
          <w:b/>
          <w:sz w:val="24"/>
        </w:rPr>
        <w:t xml:space="preserve">223 671,20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C22531" w14:textId="3318E2AC" w:rsidR="00681CDC" w:rsidRPr="009E3DD1" w:rsidRDefault="00974D16" w:rsidP="00D03F6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F61">
        <w:rPr>
          <w:rFonts w:ascii="Times New Roman" w:hAnsi="Times New Roman" w:cs="Times New Roman"/>
          <w:sz w:val="24"/>
        </w:rPr>
        <w:t>Dvěstadvacettřitisícešestsetsedmdesátjedna</w:t>
      </w:r>
      <w:proofErr w:type="spellEnd"/>
      <w:r w:rsidR="00D03F61">
        <w:rPr>
          <w:rFonts w:ascii="Times New Roman" w:hAnsi="Times New Roman" w:cs="Times New Roman"/>
          <w:sz w:val="24"/>
        </w:rPr>
        <w:t xml:space="preserve"> koruna dvacet haléřů)</w:t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</w:p>
    <w:p w14:paraId="3519A6B0" w14:textId="4FA6294C" w:rsidR="008E276D" w:rsidRPr="00AF5E63" w:rsidRDefault="008E276D" w:rsidP="00AF5E6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Uvedená cena v rozsahu sjednaného předmětu smlouvy je smluvní cenou nejvýše přípustnou</w:t>
      </w:r>
      <w:r w:rsidR="008B0CE0">
        <w:rPr>
          <w:rFonts w:ascii="Times New Roman" w:hAnsi="Times New Roman" w:cs="Times New Roman"/>
          <w:sz w:val="24"/>
        </w:rPr>
        <w:t>, tedy cenou pevnou</w:t>
      </w:r>
      <w:r>
        <w:rPr>
          <w:rFonts w:ascii="Times New Roman" w:hAnsi="Times New Roman" w:cs="Times New Roman"/>
          <w:sz w:val="24"/>
        </w:rPr>
        <w:t xml:space="preserve">. </w:t>
      </w:r>
      <w:r w:rsidRPr="00C96609">
        <w:rPr>
          <w:rFonts w:ascii="Times New Roman" w:hAnsi="Times New Roman" w:cs="Times New Roman"/>
          <w:sz w:val="24"/>
        </w:rPr>
        <w:t xml:space="preserve">V kupní ceně zboží je zahrnuto dodání zboží včetně veškerého jeho příslušenství kupujícímu do stanoveného místa plnění, </w:t>
      </w:r>
      <w:r w:rsidR="008424E2">
        <w:rPr>
          <w:rFonts w:ascii="Times New Roman" w:hAnsi="Times New Roman" w:cs="Times New Roman"/>
          <w:sz w:val="24"/>
        </w:rPr>
        <w:t>montáž</w:t>
      </w:r>
      <w:r w:rsidR="00690954">
        <w:rPr>
          <w:rFonts w:ascii="Times New Roman" w:hAnsi="Times New Roman" w:cs="Times New Roman"/>
          <w:sz w:val="24"/>
        </w:rPr>
        <w:t xml:space="preserve"> na místě určení kupujícím</w:t>
      </w:r>
      <w:r w:rsidR="008424E2">
        <w:rPr>
          <w:rFonts w:ascii="Times New Roman" w:hAnsi="Times New Roman" w:cs="Times New Roman"/>
          <w:sz w:val="24"/>
        </w:rPr>
        <w:t xml:space="preserve">, </w:t>
      </w:r>
      <w:r w:rsidRPr="00C96609">
        <w:rPr>
          <w:rFonts w:ascii="Times New Roman" w:hAnsi="Times New Roman" w:cs="Times New Roman"/>
          <w:sz w:val="24"/>
        </w:rPr>
        <w:t>doprava, cl</w:t>
      </w:r>
      <w:r w:rsidR="004030D7"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BD039D">
        <w:rPr>
          <w:rFonts w:ascii="Times New Roman" w:hAnsi="Times New Roman" w:cs="Times New Roman"/>
          <w:sz w:val="24"/>
        </w:rPr>
        <w:t xml:space="preserve">, záruční servis vč. </w:t>
      </w:r>
      <w:r w:rsidR="00AF5E63">
        <w:rPr>
          <w:rFonts w:ascii="Times New Roman" w:hAnsi="Times New Roman" w:cs="Times New Roman"/>
          <w:sz w:val="24"/>
        </w:rPr>
        <w:t xml:space="preserve">pravidelné kontroly a zkoušek, nastavení dle pokynů výrobce v souladu se zákonem č. 268/2014 Sb. a platných norem, </w:t>
      </w:r>
      <w:r w:rsidRPr="00AF5E63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437E0E3D" w:rsidR="001C0B3A" w:rsidRPr="00836379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C83DE1">
        <w:rPr>
          <w:rFonts w:ascii="Times New Roman" w:hAnsi="Times New Roman" w:cs="Times New Roman"/>
          <w:sz w:val="24"/>
        </w:rPr>
        <w:t xml:space="preserve"> a dále </w:t>
      </w:r>
      <w:r w:rsidR="008A167B">
        <w:rPr>
          <w:rFonts w:ascii="Times New Roman" w:hAnsi="Times New Roman" w:cs="Times New Roman"/>
          <w:b/>
          <w:sz w:val="24"/>
        </w:rPr>
        <w:t xml:space="preserve">identifikátor veřejné zakázky:  </w:t>
      </w:r>
      <w:r w:rsidR="00836379">
        <w:rPr>
          <w:rFonts w:ascii="Times New Roman" w:hAnsi="Times New Roman" w:cs="Times New Roman"/>
          <w:b/>
          <w:bCs/>
          <w:sz w:val="24"/>
        </w:rPr>
        <w:t>T004/16V/00026467</w:t>
      </w:r>
      <w:r w:rsidR="008A167B" w:rsidRPr="00836379">
        <w:rPr>
          <w:rFonts w:ascii="Times New Roman" w:hAnsi="Times New Roman" w:cs="Times New Roman"/>
          <w:sz w:val="24"/>
        </w:rPr>
        <w:t xml:space="preserve">                   </w:t>
      </w:r>
    </w:p>
    <w:p w14:paraId="7F00E6A5" w14:textId="77777777" w:rsidR="008E276D" w:rsidRPr="00660CA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DBE82F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7867476F" w14:textId="77777777" w:rsidR="007A75BF" w:rsidRPr="007A75BF" w:rsidRDefault="007A75BF" w:rsidP="007A75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Pr="00660CA5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5F61DB6" w14:textId="77777777" w:rsidR="008E276D" w:rsidRDefault="008E276D" w:rsidP="00234F5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F6B3472" w14:textId="6B4723AF"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prodávajícího Psychiatrické léčebny Šternberk, Olomoucká 1848/173, 785 01 Šternberk a to </w:t>
      </w:r>
      <w:r w:rsidRPr="00B92CB4">
        <w:rPr>
          <w:rFonts w:ascii="Times New Roman" w:hAnsi="Times New Roman" w:cs="Times New Roman"/>
          <w:sz w:val="24"/>
        </w:rPr>
        <w:t xml:space="preserve">nejpozději </w:t>
      </w:r>
      <w:r w:rsidRPr="00B92CB4">
        <w:rPr>
          <w:rFonts w:ascii="Times New Roman" w:hAnsi="Times New Roman" w:cs="Times New Roman"/>
          <w:b/>
          <w:color w:val="000000" w:themeColor="text1"/>
          <w:sz w:val="24"/>
        </w:rPr>
        <w:t xml:space="preserve">do </w:t>
      </w:r>
      <w:r w:rsidR="00A158D0">
        <w:rPr>
          <w:rFonts w:ascii="Times New Roman" w:hAnsi="Times New Roman" w:cs="Times New Roman"/>
          <w:b/>
          <w:color w:val="000000" w:themeColor="text1"/>
          <w:sz w:val="24"/>
        </w:rPr>
        <w:t>16. 9</w:t>
      </w:r>
      <w:r w:rsidR="001C77BF">
        <w:rPr>
          <w:rFonts w:ascii="Times New Roman" w:hAnsi="Times New Roman" w:cs="Times New Roman"/>
          <w:b/>
          <w:color w:val="000000" w:themeColor="text1"/>
          <w:sz w:val="24"/>
        </w:rPr>
        <w:t>. 2016</w:t>
      </w:r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369A0367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a 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E87684">
        <w:rPr>
          <w:rFonts w:ascii="Times New Roman" w:hAnsi="Times New Roman" w:cs="Times New Roman"/>
          <w:sz w:val="24"/>
        </w:rPr>
        <w:t>kupujícího</w:t>
      </w:r>
      <w:r w:rsidR="00C50E44" w:rsidRPr="00333C97">
        <w:rPr>
          <w:rFonts w:ascii="Times New Roman" w:hAnsi="Times New Roman" w:cs="Times New Roman"/>
          <w:sz w:val="24"/>
        </w:rPr>
        <w:t xml:space="preserve"> a to v závislosti na </w:t>
      </w:r>
      <w:r w:rsidR="00CB0295" w:rsidRPr="00333C97">
        <w:rPr>
          <w:rFonts w:ascii="Times New Roman" w:hAnsi="Times New Roman" w:cs="Times New Roman"/>
          <w:sz w:val="24"/>
        </w:rPr>
        <w:t xml:space="preserve">provozu </w:t>
      </w:r>
      <w:r w:rsidR="001C77BF">
        <w:rPr>
          <w:rFonts w:ascii="Times New Roman" w:hAnsi="Times New Roman" w:cs="Times New Roman"/>
          <w:sz w:val="24"/>
        </w:rPr>
        <w:t xml:space="preserve">oddělení v 1 </w:t>
      </w:r>
      <w:r w:rsidR="005B2517">
        <w:rPr>
          <w:rFonts w:ascii="Times New Roman" w:hAnsi="Times New Roman" w:cs="Times New Roman"/>
          <w:sz w:val="24"/>
        </w:rPr>
        <w:t>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10C09B44" w14:textId="77777777" w:rsidR="00355A9C" w:rsidRPr="001C77BF" w:rsidRDefault="00355A9C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1D90A703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r w:rsidR="00D80BA9">
        <w:rPr>
          <w:rFonts w:ascii="Times New Roman" w:hAnsi="Times New Roman" w:cs="Times New Roman"/>
          <w:b/>
          <w:sz w:val="24"/>
        </w:rPr>
        <w:t xml:space="preserve">Petr </w:t>
      </w:r>
      <w:proofErr w:type="spellStart"/>
      <w:r w:rsidR="00D80BA9">
        <w:rPr>
          <w:rFonts w:ascii="Times New Roman" w:hAnsi="Times New Roman" w:cs="Times New Roman"/>
          <w:b/>
          <w:sz w:val="24"/>
        </w:rPr>
        <w:t>Műller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="00BB66B2">
        <w:rPr>
          <w:rFonts w:ascii="Times New Roman" w:hAnsi="Times New Roman" w:cs="Times New Roman"/>
          <w:sz w:val="24"/>
        </w:rPr>
        <w:t xml:space="preserve">tel.:    </w:t>
      </w:r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BB66B2">
        <w:rPr>
          <w:rFonts w:ascii="Times New Roman" w:hAnsi="Times New Roman" w:cs="Times New Roman"/>
          <w:sz w:val="24"/>
        </w:rPr>
        <w:t>e-mail</w:t>
      </w:r>
      <w:proofErr w:type="gramEnd"/>
      <w:r w:rsidR="00BB66B2">
        <w:rPr>
          <w:rFonts w:ascii="Times New Roman" w:hAnsi="Times New Roman" w:cs="Times New Roman"/>
          <w:sz w:val="24"/>
        </w:rPr>
        <w:t>: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7B4B1A29" w14:textId="77777777" w:rsidR="008E276D" w:rsidRDefault="008E276D" w:rsidP="00C6533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0B379467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44F07B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5CAA04F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74D9D5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D57FC6" w14:textId="77777777" w:rsidR="0092698F" w:rsidRP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DDB9562" w14:textId="77777777" w:rsidR="008E276D" w:rsidRDefault="008E276D" w:rsidP="00C65339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7BFEAF4F" w14:textId="77777777" w:rsidR="00792A89" w:rsidRPr="00C96609" w:rsidRDefault="00792A89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85A50" w14:textId="77777777" w:rsidR="003D4587" w:rsidRDefault="008E276D" w:rsidP="003D4587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13CDAF91" w14:textId="77777777" w:rsidR="00792A89" w:rsidRPr="00C00B35" w:rsidRDefault="00792A89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se zavazuje dodat kupujícímu zboží řádně v kvalitě, jež bude v souladu 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Pr="00C96609" w:rsidRDefault="008E276D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77777777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6F5206" w:rsidRPr="003F6E9F">
        <w:rPr>
          <w:rFonts w:ascii="Times New Roman" w:hAnsi="Times New Roman" w:cs="Times New Roman"/>
          <w:b/>
          <w:bCs/>
          <w:sz w:val="24"/>
        </w:rPr>
        <w:t>36</w:t>
      </w:r>
      <w:r w:rsidRPr="003F6E9F">
        <w:rPr>
          <w:rFonts w:ascii="Times New Roman" w:hAnsi="Times New Roman" w:cs="Times New Roman"/>
          <w:b/>
          <w:sz w:val="24"/>
        </w:rPr>
        <w:t xml:space="preserve"> 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2666EA3B" w14:textId="77777777" w:rsidR="008E276D" w:rsidRDefault="008E276D" w:rsidP="001821E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záruky je bezplatné dodání potřebných náhradních dílů, s výjimkou dílů, jejichž životnost je kratší než záruční doba nebo je nutné je měnit při pravidelných prohlídkách dle předpisu výrobce (dále jen „opotřebitelné díly“). Záruka se nevztahuje na případy 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5349274" w14:textId="77777777" w:rsidR="003A0DDE" w:rsidRPr="003A0DDE" w:rsidRDefault="005D333C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preventivní kontro</w:t>
      </w:r>
      <w:r w:rsidR="003A0DDE">
        <w:rPr>
          <w:rFonts w:ascii="Times New Roman" w:hAnsi="Times New Roman" w:cs="Times New Roman"/>
          <w:sz w:val="24"/>
        </w:rPr>
        <w:t>ly a zkoušky dle pokynů výrobce v souladu se zákonem č. 268/2014 Sb. a platných norem</w:t>
      </w:r>
    </w:p>
    <w:p w14:paraId="5CE34EBF" w14:textId="77777777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>
        <w:rPr>
          <w:rFonts w:ascii="Times New Roman" w:hAnsi="Times New Roman" w:cs="Times New Roman"/>
          <w:sz w:val="24"/>
        </w:rPr>
        <w:t>(běžná údržba, kontrola stavu užívaného zboží…)</w:t>
      </w:r>
    </w:p>
    <w:p w14:paraId="1750D0BA" w14:textId="77777777" w:rsidR="00D97D9F" w:rsidRPr="00325B20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55F507A3" w14:textId="77777777" w:rsidR="00836379" w:rsidRDefault="008E276D" w:rsidP="003B2C00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dodaného </w:t>
      </w:r>
    </w:p>
    <w:p w14:paraId="1BA300EB" w14:textId="77777777" w:rsidR="00836379" w:rsidRDefault="00836379" w:rsidP="00836379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90B593A" w14:textId="3432CB03" w:rsidR="008E276D" w:rsidRPr="00C96609" w:rsidRDefault="008E276D" w:rsidP="00836379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ve </w:t>
      </w:r>
      <w:r w:rsidR="00D10CA5">
        <w:rPr>
          <w:rFonts w:ascii="Times New Roman" w:hAnsi="Times New Roman" w:cs="Times New Roman"/>
          <w:sz w:val="24"/>
        </w:rPr>
        <w:t>lhůtě 7 dní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336ADBCA" w14:textId="77777777" w:rsidR="00114CCC" w:rsidRPr="00C96609" w:rsidRDefault="00114CCC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7EA66E" w14:textId="77777777"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Pr="00B571E4" w:rsidRDefault="00D97D9F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9D76800" w14:textId="77777777"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BD959F" w14:textId="77777777" w:rsidR="008E276D" w:rsidRPr="00CD67F4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F22B9F" w14:textId="77777777" w:rsidR="008E276D" w:rsidRPr="004817FE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>Kupující i prodávající jsou oprávnění odstoupit od smlouvy, jestliže kupující nebo prodávající poruší podstatným způsobem smluvní povinnosti plynoucí z této smlouvy ve lhůtách zde sjednaných a to způsobem dle Občanského zákoníku č. 89/2012 Sb., v platném znění</w:t>
      </w:r>
      <w:r>
        <w:rPr>
          <w:rFonts w:ascii="Times New Roman" w:hAnsi="Times New Roman" w:cs="Times New Roman"/>
          <w:sz w:val="24"/>
        </w:rPr>
        <w:t>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7777777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parametry stanovené v cenové nabídce,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D81505F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E87684">
        <w:rPr>
          <w:rFonts w:ascii="Times New Roman" w:hAnsi="Times New Roman" w:cs="Times New Roman"/>
          <w:sz w:val="24"/>
        </w:rPr>
        <w:t>,</w:t>
      </w:r>
    </w:p>
    <w:p w14:paraId="380CC1B9" w14:textId="74F53110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E87684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861392F" w14:textId="77777777" w:rsidR="006D46A2" w:rsidRDefault="008E276D" w:rsidP="00C863E5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4DB768C" w14:textId="77777777" w:rsid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0754F0D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F669AB0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491A2A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57DC15C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6FA2E4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C8CEB6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AED356" w14:textId="77777777" w:rsidR="009B52C7" w:rsidRDefault="009B52C7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E02D77" w14:textId="77777777" w:rsidR="003C4710" w:rsidRPr="00E27DA9" w:rsidRDefault="003C4710" w:rsidP="00E27DA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</w:t>
      </w:r>
      <w:r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E8C2FE5" w14:textId="77777777" w:rsidR="00E27DA9" w:rsidRPr="004F2581" w:rsidRDefault="00E27DA9" w:rsidP="00E27DA9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3165003" w14:textId="77777777" w:rsidR="00E27DA9" w:rsidRDefault="00E27DA9" w:rsidP="00E27DA9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086B9D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7C4C50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67FF01" w14:textId="46E8B0BC" w:rsidR="008E276D" w:rsidRPr="000B0EC9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Změny a doplnění této smlouvy jsou možné pouze v písemné formě formou dodatků ke smlouvě, na základě vzájemné dohody obou smluvních stran.</w:t>
      </w:r>
    </w:p>
    <w:p w14:paraId="2E4DA3DC" w14:textId="77777777" w:rsidR="008A1A20" w:rsidRDefault="008A1A20" w:rsidP="008A1A20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Pr="003C4710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7F90FA" w14:textId="77777777" w:rsidR="00E27DA9" w:rsidRDefault="00E27DA9" w:rsidP="00E27DA9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49486BB4" w14:textId="77777777" w:rsidR="00E87684" w:rsidRPr="00040251" w:rsidRDefault="00E87684" w:rsidP="000B0EC9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0482B" w14:textId="50BEF84C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 xml:space="preserve">Smlouva je platná po podpisu oběma smluvními stranami a nabývá účinnosti uveřejněním v Registru smluv. Povinnost k uveřejnění smlouvy v Registru smluv přebírá </w:t>
      </w:r>
      <w:r w:rsidR="00E87684">
        <w:rPr>
          <w:rFonts w:ascii="Times New Roman" w:hAnsi="Times New Roman" w:cs="Times New Roman"/>
          <w:sz w:val="24"/>
        </w:rPr>
        <w:t>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605D8956" w14:textId="77777777" w:rsid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7D100EC" w14:textId="77777777" w:rsidR="000B0EC9" w:rsidRDefault="000B0EC9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581D5BC3" w14:textId="77777777" w:rsidR="000B0EC9" w:rsidRPr="00040251" w:rsidRDefault="000B0EC9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F6AA1D9" w14:textId="77777777" w:rsid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14:paraId="271C5D18" w14:textId="77777777" w:rsidR="00836379" w:rsidRDefault="00836379" w:rsidP="00836379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0A222C3" w14:textId="77777777" w:rsidR="00836379" w:rsidRDefault="00836379" w:rsidP="0083637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Tato smlouva se uzavírá ve </w:t>
      </w:r>
      <w:r>
        <w:rPr>
          <w:rFonts w:ascii="Times New Roman" w:hAnsi="Times New Roman" w:cs="Times New Roman"/>
          <w:sz w:val="24"/>
        </w:rPr>
        <w:t>dvou</w:t>
      </w:r>
      <w:r w:rsidRPr="00660CA5">
        <w:rPr>
          <w:rFonts w:ascii="Times New Roman" w:hAnsi="Times New Roman" w:cs="Times New Roman"/>
          <w:sz w:val="24"/>
        </w:rPr>
        <w:t xml:space="preserve"> vyhotoveních, z nichž </w:t>
      </w:r>
      <w:r>
        <w:rPr>
          <w:rFonts w:ascii="Times New Roman" w:hAnsi="Times New Roman" w:cs="Times New Roman"/>
          <w:sz w:val="24"/>
        </w:rPr>
        <w:t>každá ze smluvních stran obdrží jedno vyhotovení.</w:t>
      </w:r>
    </w:p>
    <w:p w14:paraId="38CFFA78" w14:textId="77777777" w:rsidR="00040251" w:rsidRPr="00040251" w:rsidRDefault="00040251" w:rsidP="00836379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329BC3BA" w14:textId="77777777" w:rsidR="00DD0AD1" w:rsidRPr="00040251" w:rsidRDefault="00DD0AD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3A7831" w:rsidRPr="00040251">
        <w:rPr>
          <w:rFonts w:ascii="Times New Roman" w:hAnsi="Times New Roman" w:cs="Times New Roman"/>
          <w:i/>
          <w:sz w:val="24"/>
        </w:rPr>
        <w:t>Hodnotící tabulka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–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cenová kalkulace</w:t>
      </w:r>
    </w:p>
    <w:p w14:paraId="1CB07D15" w14:textId="77777777" w:rsidR="008E276D" w:rsidRDefault="008E276D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BB3F2F" w14:textId="77777777" w:rsidR="007E208A" w:rsidRDefault="007E208A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F73BC86" w14:textId="77777777" w:rsidR="00544FC8" w:rsidRDefault="00544FC8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6144156" w14:textId="77777777" w:rsidR="00544FC8" w:rsidRPr="001821EF" w:rsidRDefault="00544FC8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7EF6A7D3" w14:textId="4E81306D" w:rsidR="00847401" w:rsidRDefault="008E276D" w:rsidP="00BB66B2">
      <w:pPr>
        <w:ind w:firstLine="709"/>
        <w:rPr>
          <w:rFonts w:ascii="Times New Roman" w:eastAsia="MS Mincho" w:hAnsi="Times New Roman" w:cs="Times New Roman"/>
          <w:sz w:val="24"/>
        </w:rPr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A74C80">
        <w:rPr>
          <w:rFonts w:ascii="Times New Roman" w:eastAsia="MS Mincho" w:hAnsi="Times New Roman" w:cs="Times New Roman"/>
          <w:sz w:val="24"/>
        </w:rPr>
        <w:t xml:space="preserve"> </w:t>
      </w:r>
      <w:proofErr w:type="gramStart"/>
      <w:r w:rsidR="00BB66B2">
        <w:rPr>
          <w:rFonts w:ascii="Times New Roman" w:eastAsia="MS Mincho" w:hAnsi="Times New Roman" w:cs="Times New Roman"/>
          <w:sz w:val="24"/>
        </w:rPr>
        <w:t>8.8.2016</w:t>
      </w:r>
      <w:proofErr w:type="gramEnd"/>
      <w:r w:rsidRPr="00C96609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0B0EC9">
        <w:rPr>
          <w:rFonts w:ascii="Times New Roman" w:eastAsia="MS Mincho" w:hAnsi="Times New Roman" w:cs="Times New Roman"/>
          <w:sz w:val="24"/>
        </w:rPr>
        <w:t xml:space="preserve"> České Skalici </w:t>
      </w:r>
      <w:r w:rsidR="00A74C80">
        <w:rPr>
          <w:rFonts w:ascii="Times New Roman" w:eastAsia="MS Mincho" w:hAnsi="Times New Roman" w:cs="Times New Roman"/>
          <w:sz w:val="24"/>
        </w:rPr>
        <w:t>dne:</w:t>
      </w:r>
      <w:r w:rsidR="00BB66B2">
        <w:rPr>
          <w:rFonts w:ascii="Times New Roman" w:eastAsia="MS Mincho" w:hAnsi="Times New Roman" w:cs="Times New Roman"/>
          <w:sz w:val="24"/>
        </w:rPr>
        <w:t xml:space="preserve"> </w:t>
      </w:r>
      <w:proofErr w:type="gramStart"/>
      <w:r w:rsidR="00BB66B2">
        <w:rPr>
          <w:rFonts w:ascii="Times New Roman" w:eastAsia="MS Mincho" w:hAnsi="Times New Roman" w:cs="Times New Roman"/>
          <w:sz w:val="24"/>
        </w:rPr>
        <w:t>12.8.2016</w:t>
      </w:r>
      <w:proofErr w:type="gramEnd"/>
    </w:p>
    <w:p w14:paraId="57913EFD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7A2A5B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5F6FE6B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F8B2B69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90D1B23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6D6C5D6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8707E75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  <w:bookmarkStart w:id="0" w:name="_GoBack"/>
      <w:bookmarkEnd w:id="0"/>
    </w:p>
    <w:p w14:paraId="5EB00E9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2F118122" w14:textId="77777777" w:rsidR="00836379" w:rsidRDefault="00836379" w:rsidP="00836379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     Radek Jakubský   </w:t>
      </w:r>
    </w:p>
    <w:p w14:paraId="4D93BB90" w14:textId="77777777" w:rsidR="00836379" w:rsidRDefault="00836379" w:rsidP="00836379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 jednatel společnosti</w:t>
      </w:r>
    </w:p>
    <w:p w14:paraId="378F555C" w14:textId="77777777" w:rsidR="00836379" w:rsidRDefault="00836379" w:rsidP="00836379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PROMA REHA s.r.o. </w:t>
      </w:r>
    </w:p>
    <w:p w14:paraId="3DA443B5" w14:textId="02B9DAF4" w:rsidR="008E276D" w:rsidRDefault="008E276D" w:rsidP="00836379">
      <w:pPr>
        <w:ind w:left="709"/>
      </w:pPr>
    </w:p>
    <w:sectPr w:rsidR="008E276D" w:rsidSect="002F3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4DCA" w14:textId="77777777" w:rsidR="00927538" w:rsidRDefault="00927538" w:rsidP="00740209">
      <w:r>
        <w:separator/>
      </w:r>
    </w:p>
  </w:endnote>
  <w:endnote w:type="continuationSeparator" w:id="0">
    <w:p w14:paraId="059042E2" w14:textId="77777777" w:rsidR="00927538" w:rsidRDefault="00927538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B66B2">
              <w:rPr>
                <w:rFonts w:ascii="Times New Roman" w:hAnsi="Times New Roman" w:cs="Times New Roman"/>
                <w:i/>
                <w:noProof/>
                <w:szCs w:val="20"/>
              </w:rPr>
              <w:t>6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B66B2">
              <w:rPr>
                <w:rFonts w:ascii="Times New Roman" w:hAnsi="Times New Roman" w:cs="Times New Roman"/>
                <w:i/>
                <w:noProof/>
                <w:szCs w:val="20"/>
              </w:rPr>
              <w:t>8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BB66B2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BB66B2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8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E14D" w14:textId="77777777" w:rsidR="00927538" w:rsidRDefault="00927538" w:rsidP="00740209">
      <w:r>
        <w:separator/>
      </w:r>
    </w:p>
  </w:footnote>
  <w:footnote w:type="continuationSeparator" w:id="0">
    <w:p w14:paraId="02737D0D" w14:textId="77777777" w:rsidR="00927538" w:rsidRDefault="00927538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39"/>
  </w:num>
  <w:num w:numId="17">
    <w:abstractNumId w:val="33"/>
  </w:num>
  <w:num w:numId="18">
    <w:abstractNumId w:val="10"/>
  </w:num>
  <w:num w:numId="19">
    <w:abstractNumId w:val="11"/>
  </w:num>
  <w:num w:numId="20">
    <w:abstractNumId w:val="24"/>
  </w:num>
  <w:num w:numId="21">
    <w:abstractNumId w:val="41"/>
  </w:num>
  <w:num w:numId="22">
    <w:abstractNumId w:val="30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5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0"/>
  </w:num>
  <w:num w:numId="33">
    <w:abstractNumId w:val="36"/>
  </w:num>
  <w:num w:numId="34">
    <w:abstractNumId w:val="32"/>
  </w:num>
  <w:num w:numId="35">
    <w:abstractNumId w:val="31"/>
  </w:num>
  <w:num w:numId="36">
    <w:abstractNumId w:val="37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639CB"/>
    <w:rsid w:val="00067596"/>
    <w:rsid w:val="00073D63"/>
    <w:rsid w:val="00074CBA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0EC9"/>
    <w:rsid w:val="000B776B"/>
    <w:rsid w:val="000C222C"/>
    <w:rsid w:val="000C4397"/>
    <w:rsid w:val="000C51D9"/>
    <w:rsid w:val="000F7599"/>
    <w:rsid w:val="001027F6"/>
    <w:rsid w:val="00105FC8"/>
    <w:rsid w:val="00114CCC"/>
    <w:rsid w:val="00117853"/>
    <w:rsid w:val="00124529"/>
    <w:rsid w:val="0012527E"/>
    <w:rsid w:val="00132B8E"/>
    <w:rsid w:val="001340AD"/>
    <w:rsid w:val="001424AC"/>
    <w:rsid w:val="00144E45"/>
    <w:rsid w:val="00146564"/>
    <w:rsid w:val="001470ED"/>
    <w:rsid w:val="00147285"/>
    <w:rsid w:val="0015354D"/>
    <w:rsid w:val="001658AF"/>
    <w:rsid w:val="001676F4"/>
    <w:rsid w:val="001730B8"/>
    <w:rsid w:val="001808F3"/>
    <w:rsid w:val="001821EF"/>
    <w:rsid w:val="00187C89"/>
    <w:rsid w:val="00192C00"/>
    <w:rsid w:val="001A496A"/>
    <w:rsid w:val="001A6A8F"/>
    <w:rsid w:val="001B3F12"/>
    <w:rsid w:val="001C0B3A"/>
    <w:rsid w:val="001C16D5"/>
    <w:rsid w:val="001C77BF"/>
    <w:rsid w:val="001D0B3D"/>
    <w:rsid w:val="001E0AF3"/>
    <w:rsid w:val="001E1CC7"/>
    <w:rsid w:val="001E5ED1"/>
    <w:rsid w:val="001F6A38"/>
    <w:rsid w:val="00200B31"/>
    <w:rsid w:val="00213FF5"/>
    <w:rsid w:val="002201EE"/>
    <w:rsid w:val="002205D5"/>
    <w:rsid w:val="00222CC7"/>
    <w:rsid w:val="002232E9"/>
    <w:rsid w:val="00231058"/>
    <w:rsid w:val="00234F54"/>
    <w:rsid w:val="00235031"/>
    <w:rsid w:val="00243FAF"/>
    <w:rsid w:val="00282512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4063"/>
    <w:rsid w:val="002D2713"/>
    <w:rsid w:val="002D2A79"/>
    <w:rsid w:val="002F09CD"/>
    <w:rsid w:val="002F38DB"/>
    <w:rsid w:val="002F58D2"/>
    <w:rsid w:val="002F5AC0"/>
    <w:rsid w:val="003111D6"/>
    <w:rsid w:val="00325184"/>
    <w:rsid w:val="00325B20"/>
    <w:rsid w:val="00333C97"/>
    <w:rsid w:val="00335A8E"/>
    <w:rsid w:val="00336913"/>
    <w:rsid w:val="00336F5F"/>
    <w:rsid w:val="003406A1"/>
    <w:rsid w:val="003445C2"/>
    <w:rsid w:val="003463A5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7831"/>
    <w:rsid w:val="003B2C00"/>
    <w:rsid w:val="003C4710"/>
    <w:rsid w:val="003D234C"/>
    <w:rsid w:val="003D4587"/>
    <w:rsid w:val="003D5CD7"/>
    <w:rsid w:val="003E2D2B"/>
    <w:rsid w:val="003E3AFB"/>
    <w:rsid w:val="003E6884"/>
    <w:rsid w:val="003F0249"/>
    <w:rsid w:val="003F526B"/>
    <w:rsid w:val="003F6E9F"/>
    <w:rsid w:val="00401411"/>
    <w:rsid w:val="004030D7"/>
    <w:rsid w:val="004058AB"/>
    <w:rsid w:val="004074EC"/>
    <w:rsid w:val="00407C03"/>
    <w:rsid w:val="00422679"/>
    <w:rsid w:val="00422F7E"/>
    <w:rsid w:val="004251EA"/>
    <w:rsid w:val="00434DB4"/>
    <w:rsid w:val="00440497"/>
    <w:rsid w:val="00467723"/>
    <w:rsid w:val="004817FE"/>
    <w:rsid w:val="00482638"/>
    <w:rsid w:val="0048363B"/>
    <w:rsid w:val="00483717"/>
    <w:rsid w:val="00497013"/>
    <w:rsid w:val="004C393F"/>
    <w:rsid w:val="004C4680"/>
    <w:rsid w:val="004D4D90"/>
    <w:rsid w:val="004D5B71"/>
    <w:rsid w:val="004D5EE7"/>
    <w:rsid w:val="004D7036"/>
    <w:rsid w:val="004F2581"/>
    <w:rsid w:val="004F7051"/>
    <w:rsid w:val="004F73C3"/>
    <w:rsid w:val="00501203"/>
    <w:rsid w:val="00501D7C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83CCF"/>
    <w:rsid w:val="005844C3"/>
    <w:rsid w:val="00592B92"/>
    <w:rsid w:val="005A6E43"/>
    <w:rsid w:val="005A730B"/>
    <w:rsid w:val="005A7815"/>
    <w:rsid w:val="005B2517"/>
    <w:rsid w:val="005B30AA"/>
    <w:rsid w:val="005D333C"/>
    <w:rsid w:val="005E018C"/>
    <w:rsid w:val="005E52D5"/>
    <w:rsid w:val="005E683B"/>
    <w:rsid w:val="005E753C"/>
    <w:rsid w:val="005E7F1F"/>
    <w:rsid w:val="005F171B"/>
    <w:rsid w:val="00604678"/>
    <w:rsid w:val="00605A3A"/>
    <w:rsid w:val="00615A35"/>
    <w:rsid w:val="00617D02"/>
    <w:rsid w:val="00617E2B"/>
    <w:rsid w:val="006231CD"/>
    <w:rsid w:val="00624578"/>
    <w:rsid w:val="00630246"/>
    <w:rsid w:val="00636159"/>
    <w:rsid w:val="00641E13"/>
    <w:rsid w:val="00644D9B"/>
    <w:rsid w:val="006554F1"/>
    <w:rsid w:val="006575A2"/>
    <w:rsid w:val="00660CA5"/>
    <w:rsid w:val="00662CB0"/>
    <w:rsid w:val="006656A3"/>
    <w:rsid w:val="00681CDC"/>
    <w:rsid w:val="0068705D"/>
    <w:rsid w:val="00690954"/>
    <w:rsid w:val="0069233E"/>
    <w:rsid w:val="006B2715"/>
    <w:rsid w:val="006B3971"/>
    <w:rsid w:val="006B5B34"/>
    <w:rsid w:val="006C064B"/>
    <w:rsid w:val="006C2735"/>
    <w:rsid w:val="006C58ED"/>
    <w:rsid w:val="006D46A2"/>
    <w:rsid w:val="006D637F"/>
    <w:rsid w:val="006E3A71"/>
    <w:rsid w:val="006E4206"/>
    <w:rsid w:val="006F1C90"/>
    <w:rsid w:val="006F20E7"/>
    <w:rsid w:val="006F3DF7"/>
    <w:rsid w:val="006F5206"/>
    <w:rsid w:val="00712C4D"/>
    <w:rsid w:val="00713CB2"/>
    <w:rsid w:val="00714689"/>
    <w:rsid w:val="007233ED"/>
    <w:rsid w:val="00723F68"/>
    <w:rsid w:val="00725D43"/>
    <w:rsid w:val="00732350"/>
    <w:rsid w:val="007363AB"/>
    <w:rsid w:val="00740209"/>
    <w:rsid w:val="00753667"/>
    <w:rsid w:val="007548EA"/>
    <w:rsid w:val="007550A1"/>
    <w:rsid w:val="007665EB"/>
    <w:rsid w:val="00773EFF"/>
    <w:rsid w:val="00792A89"/>
    <w:rsid w:val="00792D7F"/>
    <w:rsid w:val="007962F0"/>
    <w:rsid w:val="007A52D7"/>
    <w:rsid w:val="007A75BF"/>
    <w:rsid w:val="007B59B4"/>
    <w:rsid w:val="007D1CE0"/>
    <w:rsid w:val="007D34F1"/>
    <w:rsid w:val="007D7943"/>
    <w:rsid w:val="007E208A"/>
    <w:rsid w:val="007E6740"/>
    <w:rsid w:val="007F433A"/>
    <w:rsid w:val="007F7361"/>
    <w:rsid w:val="0080257E"/>
    <w:rsid w:val="008052B5"/>
    <w:rsid w:val="00805EDD"/>
    <w:rsid w:val="0081616D"/>
    <w:rsid w:val="00824C1C"/>
    <w:rsid w:val="0083288B"/>
    <w:rsid w:val="00836379"/>
    <w:rsid w:val="00840A98"/>
    <w:rsid w:val="0084181C"/>
    <w:rsid w:val="008424E2"/>
    <w:rsid w:val="00847401"/>
    <w:rsid w:val="00850ABD"/>
    <w:rsid w:val="008535E1"/>
    <w:rsid w:val="00864926"/>
    <w:rsid w:val="0087209B"/>
    <w:rsid w:val="008776C1"/>
    <w:rsid w:val="00880551"/>
    <w:rsid w:val="00886F67"/>
    <w:rsid w:val="008A167B"/>
    <w:rsid w:val="008A1A20"/>
    <w:rsid w:val="008B0CE0"/>
    <w:rsid w:val="008C09BC"/>
    <w:rsid w:val="008E273D"/>
    <w:rsid w:val="008E276D"/>
    <w:rsid w:val="00900743"/>
    <w:rsid w:val="00900D67"/>
    <w:rsid w:val="00904ABC"/>
    <w:rsid w:val="00907110"/>
    <w:rsid w:val="0091013F"/>
    <w:rsid w:val="009165BE"/>
    <w:rsid w:val="00924AC2"/>
    <w:rsid w:val="0092698F"/>
    <w:rsid w:val="009270E0"/>
    <w:rsid w:val="00927538"/>
    <w:rsid w:val="009375F4"/>
    <w:rsid w:val="0095042F"/>
    <w:rsid w:val="00950A90"/>
    <w:rsid w:val="0096021F"/>
    <w:rsid w:val="00973995"/>
    <w:rsid w:val="00974D16"/>
    <w:rsid w:val="00976C53"/>
    <w:rsid w:val="00987132"/>
    <w:rsid w:val="00992BC9"/>
    <w:rsid w:val="00993A4E"/>
    <w:rsid w:val="009A4D18"/>
    <w:rsid w:val="009A6E9C"/>
    <w:rsid w:val="009B1C11"/>
    <w:rsid w:val="009B340D"/>
    <w:rsid w:val="009B52C7"/>
    <w:rsid w:val="009B5730"/>
    <w:rsid w:val="009B5907"/>
    <w:rsid w:val="009B6091"/>
    <w:rsid w:val="009C3FCB"/>
    <w:rsid w:val="009C64A0"/>
    <w:rsid w:val="009D5ADE"/>
    <w:rsid w:val="009E3DD1"/>
    <w:rsid w:val="009F02BE"/>
    <w:rsid w:val="009F1E49"/>
    <w:rsid w:val="009F6847"/>
    <w:rsid w:val="00A12841"/>
    <w:rsid w:val="00A150E7"/>
    <w:rsid w:val="00A158D0"/>
    <w:rsid w:val="00A1793A"/>
    <w:rsid w:val="00A24A2E"/>
    <w:rsid w:val="00A26C59"/>
    <w:rsid w:val="00A41EE9"/>
    <w:rsid w:val="00A43190"/>
    <w:rsid w:val="00A44F81"/>
    <w:rsid w:val="00A62075"/>
    <w:rsid w:val="00A63125"/>
    <w:rsid w:val="00A65047"/>
    <w:rsid w:val="00A71A5B"/>
    <w:rsid w:val="00A73393"/>
    <w:rsid w:val="00A737A1"/>
    <w:rsid w:val="00A73F21"/>
    <w:rsid w:val="00A74C80"/>
    <w:rsid w:val="00A93440"/>
    <w:rsid w:val="00A962AC"/>
    <w:rsid w:val="00AB24B9"/>
    <w:rsid w:val="00AB610D"/>
    <w:rsid w:val="00AD2CA6"/>
    <w:rsid w:val="00AE229A"/>
    <w:rsid w:val="00AE3D4E"/>
    <w:rsid w:val="00AF0E45"/>
    <w:rsid w:val="00AF5E63"/>
    <w:rsid w:val="00AF69CC"/>
    <w:rsid w:val="00B02BE2"/>
    <w:rsid w:val="00B06716"/>
    <w:rsid w:val="00B15262"/>
    <w:rsid w:val="00B157CC"/>
    <w:rsid w:val="00B17306"/>
    <w:rsid w:val="00B250DD"/>
    <w:rsid w:val="00B26A34"/>
    <w:rsid w:val="00B35626"/>
    <w:rsid w:val="00B51FE9"/>
    <w:rsid w:val="00B571E4"/>
    <w:rsid w:val="00B60987"/>
    <w:rsid w:val="00B622FD"/>
    <w:rsid w:val="00B67AED"/>
    <w:rsid w:val="00B76BA7"/>
    <w:rsid w:val="00B85D35"/>
    <w:rsid w:val="00B92CB4"/>
    <w:rsid w:val="00BA29E1"/>
    <w:rsid w:val="00BB44F5"/>
    <w:rsid w:val="00BB5467"/>
    <w:rsid w:val="00BB66B2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F13C6"/>
    <w:rsid w:val="00C00B35"/>
    <w:rsid w:val="00C02C7A"/>
    <w:rsid w:val="00C16C62"/>
    <w:rsid w:val="00C33956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278B"/>
    <w:rsid w:val="00C82E60"/>
    <w:rsid w:val="00C83DE1"/>
    <w:rsid w:val="00C863E5"/>
    <w:rsid w:val="00C92C44"/>
    <w:rsid w:val="00C95A8E"/>
    <w:rsid w:val="00C96609"/>
    <w:rsid w:val="00C96FBC"/>
    <w:rsid w:val="00CA4696"/>
    <w:rsid w:val="00CA4C6F"/>
    <w:rsid w:val="00CB0295"/>
    <w:rsid w:val="00CB510C"/>
    <w:rsid w:val="00CC0545"/>
    <w:rsid w:val="00CC1F73"/>
    <w:rsid w:val="00CC58F0"/>
    <w:rsid w:val="00CD67F4"/>
    <w:rsid w:val="00D0380A"/>
    <w:rsid w:val="00D03F61"/>
    <w:rsid w:val="00D10CA5"/>
    <w:rsid w:val="00D14A5A"/>
    <w:rsid w:val="00D15F27"/>
    <w:rsid w:val="00D21B9D"/>
    <w:rsid w:val="00D41012"/>
    <w:rsid w:val="00D416BD"/>
    <w:rsid w:val="00D44B05"/>
    <w:rsid w:val="00D57E24"/>
    <w:rsid w:val="00D64B17"/>
    <w:rsid w:val="00D64E86"/>
    <w:rsid w:val="00D67D3A"/>
    <w:rsid w:val="00D7279B"/>
    <w:rsid w:val="00D80BA9"/>
    <w:rsid w:val="00D81243"/>
    <w:rsid w:val="00D82B56"/>
    <w:rsid w:val="00D8429A"/>
    <w:rsid w:val="00D87B4A"/>
    <w:rsid w:val="00D9158E"/>
    <w:rsid w:val="00D9737D"/>
    <w:rsid w:val="00D97C9F"/>
    <w:rsid w:val="00D97D9F"/>
    <w:rsid w:val="00DA2D12"/>
    <w:rsid w:val="00DA5748"/>
    <w:rsid w:val="00DA65E8"/>
    <w:rsid w:val="00DA778F"/>
    <w:rsid w:val="00DB7227"/>
    <w:rsid w:val="00DC660A"/>
    <w:rsid w:val="00DD0AD1"/>
    <w:rsid w:val="00DD4B87"/>
    <w:rsid w:val="00DD69DA"/>
    <w:rsid w:val="00DE028B"/>
    <w:rsid w:val="00DF395D"/>
    <w:rsid w:val="00DF3B8B"/>
    <w:rsid w:val="00DF5C2E"/>
    <w:rsid w:val="00DF7861"/>
    <w:rsid w:val="00E05F4A"/>
    <w:rsid w:val="00E06D21"/>
    <w:rsid w:val="00E112E1"/>
    <w:rsid w:val="00E1223F"/>
    <w:rsid w:val="00E12384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87684"/>
    <w:rsid w:val="00E95D0B"/>
    <w:rsid w:val="00EA1182"/>
    <w:rsid w:val="00EA7372"/>
    <w:rsid w:val="00EB04FD"/>
    <w:rsid w:val="00EB0596"/>
    <w:rsid w:val="00EB0BF3"/>
    <w:rsid w:val="00EB19BC"/>
    <w:rsid w:val="00EC6ABC"/>
    <w:rsid w:val="00ED22C5"/>
    <w:rsid w:val="00ED36C2"/>
    <w:rsid w:val="00EE0FB5"/>
    <w:rsid w:val="00EF35DC"/>
    <w:rsid w:val="00F3242C"/>
    <w:rsid w:val="00F343BD"/>
    <w:rsid w:val="00F51D02"/>
    <w:rsid w:val="00F53871"/>
    <w:rsid w:val="00F53DC3"/>
    <w:rsid w:val="00F54186"/>
    <w:rsid w:val="00F602C9"/>
    <w:rsid w:val="00F62A59"/>
    <w:rsid w:val="00F74A26"/>
    <w:rsid w:val="00F94007"/>
    <w:rsid w:val="00F96DF2"/>
    <w:rsid w:val="00FA31B0"/>
    <w:rsid w:val="00FC235B"/>
    <w:rsid w:val="00FC3596"/>
    <w:rsid w:val="00FC7DB3"/>
    <w:rsid w:val="00FD0D2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2203-8535-441F-B74D-CCFD9BBA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2386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Dolinek</cp:lastModifiedBy>
  <cp:revision>5</cp:revision>
  <cp:lastPrinted>2016-08-08T06:12:00Z</cp:lastPrinted>
  <dcterms:created xsi:type="dcterms:W3CDTF">2016-08-08T06:06:00Z</dcterms:created>
  <dcterms:modified xsi:type="dcterms:W3CDTF">2016-08-15T11:09:00Z</dcterms:modified>
</cp:coreProperties>
</file>