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418" w:rsidRDefault="00591418" w:rsidP="00591418">
      <w:pPr>
        <w:rPr>
          <w:rFonts w:eastAsia="Times New Roman"/>
        </w:rPr>
      </w:pPr>
      <w:r>
        <w:rPr>
          <w:rFonts w:eastAsia="Times New Roman"/>
        </w:rPr>
        <w:t>Dobrý den,</w:t>
      </w:r>
    </w:p>
    <w:p w:rsidR="00591418" w:rsidRDefault="00591418" w:rsidP="00591418">
      <w:pPr>
        <w:rPr>
          <w:rFonts w:eastAsia="Times New Roman"/>
        </w:rPr>
      </w:pPr>
    </w:p>
    <w:p w:rsidR="00591418" w:rsidRDefault="00591418" w:rsidP="00591418">
      <w:pPr>
        <w:spacing w:after="240"/>
        <w:rPr>
          <w:rFonts w:eastAsia="Times New Roman"/>
        </w:rPr>
      </w:pPr>
      <w:r>
        <w:rPr>
          <w:rFonts w:ascii="Calibri" w:eastAsia="Times New Roman" w:hAnsi="Calibri"/>
          <w:sz w:val="22"/>
          <w:szCs w:val="22"/>
          <w:lang w:eastAsia="en-US"/>
        </w:rPr>
        <w:t>Souhlasím s uveřejněním objednávky číslo 820 v registru smluv.</w:t>
      </w:r>
    </w:p>
    <w:p w:rsidR="00591418" w:rsidRDefault="00591418" w:rsidP="00591418">
      <w:pPr>
        <w:rPr>
          <w:rFonts w:eastAsia="Times New Roman"/>
        </w:rPr>
      </w:pPr>
      <w:r>
        <w:rPr>
          <w:rFonts w:eastAsia="Times New Roman"/>
        </w:rPr>
        <w:t>S pozdravem</w:t>
      </w:r>
      <w:r>
        <w:rPr>
          <w:rFonts w:eastAsia="Times New Roman"/>
        </w:rPr>
        <w:br/>
      </w:r>
      <w:r>
        <w:rPr>
          <w:rFonts w:eastAsia="Times New Roman"/>
        </w:rPr>
        <w:br/>
      </w:r>
      <w:proofErr w:type="spellStart"/>
      <w:r>
        <w:rPr>
          <w:rFonts w:eastAsia="Times New Roman"/>
        </w:rPr>
        <w:t>xxxx</w:t>
      </w:r>
      <w:proofErr w:type="spellEnd"/>
    </w:p>
    <w:p w:rsidR="00591418" w:rsidRDefault="00591418" w:rsidP="00591418">
      <w:pPr>
        <w:rPr>
          <w:rFonts w:eastAsia="Times New Roman"/>
        </w:rPr>
      </w:pPr>
      <w:r>
        <w:rPr>
          <w:rFonts w:eastAsia="Times New Roman"/>
        </w:rPr>
        <w:t xml:space="preserve">tel.: </w:t>
      </w:r>
      <w:r>
        <w:rPr>
          <w:rFonts w:eastAsia="Times New Roman"/>
        </w:rPr>
        <w:t>xxxx</w:t>
      </w:r>
      <w:bookmarkStart w:id="0" w:name="_GoBack"/>
      <w:bookmarkEnd w:id="0"/>
    </w:p>
    <w:p w:rsidR="00591418" w:rsidRDefault="00591418" w:rsidP="00591418">
      <w:pPr>
        <w:rPr>
          <w:rFonts w:eastAsia="Times New Roman"/>
        </w:rPr>
      </w:pPr>
      <w:r>
        <w:rPr>
          <w:rFonts w:eastAsia="Times New Roman"/>
          <w:noProof/>
        </w:rPr>
        <w:drawing>
          <wp:inline distT="0" distB="0" distL="0" distR="0">
            <wp:extent cx="1000125" cy="571500"/>
            <wp:effectExtent l="0" t="0" r="9525" b="0"/>
            <wp:docPr id="1" name="Obrázek 1" descr="cid:f9df7e96-91e2-49f2-bb68-1a0085ce9f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f9df7e96-91e2-49f2-bb68-1a0085ce9f55.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00125" cy="571500"/>
                    </a:xfrm>
                    <a:prstGeom prst="rect">
                      <a:avLst/>
                    </a:prstGeom>
                    <a:noFill/>
                    <a:ln>
                      <a:noFill/>
                    </a:ln>
                  </pic:spPr>
                </pic:pic>
              </a:graphicData>
            </a:graphic>
          </wp:inline>
        </w:drawing>
      </w:r>
      <w:r>
        <w:rPr>
          <w:rFonts w:eastAsia="Times New Roman"/>
        </w:rPr>
        <w:br/>
      </w:r>
      <w:r>
        <w:rPr>
          <w:rFonts w:eastAsia="Times New Roman"/>
          <w:sz w:val="15"/>
          <w:szCs w:val="15"/>
        </w:rPr>
        <w:t>BAK stavební společnost, a.s.</w:t>
      </w:r>
    </w:p>
    <w:p w:rsidR="00591418" w:rsidRDefault="00591418" w:rsidP="00591418">
      <w:pPr>
        <w:spacing w:before="75" w:after="75"/>
        <w:ind w:left="75" w:right="75"/>
      </w:pPr>
      <w:proofErr w:type="spellStart"/>
      <w:r>
        <w:rPr>
          <w:sz w:val="15"/>
          <w:szCs w:val="15"/>
        </w:rPr>
        <w:t>Žitenická</w:t>
      </w:r>
      <w:proofErr w:type="spellEnd"/>
      <w:r>
        <w:rPr>
          <w:sz w:val="15"/>
          <w:szCs w:val="15"/>
        </w:rPr>
        <w:t xml:space="preserve"> 871/1, Prosek, 190  00  Praha 9</w:t>
      </w:r>
    </w:p>
    <w:p w:rsidR="00591418" w:rsidRDefault="00591418" w:rsidP="00591418">
      <w:pPr>
        <w:spacing w:before="75" w:after="75"/>
        <w:ind w:left="75" w:right="75"/>
      </w:pPr>
      <w:r>
        <w:rPr>
          <w:sz w:val="15"/>
          <w:szCs w:val="15"/>
        </w:rPr>
        <w:t>IČ: 28402758  DIČ:CZ28402758 </w:t>
      </w:r>
      <w:r>
        <w:rPr>
          <w:sz w:val="18"/>
          <w:szCs w:val="18"/>
        </w:rPr>
        <w:t xml:space="preserve"> </w:t>
      </w:r>
    </w:p>
    <w:p w:rsidR="00591418" w:rsidRDefault="00591418" w:rsidP="00591418">
      <w:pPr>
        <w:rPr>
          <w:rFonts w:eastAsia="Times New Roman"/>
        </w:rPr>
      </w:pPr>
    </w:p>
    <w:p w:rsidR="00591418" w:rsidRDefault="00591418" w:rsidP="00591418">
      <w:pPr>
        <w:rPr>
          <w:rFonts w:eastAsia="Times New Roman"/>
        </w:rPr>
      </w:pPr>
      <w:r>
        <w:rPr>
          <w:rFonts w:eastAsia="Times New Roman"/>
          <w:sz w:val="15"/>
          <w:szCs w:val="15"/>
        </w:rPr>
        <w:t xml:space="preserve">Společnost BAK stavební společnost, a.s. upozorňuje příjemce této elektronické zprávy, že tímto způsobem nečiní a ani nepřijímá nabídku a že z případného ukončení vyjednávání o smlouvě v jakékoliv fázi, a to i bez vážného důvodu, nelze vyvozovat žádné následky. Společnost BAK stavební společnost, a.s. může vstupovat do smluvních vztahů pouze prostřednictvím osob oprávněných jednat jejím jménem, avšak ani tyto osoby nemohou vstupovat do smluvních vtahů formou elektronického podání. Tato zpráva tedy nemůže být vykládána jako důvodné očekávání uzavření smlouvy. Přijetí návrhu na uzavření smlouvy (nabídky) s dodatkem nebo odchylkou </w:t>
      </w:r>
      <w:proofErr w:type="gramStart"/>
      <w:r>
        <w:rPr>
          <w:rFonts w:eastAsia="Times New Roman"/>
          <w:sz w:val="15"/>
          <w:szCs w:val="15"/>
        </w:rPr>
        <w:t>se</w:t>
      </w:r>
      <w:proofErr w:type="gramEnd"/>
      <w:r>
        <w:rPr>
          <w:rFonts w:eastAsia="Times New Roman"/>
          <w:sz w:val="15"/>
          <w:szCs w:val="15"/>
        </w:rPr>
        <w:t xml:space="preserve"> v souladu s </w:t>
      </w:r>
      <w:proofErr w:type="spellStart"/>
      <w:r>
        <w:rPr>
          <w:rFonts w:eastAsia="Times New Roman"/>
          <w:sz w:val="15"/>
          <w:szCs w:val="15"/>
        </w:rPr>
        <w:t>ust</w:t>
      </w:r>
      <w:proofErr w:type="spellEnd"/>
      <w:r>
        <w:rPr>
          <w:rFonts w:eastAsia="Times New Roman"/>
          <w:sz w:val="15"/>
          <w:szCs w:val="15"/>
        </w:rPr>
        <w:t xml:space="preserve">. § 1740 odst. 3 zák. č. 89/2012 Sb., občanského zákoníku vylučuje. </w:t>
      </w:r>
    </w:p>
    <w:p w:rsidR="001039CA" w:rsidRDefault="00591418" w:rsidP="00591418">
      <w:r>
        <w:rPr>
          <w:rFonts w:eastAsia="Times New Roman"/>
        </w:rPr>
        <w:br/>
      </w:r>
    </w:p>
    <w:sectPr w:rsidR="001039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418"/>
    <w:rsid w:val="001039CA"/>
    <w:rsid w:val="005914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42E2A3-8DCF-45E2-B9A3-C5952514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91418"/>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77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f9df7e96-91e2-49f2-bb68-1a0085ce9f55.jpg"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800</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Mitroliosová</dc:creator>
  <cp:keywords/>
  <dc:description/>
  <cp:lastModifiedBy>Eleni Mitroliosová</cp:lastModifiedBy>
  <cp:revision>1</cp:revision>
  <dcterms:created xsi:type="dcterms:W3CDTF">2019-08-05T12:11:00Z</dcterms:created>
  <dcterms:modified xsi:type="dcterms:W3CDTF">2019-08-05T12:12:00Z</dcterms:modified>
</cp:coreProperties>
</file>