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AC2A3C" w:rsidP="00761B30">
            <w:pPr>
              <w:rPr>
                <w:rFonts w:ascii="Arial" w:hAnsi="Arial" w:cs="Arial"/>
                <w:b/>
                <w:sz w:val="22"/>
              </w:rPr>
            </w:pPr>
            <w:r>
              <w:rPr>
                <w:rFonts w:ascii="Arial" w:hAnsi="Arial" w:cs="Arial"/>
                <w:b/>
                <w:sz w:val="22"/>
              </w:rPr>
              <w:t>COPPEX</w:t>
            </w:r>
            <w:r w:rsidR="007A65F3">
              <w:rPr>
                <w:rFonts w:ascii="Arial" w:hAnsi="Arial" w:cs="Arial"/>
                <w:b/>
                <w:sz w:val="22"/>
              </w:rPr>
              <w:t xml:space="preserve"> spol. s r.o.</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F2CAE" w:rsidRPr="008F3025"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tc>
        <w:tc>
          <w:tcPr>
            <w:tcW w:w="5832" w:type="dxa"/>
          </w:tcPr>
          <w:p w:rsidR="009F2CAE" w:rsidRPr="008F3025" w:rsidRDefault="007A65F3" w:rsidP="00761B30">
            <w:pPr>
              <w:rPr>
                <w:rFonts w:ascii="Arial" w:hAnsi="Arial" w:cs="Arial"/>
                <w:sz w:val="22"/>
              </w:rPr>
            </w:pPr>
            <w:r>
              <w:rPr>
                <w:rFonts w:ascii="Arial" w:hAnsi="Arial" w:cs="Arial"/>
                <w:sz w:val="22"/>
              </w:rPr>
              <w:t>Klánovická 485/43, 198 00 Praha 9</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7A65F3" w:rsidP="00761B30">
            <w:pPr>
              <w:rPr>
                <w:rFonts w:ascii="Arial" w:hAnsi="Arial" w:cs="Arial"/>
                <w:sz w:val="22"/>
              </w:rPr>
            </w:pPr>
            <w:r>
              <w:rPr>
                <w:rFonts w:ascii="Arial" w:hAnsi="Arial" w:cs="Arial"/>
                <w:sz w:val="22"/>
              </w:rPr>
              <w:t>Ing. Richard Sedlický – jednatel</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EF6B90" w:rsidP="00761B30">
            <w:pPr>
              <w:rPr>
                <w:rFonts w:ascii="Arial" w:hAnsi="Arial" w:cs="Arial"/>
                <w:sz w:val="22"/>
              </w:rPr>
            </w:pPr>
            <w:proofErr w:type="spellStart"/>
            <w:r>
              <w:rPr>
                <w:rFonts w:ascii="Arial" w:hAnsi="Arial" w:cs="Arial"/>
                <w:sz w:val="22"/>
              </w:rPr>
              <w:t>xxxxxxxxxxxxxxxxxxxxxxx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7A65F3" w:rsidP="00761B30">
            <w:pPr>
              <w:rPr>
                <w:rFonts w:ascii="Arial" w:hAnsi="Arial" w:cs="Arial"/>
                <w:sz w:val="22"/>
              </w:rPr>
            </w:pPr>
            <w:r>
              <w:rPr>
                <w:rFonts w:ascii="Arial" w:hAnsi="Arial" w:cs="Arial"/>
                <w:sz w:val="22"/>
              </w:rPr>
              <w:t>26491222</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7A65F3" w:rsidP="00761B30">
            <w:pPr>
              <w:rPr>
                <w:rFonts w:ascii="Arial" w:hAnsi="Arial" w:cs="Arial"/>
                <w:sz w:val="22"/>
              </w:rPr>
            </w:pPr>
            <w:r>
              <w:rPr>
                <w:rFonts w:ascii="Arial" w:hAnsi="Arial" w:cs="Arial"/>
                <w:sz w:val="22"/>
              </w:rPr>
              <w:t>CZ26491222</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EF6B90" w:rsidP="00761B30">
            <w:pPr>
              <w:rPr>
                <w:rFonts w:ascii="Arial" w:hAnsi="Arial" w:cs="Arial"/>
                <w:sz w:val="22"/>
              </w:rPr>
            </w:pPr>
            <w:proofErr w:type="spellStart"/>
            <w:r>
              <w:rPr>
                <w:rFonts w:ascii="Arial" w:hAnsi="Arial" w:cs="Arial"/>
                <w:sz w:val="22"/>
              </w:rPr>
              <w:t>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EF6B90" w:rsidP="00761B30">
            <w:pPr>
              <w:rPr>
                <w:rFonts w:ascii="Arial" w:hAnsi="Arial" w:cs="Arial"/>
                <w:sz w:val="22"/>
              </w:rPr>
            </w:pPr>
            <w:proofErr w:type="spellStart"/>
            <w:r>
              <w:rPr>
                <w:rFonts w:ascii="Arial" w:hAnsi="Arial" w:cs="Arial"/>
                <w:sz w:val="22"/>
              </w:rPr>
              <w:t>Xxxxxxxxxxxxxxxxxxxxxx</w:t>
            </w:r>
            <w:proofErr w:type="spellEnd"/>
          </w:p>
        </w:tc>
      </w:tr>
      <w:tr w:rsidR="009F2CAE"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EF6B90" w:rsidP="00761B30">
            <w:pPr>
              <w:rPr>
                <w:rFonts w:ascii="Arial" w:hAnsi="Arial" w:cs="Arial"/>
                <w:sz w:val="22"/>
              </w:rPr>
            </w:pPr>
            <w:proofErr w:type="spellStart"/>
            <w:r>
              <w:rPr>
                <w:rFonts w:ascii="Arial" w:hAnsi="Arial" w:cs="Arial"/>
                <w:sz w:val="22"/>
              </w:rPr>
              <w:t>Xxxxxxxxxxxxxxxxxxxxxxx</w:t>
            </w:r>
            <w:proofErr w:type="spellEnd"/>
          </w:p>
        </w:tc>
      </w:tr>
    </w:tbl>
    <w:p w:rsidR="00F12975" w:rsidRPr="008F3025" w:rsidRDefault="00F12975" w:rsidP="00E001DF">
      <w:pPr>
        <w:rPr>
          <w:rFonts w:ascii="Arial" w:hAnsi="Arial" w:cs="Arial"/>
          <w:b/>
          <w:sz w:val="24"/>
          <w:szCs w:val="24"/>
        </w:rPr>
      </w:pPr>
    </w:p>
    <w:p w:rsidR="0084300C" w:rsidRPr="008F3025" w:rsidRDefault="007A65F3" w:rsidP="0084300C">
      <w:pPr>
        <w:jc w:val="both"/>
        <w:rPr>
          <w:rFonts w:ascii="Arial" w:hAnsi="Arial" w:cs="Arial"/>
          <w:sz w:val="22"/>
          <w:szCs w:val="22"/>
        </w:rPr>
      </w:pPr>
      <w:r>
        <w:rPr>
          <w:rFonts w:ascii="Arial" w:hAnsi="Arial" w:cs="Arial"/>
          <w:sz w:val="22"/>
          <w:szCs w:val="22"/>
        </w:rPr>
        <w:t>Prodávající je zapsán v OR u Mě. Soudu v Praze, odd. C, vložka 85579</w:t>
      </w:r>
    </w:p>
    <w:p w:rsidR="0084300C" w:rsidRPr="008F3025" w:rsidRDefault="0084300C" w:rsidP="0084300C">
      <w:pPr>
        <w:widowControl w:val="0"/>
        <w:spacing w:line="240" w:lineRule="atLeast"/>
        <w:rPr>
          <w:rFonts w:ascii="Arial" w:hAnsi="Arial" w:cs="Arial"/>
          <w:sz w:val="22"/>
          <w:szCs w:val="22"/>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F6B90"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Xxxxxxxxxxxxxxxxxxxxxxxxxxxxxxxxxxxx</w:t>
            </w:r>
            <w:proofErr w:type="spellEnd"/>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F6B90" w:rsidP="009445B7">
            <w:pPr>
              <w:pStyle w:val="Textkomente"/>
              <w:rPr>
                <w:rFonts w:ascii="Arial" w:hAnsi="Arial" w:cs="Arial"/>
                <w:sz w:val="22"/>
              </w:rPr>
            </w:pPr>
            <w:proofErr w:type="spellStart"/>
            <w:r>
              <w:rPr>
                <w:rFonts w:ascii="Arial" w:hAnsi="Arial" w:cs="Arial"/>
                <w:sz w:val="22"/>
              </w:rPr>
              <w:t>Xxxxxxxxxxxxxxxxxxxxxxxxxxxxxxxxxxxxx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F6B90">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F6B90">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F6B90">
            <w:pPr>
              <w:pStyle w:val="Zpat"/>
              <w:tabs>
                <w:tab w:val="clear" w:pos="4536"/>
                <w:tab w:val="clear" w:pos="9072"/>
              </w:tabs>
              <w:rPr>
                <w:rFonts w:ascii="Arial" w:hAnsi="Arial" w:cs="Arial"/>
                <w:sz w:val="22"/>
              </w:rPr>
            </w:pPr>
            <w:proofErr w:type="spellStart"/>
            <w:r>
              <w:rPr>
                <w:rFonts w:ascii="Arial" w:hAnsi="Arial" w:cs="Arial"/>
                <w:sz w:val="22"/>
              </w:rPr>
              <w:t>xxxxxxxxxxxxxxxx</w:t>
            </w:r>
            <w:proofErr w:type="spellEnd"/>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 movité věci, a to nové a nepoužité</w:t>
      </w:r>
      <w:r w:rsidR="0079045B" w:rsidRPr="008F3025">
        <w:rPr>
          <w:rFonts w:ascii="Arial" w:hAnsi="Arial" w:cs="Arial"/>
        </w:rPr>
        <w:t xml:space="preserve"> </w:t>
      </w:r>
      <w:r w:rsidR="009445B7">
        <w:rPr>
          <w:rFonts w:ascii="Arial" w:hAnsi="Arial" w:cs="Arial"/>
        </w:rPr>
        <w:t xml:space="preserve">výpočetní technice,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rsidR="00924B55" w:rsidRPr="008F3025" w:rsidRDefault="00924B55" w:rsidP="00924B55">
      <w:pPr>
        <w:spacing w:line="120" w:lineRule="auto"/>
        <w:jc w:val="both"/>
        <w:rPr>
          <w:rFonts w:ascii="Arial" w:hAnsi="Arial" w:cs="Arial"/>
          <w:sz w:val="22"/>
        </w:rPr>
      </w:pPr>
      <w:r w:rsidRPr="008F3025">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84"/>
        <w:gridCol w:w="3070"/>
      </w:tblGrid>
      <w:tr w:rsidR="008F3025" w:rsidRPr="008F3025" w:rsidTr="000E418E">
        <w:tc>
          <w:tcPr>
            <w:tcW w:w="3118" w:type="dxa"/>
          </w:tcPr>
          <w:p w:rsidR="00924B55" w:rsidRPr="008F3025" w:rsidRDefault="00924B55" w:rsidP="00761B30">
            <w:pPr>
              <w:jc w:val="both"/>
              <w:rPr>
                <w:rFonts w:ascii="Arial" w:hAnsi="Arial" w:cs="Arial"/>
                <w:sz w:val="22"/>
                <w:szCs w:val="22"/>
              </w:rPr>
            </w:pPr>
          </w:p>
        </w:tc>
        <w:tc>
          <w:tcPr>
            <w:tcW w:w="284" w:type="dxa"/>
          </w:tcPr>
          <w:p w:rsidR="00924B55" w:rsidRPr="008F3025" w:rsidRDefault="00924B55" w:rsidP="00761B30">
            <w:pPr>
              <w:jc w:val="both"/>
              <w:rPr>
                <w:rFonts w:ascii="Arial" w:hAnsi="Arial" w:cs="Arial"/>
                <w:sz w:val="22"/>
                <w:szCs w:val="22"/>
              </w:rPr>
            </w:pPr>
          </w:p>
        </w:tc>
        <w:tc>
          <w:tcPr>
            <w:tcW w:w="3070" w:type="dxa"/>
          </w:tcPr>
          <w:p w:rsidR="00924B55" w:rsidRPr="008F3025" w:rsidRDefault="00924B55" w:rsidP="00761B30">
            <w:pPr>
              <w:jc w:val="both"/>
              <w:rPr>
                <w:rFonts w:ascii="Arial" w:hAnsi="Arial" w:cs="Arial"/>
                <w:sz w:val="22"/>
                <w:szCs w:val="22"/>
              </w:rPr>
            </w:pPr>
          </w:p>
        </w:tc>
      </w:tr>
      <w:tr w:rsidR="00924B55" w:rsidRPr="008F3025" w:rsidTr="000E418E">
        <w:tc>
          <w:tcPr>
            <w:tcW w:w="3118" w:type="dxa"/>
          </w:tcPr>
          <w:p w:rsidR="008F3025" w:rsidRPr="008F3025" w:rsidRDefault="008F3025" w:rsidP="00761B30">
            <w:pPr>
              <w:jc w:val="both"/>
              <w:rPr>
                <w:rFonts w:ascii="Arial" w:hAnsi="Arial" w:cs="Arial"/>
                <w:b/>
                <w:sz w:val="22"/>
                <w:szCs w:val="22"/>
              </w:rPr>
            </w:pPr>
          </w:p>
        </w:tc>
        <w:tc>
          <w:tcPr>
            <w:tcW w:w="284" w:type="dxa"/>
          </w:tcPr>
          <w:p w:rsidR="00924B55" w:rsidRPr="008F3025" w:rsidRDefault="00924B55" w:rsidP="00761B30">
            <w:pPr>
              <w:jc w:val="both"/>
              <w:rPr>
                <w:rFonts w:ascii="Arial" w:hAnsi="Arial" w:cs="Arial"/>
                <w:b/>
                <w:sz w:val="22"/>
                <w:szCs w:val="22"/>
              </w:rPr>
            </w:pPr>
          </w:p>
        </w:tc>
        <w:tc>
          <w:tcPr>
            <w:tcW w:w="3070" w:type="dxa"/>
          </w:tcPr>
          <w:p w:rsidR="00924B55" w:rsidRPr="008F3025" w:rsidRDefault="00924B55" w:rsidP="00761B30">
            <w:pPr>
              <w:jc w:val="both"/>
              <w:rPr>
                <w:rFonts w:ascii="Arial" w:hAnsi="Arial" w:cs="Arial"/>
                <w:b/>
                <w:sz w:val="22"/>
                <w:szCs w:val="22"/>
              </w:rPr>
            </w:pPr>
          </w:p>
        </w:tc>
      </w:tr>
    </w:tbl>
    <w:p w:rsidR="00924B55" w:rsidRPr="008F3025" w:rsidRDefault="00924B55" w:rsidP="00924B55">
      <w:pPr>
        <w:spacing w:line="120" w:lineRule="auto"/>
        <w:jc w:val="both"/>
        <w:rPr>
          <w:rFonts w:ascii="Arial" w:hAnsi="Arial" w:cs="Arial"/>
          <w:b/>
          <w:sz w:val="22"/>
        </w:rPr>
      </w:pPr>
    </w:p>
    <w:p w:rsidR="00924B55" w:rsidRPr="008F3025" w:rsidRDefault="00924B55" w:rsidP="00924B55">
      <w:pPr>
        <w:numPr>
          <w:ilvl w:val="1"/>
          <w:numId w:val="14"/>
        </w:numPr>
        <w:jc w:val="both"/>
        <w:rPr>
          <w:rFonts w:ascii="Arial" w:hAnsi="Arial" w:cs="Arial"/>
          <w:sz w:val="22"/>
        </w:rPr>
      </w:pPr>
      <w:r w:rsidRPr="008F3025">
        <w:rPr>
          <w:rFonts w:ascii="Arial" w:hAnsi="Arial" w:cs="Arial"/>
          <w:sz w:val="22"/>
        </w:rPr>
        <w:t>Podrobná specifikace</w:t>
      </w:r>
      <w:r w:rsidR="0079045B" w:rsidRPr="008F3025">
        <w:rPr>
          <w:rFonts w:ascii="Arial" w:hAnsi="Arial" w:cs="Arial"/>
          <w:sz w:val="22"/>
        </w:rPr>
        <w:t xml:space="preserve"> 1</w:t>
      </w:r>
      <w:r w:rsidR="003A0084" w:rsidRPr="008F3025">
        <w:rPr>
          <w:rFonts w:ascii="Arial" w:hAnsi="Arial" w:cs="Arial"/>
          <w:sz w:val="22"/>
        </w:rPr>
        <w:t xml:space="preserve"> </w:t>
      </w:r>
      <w:r w:rsidR="009445B7">
        <w:rPr>
          <w:rFonts w:ascii="Arial" w:hAnsi="Arial" w:cs="Arial"/>
          <w:sz w:val="22"/>
        </w:rPr>
        <w:t>výpočetní techniky</w:t>
      </w:r>
      <w:r w:rsidRPr="008F3025">
        <w:rPr>
          <w:rFonts w:ascii="Arial" w:hAnsi="Arial" w:cs="Arial"/>
          <w:sz w:val="22"/>
        </w:rPr>
        <w:t xml:space="preserve"> je uvedena v příloze č. 1 kupní smlouvy – Technická specifikace</w:t>
      </w:r>
      <w:r w:rsidR="0079045B" w:rsidRPr="008F3025">
        <w:rPr>
          <w:rFonts w:ascii="Arial" w:hAnsi="Arial" w:cs="Arial"/>
          <w:sz w:val="22"/>
        </w:rPr>
        <w:t xml:space="preserve"> a cenová skladba</w:t>
      </w:r>
      <w:r w:rsidRPr="008F3025">
        <w:rPr>
          <w:rFonts w:ascii="Arial" w:hAnsi="Arial" w:cs="Arial"/>
          <w:sz w:val="22"/>
        </w:rPr>
        <w:t xml:space="preserve">. </w:t>
      </w:r>
    </w:p>
    <w:p w:rsidR="00924B55" w:rsidRDefault="00924B55" w:rsidP="00924B55">
      <w:pPr>
        <w:rPr>
          <w:rFonts w:ascii="Arial" w:hAnsi="Arial" w:cs="Arial"/>
          <w:b/>
          <w:sz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Kupní cena za předmět této smlouvy včetně výbavy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715C62">
        <w:rPr>
          <w:rFonts w:ascii="Arial" w:hAnsi="Arial" w:cs="Arial"/>
          <w:sz w:val="22"/>
        </w:rPr>
        <w:t>89.440</w:t>
      </w:r>
      <w:r w:rsidR="00924B55" w:rsidRPr="008F3025">
        <w:rPr>
          <w:rFonts w:ascii="Arial" w:hAnsi="Arial" w:cs="Arial"/>
          <w:sz w:val="22"/>
        </w:rPr>
        <w:t xml:space="preserve"> Kč bez DPH,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715C62">
        <w:rPr>
          <w:rFonts w:ascii="Arial" w:hAnsi="Arial" w:cs="Arial"/>
          <w:sz w:val="22"/>
        </w:rPr>
        <w:t xml:space="preserve">18.782,40 </w:t>
      </w:r>
      <w:r w:rsidRPr="008F3025">
        <w:rPr>
          <w:rFonts w:ascii="Arial" w:hAnsi="Arial" w:cs="Arial"/>
          <w:sz w:val="22"/>
        </w:rPr>
        <w:t>Kč,</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715C62" w:rsidRPr="00715C62">
        <w:rPr>
          <w:rFonts w:ascii="Arial" w:hAnsi="Arial" w:cs="Arial"/>
          <w:b/>
          <w:sz w:val="22"/>
        </w:rPr>
        <w:t xml:space="preserve">108.222,40 </w:t>
      </w:r>
      <w:r w:rsidRPr="00715C62">
        <w:rPr>
          <w:rFonts w:ascii="Arial" w:hAnsi="Arial" w:cs="Arial"/>
          <w:b/>
          <w:sz w:val="22"/>
        </w:rPr>
        <w:t>Kč včetně DPH</w:t>
      </w:r>
    </w:p>
    <w:p w:rsidR="00924B55" w:rsidRPr="008F3025" w:rsidRDefault="00924B55" w:rsidP="00924B55">
      <w:pPr>
        <w:ind w:firstLine="426"/>
        <w:jc w:val="both"/>
        <w:rPr>
          <w:rFonts w:ascii="Arial" w:hAnsi="Arial" w:cs="Arial"/>
          <w:sz w:val="22"/>
          <w:szCs w:val="22"/>
        </w:rPr>
      </w:pPr>
    </w:p>
    <w:p w:rsidR="00924B55" w:rsidRPr="008F3025" w:rsidRDefault="00924B55" w:rsidP="00924B55">
      <w:pPr>
        <w:pStyle w:val="Odstavecseseznamem"/>
        <w:numPr>
          <w:ilvl w:val="1"/>
          <w:numId w:val="16"/>
        </w:numPr>
        <w:ind w:left="426" w:hanging="426"/>
        <w:jc w:val="both"/>
        <w:rPr>
          <w:rFonts w:ascii="Arial" w:hAnsi="Arial" w:cs="Arial"/>
          <w:sz w:val="22"/>
          <w:szCs w:val="22"/>
        </w:rPr>
      </w:pPr>
      <w:r w:rsidRPr="008F3025">
        <w:rPr>
          <w:rFonts w:ascii="Arial" w:hAnsi="Arial" w:cs="Arial"/>
          <w:sz w:val="22"/>
          <w:szCs w:val="22"/>
        </w:rPr>
        <w:t xml:space="preserve">Podrobně je cena za předmět této smlouvy, včetně příslušenství a výbavy uvedena v příloze č. </w:t>
      </w:r>
      <w:r w:rsidR="0079045B" w:rsidRPr="008F3025">
        <w:rPr>
          <w:rFonts w:ascii="Arial" w:hAnsi="Arial" w:cs="Arial"/>
          <w:sz w:val="22"/>
          <w:szCs w:val="22"/>
        </w:rPr>
        <w:t>1</w:t>
      </w:r>
      <w:r w:rsidRPr="008F3025">
        <w:rPr>
          <w:rFonts w:ascii="Arial" w:hAnsi="Arial" w:cs="Arial"/>
          <w:sz w:val="22"/>
          <w:szCs w:val="22"/>
        </w:rPr>
        <w:t xml:space="preserve"> této smlouvy – </w:t>
      </w:r>
      <w:r w:rsidR="0079045B" w:rsidRPr="008F3025">
        <w:rPr>
          <w:rFonts w:ascii="Arial" w:hAnsi="Arial" w:cs="Arial"/>
          <w:sz w:val="22"/>
        </w:rPr>
        <w:t>Technická specifikace a cenová skladba</w:t>
      </w:r>
      <w:r w:rsidRPr="008F3025">
        <w:rPr>
          <w:rFonts w:ascii="Arial" w:hAnsi="Arial" w:cs="Arial"/>
          <w:sz w:val="22"/>
          <w:szCs w:val="22"/>
        </w:rPr>
        <w:t>.</w:t>
      </w: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9"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w:t>
      </w:r>
      <w:r w:rsidRPr="008F3025">
        <w:rPr>
          <w:rFonts w:ascii="Arial" w:hAnsi="Arial" w:cs="Arial"/>
          <w:szCs w:val="22"/>
        </w:rPr>
        <w:lastRenderedPageBreak/>
        <w:t>zavazuje se Prodávající zaplatit Kupujícímu smluvní pokutu ve výši 1,5 násobku částky, která bude správcem daně vyměřena Kupujícímu jako sankce</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FA08D0">
        <w:rPr>
          <w:rFonts w:ascii="Arial" w:hAnsi="Arial" w:cs="Arial"/>
          <w:b/>
          <w:sz w:val="22"/>
        </w:rPr>
        <w:t>pěti</w:t>
      </w:r>
      <w:r w:rsidR="006F2A21">
        <w:rPr>
          <w:rFonts w:ascii="Arial" w:hAnsi="Arial" w:cs="Arial"/>
          <w:b/>
          <w:sz w:val="22"/>
        </w:rPr>
        <w:t xml:space="preserve"> 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8F3025" w:rsidRDefault="00216B13" w:rsidP="00216B13">
      <w:pPr>
        <w:ind w:left="360"/>
        <w:jc w:val="both"/>
        <w:rPr>
          <w:rFonts w:ascii="Arial" w:hAnsi="Arial" w:cs="Arial"/>
          <w:b/>
          <w:i/>
          <w:sz w:val="22"/>
        </w:rPr>
      </w:pPr>
      <w:r w:rsidRPr="008F3025">
        <w:rPr>
          <w:rFonts w:ascii="Arial" w:hAnsi="Arial" w:cs="Arial"/>
          <w:sz w:val="22"/>
        </w:rPr>
        <w:t xml:space="preserve">Místem předání je </w:t>
      </w:r>
      <w:r w:rsidRPr="008F3025">
        <w:rPr>
          <w:rFonts w:ascii="Arial" w:hAnsi="Arial" w:cs="Arial"/>
          <w:b/>
          <w:sz w:val="22"/>
        </w:rPr>
        <w:t xml:space="preserve">Povodí Ohře, státní podnik, </w:t>
      </w:r>
      <w:r w:rsidR="0079045B" w:rsidRPr="008F3025">
        <w:rPr>
          <w:rFonts w:ascii="Arial" w:hAnsi="Arial" w:cs="Arial"/>
          <w:b/>
          <w:sz w:val="22"/>
        </w:rPr>
        <w:t>PŘ</w:t>
      </w:r>
      <w:r w:rsidR="008C4278" w:rsidRPr="008F3025">
        <w:rPr>
          <w:rFonts w:ascii="Arial" w:hAnsi="Arial" w:cs="Arial"/>
          <w:b/>
          <w:sz w:val="22"/>
        </w:rPr>
        <w:t xml:space="preserve">, </w:t>
      </w:r>
      <w:r w:rsidR="0079045B" w:rsidRPr="008F3025">
        <w:rPr>
          <w:rFonts w:ascii="Arial" w:hAnsi="Arial" w:cs="Arial"/>
          <w:b/>
          <w:sz w:val="22"/>
          <w:szCs w:val="22"/>
        </w:rPr>
        <w:t>Bezručova 4219</w:t>
      </w:r>
      <w:r w:rsidR="0079045B" w:rsidRPr="008F3025">
        <w:rPr>
          <w:rFonts w:ascii="Arial" w:hAnsi="Arial" w:cs="Arial"/>
          <w:b/>
          <w:sz w:val="22"/>
          <w:szCs w:val="22"/>
        </w:rPr>
        <w:br/>
        <w:t xml:space="preserve">430 03 Chomutov.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3572B8" w:rsidRPr="008F3025" w:rsidRDefault="00EF6B90"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w:t>
      </w:r>
      <w:proofErr w:type="spellEnd"/>
      <w:r w:rsidR="003572B8" w:rsidRPr="008F3025">
        <w:rPr>
          <w:rFonts w:ascii="Arial" w:hAnsi="Arial" w:cs="Arial"/>
          <w:sz w:val="22"/>
        </w:rPr>
        <w:t xml:space="preserve">, tel.: </w:t>
      </w:r>
      <w:proofErr w:type="spellStart"/>
      <w:r>
        <w:rPr>
          <w:rFonts w:ascii="Arial" w:hAnsi="Arial" w:cs="Arial"/>
          <w:sz w:val="22"/>
        </w:rPr>
        <w:t>xxxxxxxxxxxxxxxx</w:t>
      </w:r>
      <w:proofErr w:type="spellEnd"/>
      <w:r w:rsidR="003572B8"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715C62" w:rsidRDefault="00216B13" w:rsidP="00216B13">
      <w:pPr>
        <w:autoSpaceDE w:val="0"/>
        <w:autoSpaceDN w:val="0"/>
        <w:adjustRightInd w:val="0"/>
        <w:ind w:firstLine="360"/>
        <w:rPr>
          <w:rFonts w:ascii="Arial" w:hAnsi="Arial" w:cs="Arial"/>
          <w:sz w:val="22"/>
        </w:rPr>
      </w:pPr>
      <w:r w:rsidRPr="008F3025">
        <w:rPr>
          <w:rFonts w:ascii="Arial" w:hAnsi="Arial" w:cs="Arial"/>
          <w:sz w:val="22"/>
        </w:rPr>
        <w:t xml:space="preserve">Kontaktní osoba Prodávajícího </w:t>
      </w:r>
      <w:proofErr w:type="gramStart"/>
      <w:r w:rsidRPr="008F3025">
        <w:rPr>
          <w:rFonts w:ascii="Arial" w:hAnsi="Arial" w:cs="Arial"/>
          <w:sz w:val="22"/>
        </w:rPr>
        <w:t xml:space="preserve">je </w:t>
      </w:r>
      <w:r w:rsidR="00715C62">
        <w:rPr>
          <w:rFonts w:ascii="Arial" w:hAnsi="Arial" w:cs="Arial"/>
          <w:sz w:val="22"/>
        </w:rPr>
        <w:t>:</w:t>
      </w:r>
      <w:proofErr w:type="gramEnd"/>
    </w:p>
    <w:p w:rsidR="00216B13" w:rsidRPr="008F3025" w:rsidRDefault="00EF6B90" w:rsidP="00216B13">
      <w:pPr>
        <w:autoSpaceDE w:val="0"/>
        <w:autoSpaceDN w:val="0"/>
        <w:adjustRightInd w:val="0"/>
        <w:ind w:firstLine="360"/>
        <w:rPr>
          <w:rFonts w:ascii="Arial" w:hAnsi="Arial" w:cs="Arial"/>
          <w:sz w:val="22"/>
        </w:rPr>
      </w:pPr>
      <w:proofErr w:type="spellStart"/>
      <w:r>
        <w:rPr>
          <w:rFonts w:ascii="Arial" w:hAnsi="Arial" w:cs="Arial"/>
          <w:sz w:val="22"/>
        </w:rPr>
        <w:t>xxxxxxxxxxxxxxxxxx</w:t>
      </w:r>
      <w:proofErr w:type="spellEnd"/>
      <w:r w:rsidR="00715C62">
        <w:rPr>
          <w:rFonts w:ascii="Arial" w:hAnsi="Arial" w:cs="Arial"/>
          <w:sz w:val="22"/>
        </w:rPr>
        <w:t xml:space="preserve">, email: </w:t>
      </w:r>
      <w:proofErr w:type="spellStart"/>
      <w:r>
        <w:rPr>
          <w:rFonts w:ascii="Arial" w:hAnsi="Arial" w:cs="Arial"/>
          <w:sz w:val="22"/>
        </w:rPr>
        <w:t>xxxxxxxxxxxxxx</w:t>
      </w:r>
      <w:proofErr w:type="spellEnd"/>
      <w:r w:rsidR="00715C62">
        <w:rPr>
          <w:rFonts w:ascii="Arial" w:hAnsi="Arial" w:cs="Arial"/>
          <w:sz w:val="22"/>
        </w:rPr>
        <w:t xml:space="preserve"> tel: </w:t>
      </w:r>
      <w:proofErr w:type="spellStart"/>
      <w:r>
        <w:rPr>
          <w:rFonts w:ascii="Arial" w:hAnsi="Arial" w:cs="Arial"/>
          <w:sz w:val="22"/>
        </w:rPr>
        <w:t>xxxxxxxxxxxxxx</w:t>
      </w:r>
      <w:proofErr w:type="spellEnd"/>
    </w:p>
    <w:p w:rsidR="00216B13" w:rsidRPr="008F3025" w:rsidRDefault="00216B13" w:rsidP="00216B13">
      <w:pPr>
        <w:ind w:left="360" w:hanging="360"/>
        <w:jc w:val="both"/>
        <w:rPr>
          <w:rFonts w:ascii="Arial" w:hAnsi="Arial" w:cs="Arial"/>
          <w:sz w:val="22"/>
        </w:rPr>
      </w:pPr>
    </w:p>
    <w:p w:rsidR="00DD59DF" w:rsidRPr="008F3025" w:rsidRDefault="00216B13" w:rsidP="00216B13">
      <w:pPr>
        <w:ind w:left="426" w:hanging="426"/>
        <w:jc w:val="both"/>
        <w:rPr>
          <w:rFonts w:ascii="Arial" w:hAnsi="Arial" w:cs="Arial"/>
          <w:sz w:val="22"/>
        </w:rPr>
      </w:pPr>
      <w:r w:rsidRPr="008F3025">
        <w:rPr>
          <w:rFonts w:ascii="Arial" w:hAnsi="Arial" w:cs="Arial"/>
          <w:sz w:val="22"/>
        </w:rPr>
        <w:t xml:space="preserve">5.3 Převzetí nastane po provedené kontrole dodávky v místě plnění, vyzkoušení funkčnosti a zaškolení obsluhy. Piktogramy a popisy na </w:t>
      </w:r>
      <w:r w:rsidR="0079045B" w:rsidRPr="008F3025">
        <w:rPr>
          <w:rFonts w:ascii="Arial" w:hAnsi="Arial" w:cs="Arial"/>
          <w:sz w:val="22"/>
        </w:rPr>
        <w:t>pří</w:t>
      </w:r>
      <w:r w:rsidRPr="008F3025">
        <w:rPr>
          <w:rFonts w:ascii="Arial" w:hAnsi="Arial" w:cs="Arial"/>
          <w:sz w:val="22"/>
        </w:rPr>
        <w:t xml:space="preserve">stroji musí odpovídat platným normám a být v českém jazyce. </w:t>
      </w:r>
    </w:p>
    <w:p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rsidR="00215516" w:rsidRPr="008F3025" w:rsidRDefault="00215516" w:rsidP="00215516">
      <w:pPr>
        <w:ind w:left="1068"/>
        <w:jc w:val="both"/>
        <w:rPr>
          <w:rFonts w:ascii="Arial" w:hAnsi="Arial" w:cs="Arial"/>
          <w:sz w:val="22"/>
        </w:rPr>
      </w:pPr>
    </w:p>
    <w:p w:rsidR="00216B13" w:rsidRPr="008F3025" w:rsidRDefault="00215516" w:rsidP="00215516">
      <w:pPr>
        <w:ind w:left="426" w:hanging="426"/>
        <w:jc w:val="both"/>
        <w:rPr>
          <w:rFonts w:ascii="Arial" w:hAnsi="Arial" w:cs="Arial"/>
          <w:b/>
          <w:sz w:val="22"/>
        </w:rPr>
      </w:pPr>
      <w:r w:rsidRPr="008F3025">
        <w:rPr>
          <w:rFonts w:ascii="Arial" w:hAnsi="Arial" w:cs="Arial"/>
          <w:sz w:val="22"/>
        </w:rPr>
        <w:t xml:space="preserve">5.4 </w:t>
      </w:r>
      <w:r w:rsidR="000F30AC" w:rsidRPr="008F3025">
        <w:rPr>
          <w:rFonts w:ascii="Arial" w:hAnsi="Arial" w:cs="Arial"/>
          <w:sz w:val="22"/>
        </w:rPr>
        <w:t>P</w:t>
      </w:r>
      <w:r w:rsidR="00216B13" w:rsidRPr="008F3025">
        <w:rPr>
          <w:rFonts w:ascii="Arial" w:hAnsi="Arial" w:cs="Arial"/>
          <w:sz w:val="22"/>
        </w:rPr>
        <w:t xml:space="preserve">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a vybavení předmětu této smlouvy. </w:t>
      </w:r>
      <w:r w:rsidR="00216B13" w:rsidRPr="008F3025">
        <w:rPr>
          <w:rFonts w:ascii="Arial" w:hAnsi="Arial" w:cs="Arial"/>
          <w:b/>
          <w:sz w:val="22"/>
        </w:rPr>
        <w:t>Všechny doklady včetně dokumentace musí být v listinné podobě v českém jazyce a předány i na elektronickém nosiči dat.</w:t>
      </w:r>
    </w:p>
    <w:p w:rsidR="00DD59DF" w:rsidRPr="008F3025" w:rsidRDefault="00DD59DF" w:rsidP="00215516">
      <w:pPr>
        <w:ind w:left="426"/>
        <w:jc w:val="both"/>
        <w:rPr>
          <w:rFonts w:ascii="Arial" w:hAnsi="Arial" w:cs="Arial"/>
          <w:sz w:val="22"/>
        </w:rPr>
      </w:pPr>
    </w:p>
    <w:p w:rsidR="00376954" w:rsidRPr="008F3025" w:rsidRDefault="00D64973" w:rsidP="00215516">
      <w:pPr>
        <w:ind w:left="426"/>
        <w:jc w:val="both"/>
        <w:rPr>
          <w:rFonts w:ascii="Arial" w:hAnsi="Arial" w:cs="Arial"/>
          <w:sz w:val="22"/>
        </w:rPr>
      </w:pPr>
      <w:r w:rsidRPr="008F3025">
        <w:rPr>
          <w:rFonts w:ascii="Arial" w:hAnsi="Arial" w:cs="Arial"/>
          <w:sz w:val="22"/>
        </w:rPr>
        <w:t>Dále prodávající předá k</w:t>
      </w:r>
      <w:r w:rsidR="00376954" w:rsidRPr="008F3025">
        <w:rPr>
          <w:rFonts w:ascii="Arial" w:hAnsi="Arial" w:cs="Arial"/>
          <w:sz w:val="22"/>
        </w:rPr>
        <w:t>líče k předmětu plnění a veškeré povinné vybavení, jež je součástí předmětu plnění.</w:t>
      </w:r>
    </w:p>
    <w:p w:rsidR="00D4217E" w:rsidRPr="008F3025" w:rsidRDefault="00D4217E" w:rsidP="00215516">
      <w:pPr>
        <w:ind w:left="426"/>
        <w:jc w:val="both"/>
        <w:rPr>
          <w:rFonts w:ascii="Arial" w:hAnsi="Arial" w:cs="Arial"/>
          <w:sz w:val="22"/>
        </w:rPr>
      </w:pPr>
    </w:p>
    <w:p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 xml:space="preserve">5.5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8F3025" w:rsidRDefault="00D4217E" w:rsidP="00215516">
      <w:pPr>
        <w:ind w:left="426"/>
        <w:jc w:val="both"/>
        <w:rPr>
          <w:rFonts w:ascii="Arial" w:hAnsi="Arial" w:cs="Arial"/>
          <w:sz w:val="22"/>
        </w:rPr>
      </w:pPr>
    </w:p>
    <w:p w:rsidR="00216B13" w:rsidRPr="008F3025" w:rsidRDefault="00216B13" w:rsidP="00216B13">
      <w:pPr>
        <w:pStyle w:val="Zkladntext"/>
        <w:spacing w:line="120" w:lineRule="auto"/>
        <w:ind w:left="425" w:hanging="68"/>
        <w:rPr>
          <w:rFonts w:ascii="Arial" w:hAnsi="Arial" w:cs="Arial"/>
        </w:rPr>
      </w:pP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426" w:hanging="426"/>
        <w:rPr>
          <w:rFonts w:ascii="Arial" w:hAnsi="Arial" w:cs="Arial"/>
          <w:sz w:val="22"/>
        </w:rPr>
      </w:pPr>
      <w:r w:rsidRPr="008F3025">
        <w:rPr>
          <w:rFonts w:ascii="Arial" w:hAnsi="Arial" w:cs="Arial"/>
          <w:sz w:val="22"/>
        </w:rPr>
        <w:t>5.</w:t>
      </w:r>
      <w:r w:rsidR="00A23A1F" w:rsidRPr="008F3025">
        <w:rPr>
          <w:rFonts w:ascii="Arial" w:hAnsi="Arial" w:cs="Arial"/>
          <w:sz w:val="22"/>
        </w:rPr>
        <w:t>6</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lastRenderedPageBreak/>
        <w:t>právo odstoupit od smlouvy v případě, že se jedná o opakující se vadu předmětu smlouvy, včetně práva požadovat vrácení finanční částky, kterou kupující prodávajícímu zaplatil za vadný předmět smlouvy.</w:t>
      </w:r>
    </w:p>
    <w:p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rsidR="00216B13" w:rsidRPr="008F3025" w:rsidRDefault="00216B13" w:rsidP="00216B13">
      <w:pPr>
        <w:ind w:left="426"/>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rsidR="00216B13" w:rsidRPr="008F3025" w:rsidRDefault="00216B13" w:rsidP="00216B13">
      <w:pPr>
        <w:ind w:left="360" w:hanging="360"/>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6.3 Zaplacením smluvní pokuty není dotčeno právo na náhradu škody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CA0152">
        <w:rPr>
          <w:rFonts w:ascii="Arial" w:hAnsi="Arial" w:cs="Arial"/>
          <w:b/>
          <w:sz w:val="22"/>
        </w:rPr>
        <w:t>36</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A08D0" w:rsidRDefault="00FA08D0" w:rsidP="00B70CB9">
      <w:pPr>
        <w:ind w:left="426" w:hanging="426"/>
        <w:jc w:val="both"/>
        <w:rPr>
          <w:rFonts w:ascii="Arial" w:hAnsi="Arial" w:cs="Arial"/>
          <w:sz w:val="22"/>
          <w:szCs w:val="22"/>
        </w:rPr>
      </w:pPr>
    </w:p>
    <w:p w:rsidR="00FA08D0" w:rsidRPr="008F3025" w:rsidRDefault="00FA08D0" w:rsidP="00B70CB9">
      <w:pPr>
        <w:ind w:left="426" w:hanging="426"/>
        <w:jc w:val="both"/>
        <w:rPr>
          <w:rFonts w:ascii="Arial" w:hAnsi="Arial" w:cs="Arial"/>
          <w:sz w:val="22"/>
          <w:szCs w:val="22"/>
        </w:rPr>
      </w:pPr>
    </w:p>
    <w:p w:rsidR="008C73D2" w:rsidRPr="008F3025" w:rsidRDefault="008C73D2" w:rsidP="008C73D2">
      <w:pPr>
        <w:spacing w:after="120"/>
        <w:jc w:val="both"/>
        <w:rPr>
          <w:rFonts w:ascii="Arial" w:hAnsi="Arial" w:cs="Arial"/>
          <w:iCs/>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lastRenderedPageBreak/>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proofErr w:type="gramStart"/>
      <w:r w:rsidR="00ED23D2" w:rsidRPr="008F3025">
        <w:rPr>
          <w:rFonts w:ascii="Arial" w:hAnsi="Arial" w:cs="Arial"/>
          <w:sz w:val="22"/>
          <w:szCs w:val="22"/>
        </w:rPr>
        <w:t>s.p</w:t>
      </w:r>
      <w:proofErr w:type="spellEnd"/>
      <w:r w:rsidR="00ED23D2" w:rsidRPr="008F3025">
        <w:rPr>
          <w:rFonts w:ascii="Arial" w:hAnsi="Arial" w:cs="Arial"/>
          <w:sz w:val="22"/>
          <w:szCs w:val="22"/>
        </w:rPr>
        <w:t>.</w:t>
      </w:r>
      <w:proofErr w:type="gramEnd"/>
      <w:r w:rsidR="00ED23D2" w:rsidRPr="008F3025">
        <w:rPr>
          <w:rFonts w:ascii="Arial" w:hAnsi="Arial" w:cs="Arial"/>
          <w:sz w:val="22"/>
          <w:szCs w:val="22"/>
        </w:rPr>
        <w:t xml:space="preserve"> (viz </w:t>
      </w:r>
      <w:hyperlink r:id="rId10" w:history="1">
        <w:r w:rsidR="00EF6B90" w:rsidRPr="000C58DC">
          <w:rPr>
            <w:rStyle w:val="Hypertextovodkaz"/>
            <w:rFonts w:ascii="Arial" w:hAnsi="Arial" w:cs="Arial"/>
            <w:sz w:val="22"/>
            <w:szCs w:val="22"/>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w:t>
      </w:r>
      <w:r w:rsidRPr="008F3025">
        <w:rPr>
          <w:rFonts w:ascii="Arial" w:hAnsi="Arial" w:cs="Arial"/>
          <w:bCs/>
          <w:sz w:val="22"/>
          <w:szCs w:val="22"/>
        </w:rPr>
        <w:lastRenderedPageBreak/>
        <w:t xml:space="preserve">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Pr="008F3025" w:rsidRDefault="00A05528" w:rsidP="00216B13">
      <w:pPr>
        <w:spacing w:line="120" w:lineRule="auto"/>
        <w:ind w:left="357" w:hanging="357"/>
        <w:jc w:val="both"/>
        <w:rPr>
          <w:rFonts w:ascii="Arial" w:hAnsi="Arial" w:cs="Arial"/>
          <w:sz w:val="22"/>
        </w:rPr>
      </w:pPr>
    </w:p>
    <w:p w:rsidR="00216B13" w:rsidRPr="008F3025" w:rsidRDefault="00216B13" w:rsidP="00216B13">
      <w:pPr>
        <w:rPr>
          <w:rFonts w:ascii="Arial" w:hAnsi="Arial" w:cs="Arial"/>
          <w:b/>
          <w:sz w:val="22"/>
          <w:u w:val="single"/>
        </w:rPr>
      </w:pPr>
    </w:p>
    <w:p w:rsidR="00216B13" w:rsidRPr="008F3025"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354"/>
        <w:gridCol w:w="1206"/>
        <w:gridCol w:w="2020"/>
        <w:gridCol w:w="2300"/>
      </w:tblGrid>
      <w:tr w:rsidR="008F3025" w:rsidRPr="008F3025" w:rsidTr="00CA0152">
        <w:trPr>
          <w:cantSplit/>
        </w:trPr>
        <w:tc>
          <w:tcPr>
            <w:tcW w:w="1488" w:type="dxa"/>
            <w:tcBorders>
              <w:top w:val="nil"/>
              <w:left w:val="nil"/>
              <w:bottom w:val="nil"/>
              <w:right w:val="nil"/>
            </w:tcBorders>
          </w:tcPr>
          <w:p w:rsidR="00216B13" w:rsidRPr="008F3025" w:rsidRDefault="00216B13" w:rsidP="00CA0152">
            <w:pPr>
              <w:rPr>
                <w:rFonts w:ascii="Arial" w:hAnsi="Arial" w:cs="Arial"/>
                <w:sz w:val="22"/>
              </w:rPr>
            </w:pPr>
            <w:r w:rsidRPr="008F3025">
              <w:rPr>
                <w:rFonts w:ascii="Arial" w:hAnsi="Arial" w:cs="Arial"/>
                <w:sz w:val="22"/>
              </w:rPr>
              <w:t>V</w:t>
            </w:r>
            <w:r w:rsidR="00CA0152">
              <w:rPr>
                <w:rFonts w:ascii="Arial" w:hAnsi="Arial" w:cs="Arial"/>
                <w:sz w:val="22"/>
              </w:rPr>
              <w:t> Praze d</w:t>
            </w:r>
            <w:r w:rsidRPr="008F3025">
              <w:rPr>
                <w:rFonts w:ascii="Arial" w:hAnsi="Arial" w:cs="Arial"/>
                <w:sz w:val="22"/>
              </w:rPr>
              <w:t>ne</w:t>
            </w:r>
          </w:p>
        </w:tc>
        <w:tc>
          <w:tcPr>
            <w:tcW w:w="2354" w:type="dxa"/>
            <w:tcBorders>
              <w:top w:val="nil"/>
              <w:left w:val="nil"/>
              <w:bottom w:val="dotted" w:sz="4" w:space="0" w:color="auto"/>
              <w:right w:val="nil"/>
            </w:tcBorders>
          </w:tcPr>
          <w:p w:rsidR="00216B13" w:rsidRPr="008F3025" w:rsidRDefault="00CA0152" w:rsidP="008F3025">
            <w:pPr>
              <w:rPr>
                <w:rFonts w:ascii="Arial" w:hAnsi="Arial" w:cs="Arial"/>
                <w:sz w:val="22"/>
              </w:rPr>
            </w:pPr>
            <w:r>
              <w:rPr>
                <w:rFonts w:ascii="Arial" w:hAnsi="Arial" w:cs="Arial"/>
                <w:sz w:val="22"/>
              </w:rPr>
              <w:t>18. 7. 2019</w:t>
            </w:r>
          </w:p>
        </w:tc>
        <w:tc>
          <w:tcPr>
            <w:tcW w:w="1206" w:type="dxa"/>
            <w:vMerge w:val="restart"/>
            <w:tcBorders>
              <w:top w:val="nil"/>
              <w:left w:val="nil"/>
              <w:bottom w:val="nil"/>
              <w:right w:val="nil"/>
            </w:tcBorders>
          </w:tcPr>
          <w:p w:rsidR="00216B13" w:rsidRPr="008F3025" w:rsidRDefault="00216B13" w:rsidP="00EE6FA2">
            <w:pPr>
              <w:rPr>
                <w:rFonts w:ascii="Arial" w:hAnsi="Arial" w:cs="Arial"/>
                <w:sz w:val="22"/>
              </w:rPr>
            </w:pPr>
          </w:p>
        </w:tc>
        <w:tc>
          <w:tcPr>
            <w:tcW w:w="202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V Chomutově dne</w:t>
            </w:r>
          </w:p>
        </w:tc>
        <w:tc>
          <w:tcPr>
            <w:tcW w:w="2300" w:type="dxa"/>
            <w:tcBorders>
              <w:top w:val="nil"/>
              <w:left w:val="nil"/>
              <w:bottom w:val="dotted" w:sz="4" w:space="0" w:color="auto"/>
              <w:right w:val="nil"/>
            </w:tcBorders>
          </w:tcPr>
          <w:p w:rsidR="00216B13" w:rsidRPr="008F3025" w:rsidRDefault="00216B13" w:rsidP="00EE6FA2">
            <w:pPr>
              <w:rPr>
                <w:rFonts w:ascii="Arial" w:hAnsi="Arial" w:cs="Arial"/>
                <w:sz w:val="22"/>
              </w:rPr>
            </w:pPr>
          </w:p>
        </w:tc>
      </w:tr>
      <w:tr w:rsidR="008F3025" w:rsidRPr="008F3025" w:rsidTr="00CA0152">
        <w:trPr>
          <w:cantSplit/>
          <w:trHeight w:val="501"/>
        </w:trPr>
        <w:tc>
          <w:tcPr>
            <w:tcW w:w="3842"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Prodávajícího: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Kupujícího:</w:t>
            </w:r>
          </w:p>
        </w:tc>
      </w:tr>
      <w:tr w:rsidR="008F3025" w:rsidRPr="008F3025" w:rsidTr="00CA0152">
        <w:trPr>
          <w:cantSplit/>
          <w:trHeight w:val="645"/>
        </w:trPr>
        <w:tc>
          <w:tcPr>
            <w:tcW w:w="3842"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CA0152" w:rsidRDefault="00CA0152" w:rsidP="00EE6FA2">
            <w:pPr>
              <w:rPr>
                <w:rFonts w:ascii="Arial" w:hAnsi="Arial" w:cs="Arial"/>
                <w:sz w:val="22"/>
              </w:rPr>
            </w:pPr>
          </w:p>
          <w:p w:rsidR="00CA0152" w:rsidRDefault="00CA0152" w:rsidP="00EE6FA2">
            <w:pPr>
              <w:rPr>
                <w:rFonts w:ascii="Arial" w:hAnsi="Arial" w:cs="Arial"/>
                <w:sz w:val="22"/>
              </w:rPr>
            </w:pPr>
          </w:p>
          <w:p w:rsidR="00CA0152" w:rsidRDefault="00CA0152" w:rsidP="00EE6FA2">
            <w:pPr>
              <w:rPr>
                <w:rFonts w:ascii="Arial" w:hAnsi="Arial" w:cs="Arial"/>
                <w:sz w:val="22"/>
              </w:rPr>
            </w:pPr>
          </w:p>
          <w:p w:rsidR="00CA0152" w:rsidRDefault="00CA0152" w:rsidP="00EE6FA2">
            <w:pPr>
              <w:rPr>
                <w:rFonts w:ascii="Arial" w:hAnsi="Arial" w:cs="Arial"/>
                <w:sz w:val="22"/>
              </w:rPr>
            </w:pPr>
          </w:p>
          <w:p w:rsidR="00CA0152" w:rsidRPr="008F3025" w:rsidRDefault="00CA0152" w:rsidP="00EE6FA2">
            <w:pP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tc>
      </w:tr>
      <w:tr w:rsidR="008F3025" w:rsidRPr="008F3025" w:rsidTr="00CA0152">
        <w:trPr>
          <w:cantSplit/>
        </w:trPr>
        <w:tc>
          <w:tcPr>
            <w:tcW w:w="3842" w:type="dxa"/>
            <w:gridSpan w:val="2"/>
            <w:tcBorders>
              <w:top w:val="nil"/>
              <w:left w:val="nil"/>
              <w:bottom w:val="nil"/>
              <w:right w:val="nil"/>
            </w:tcBorders>
          </w:tcPr>
          <w:p w:rsidR="00216B13" w:rsidRPr="008F3025" w:rsidRDefault="00CA0152" w:rsidP="00EE6FA2">
            <w:pPr>
              <w:jc w:val="center"/>
              <w:rPr>
                <w:rFonts w:ascii="Arial" w:hAnsi="Arial" w:cs="Arial"/>
                <w:sz w:val="22"/>
              </w:rPr>
            </w:pPr>
            <w:r>
              <w:rPr>
                <w:rFonts w:ascii="Arial" w:hAnsi="Arial" w:cs="Arial"/>
                <w:sz w:val="22"/>
              </w:rPr>
              <w:t>COPPEX spol. s r.o.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rsidTr="00CA0152">
        <w:trPr>
          <w:cantSplit/>
        </w:trPr>
        <w:tc>
          <w:tcPr>
            <w:tcW w:w="3842" w:type="dxa"/>
            <w:gridSpan w:val="2"/>
            <w:tcBorders>
              <w:top w:val="nil"/>
              <w:left w:val="nil"/>
              <w:bottom w:val="nil"/>
              <w:right w:val="nil"/>
            </w:tcBorders>
          </w:tcPr>
          <w:p w:rsidR="00216B13" w:rsidRPr="008F3025" w:rsidRDefault="00CA0152" w:rsidP="00EE6FA2">
            <w:pPr>
              <w:jc w:val="center"/>
              <w:rPr>
                <w:rFonts w:ascii="Arial" w:hAnsi="Arial" w:cs="Arial"/>
                <w:sz w:val="22"/>
              </w:rPr>
            </w:pPr>
            <w:r>
              <w:rPr>
                <w:rFonts w:ascii="Arial" w:hAnsi="Arial" w:cs="Arial"/>
                <w:sz w:val="22"/>
              </w:rPr>
              <w:t>Ing. Richard Sedlický</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610A21" w:rsidP="00610A21">
            <w:pPr>
              <w:jc w:val="center"/>
              <w:rPr>
                <w:rFonts w:ascii="Arial" w:hAnsi="Arial" w:cs="Arial"/>
                <w:sz w:val="22"/>
              </w:rPr>
            </w:pPr>
            <w:proofErr w:type="spellStart"/>
            <w:r>
              <w:rPr>
                <w:rFonts w:ascii="Arial" w:hAnsi="Arial" w:cs="Arial"/>
                <w:sz w:val="22"/>
              </w:rPr>
              <w:t>Xxxxxxxxxxxxxx</w:t>
            </w:r>
            <w:proofErr w:type="spellEnd"/>
          </w:p>
        </w:tc>
      </w:tr>
      <w:tr w:rsidR="00216B13" w:rsidRPr="008F3025" w:rsidTr="00CA0152">
        <w:trPr>
          <w:cantSplit/>
        </w:trPr>
        <w:tc>
          <w:tcPr>
            <w:tcW w:w="3842" w:type="dxa"/>
            <w:gridSpan w:val="2"/>
            <w:tcBorders>
              <w:top w:val="nil"/>
              <w:left w:val="nil"/>
              <w:bottom w:val="nil"/>
              <w:right w:val="nil"/>
            </w:tcBorders>
          </w:tcPr>
          <w:p w:rsidR="00216B13" w:rsidRPr="008F3025" w:rsidRDefault="00CA0152" w:rsidP="00EE6FA2">
            <w:pPr>
              <w:jc w:val="center"/>
              <w:rPr>
                <w:rFonts w:ascii="Arial" w:hAnsi="Arial" w:cs="Arial"/>
                <w:sz w:val="22"/>
              </w:rPr>
            </w:pPr>
            <w:r>
              <w:rPr>
                <w:rFonts w:ascii="Arial" w:hAnsi="Arial" w:cs="Arial"/>
                <w:sz w:val="22"/>
              </w:rPr>
              <w:t>jednatel společnosti</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610A21" w:rsidP="00EE6FA2">
            <w:pPr>
              <w:jc w:val="center"/>
              <w:rPr>
                <w:rFonts w:ascii="Arial" w:hAnsi="Arial" w:cs="Arial"/>
                <w:sz w:val="22"/>
              </w:rPr>
            </w:pPr>
            <w:proofErr w:type="spellStart"/>
            <w:r>
              <w:rPr>
                <w:rFonts w:ascii="Arial" w:hAnsi="Arial" w:cs="Arial"/>
                <w:sz w:val="22"/>
              </w:rPr>
              <w:t>xxxxxxxxxxxxxxxx</w:t>
            </w:r>
            <w:proofErr w:type="spellEnd"/>
          </w:p>
        </w:tc>
      </w:tr>
    </w:tbl>
    <w:p w:rsidR="00216B13" w:rsidRPr="008F3025" w:rsidRDefault="00216B13" w:rsidP="00216B13">
      <w:pPr>
        <w:rPr>
          <w:rFonts w:ascii="Arial" w:hAnsi="Arial" w:cs="Arial"/>
          <w:b/>
          <w:sz w:val="22"/>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6F2A21" w:rsidRDefault="006F2A21"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CA0152">
      <w:pPr>
        <w:pStyle w:val="Nadpis9"/>
        <w:pageBreakBefore w:val="0"/>
        <w:numPr>
          <w:ilvl w:val="0"/>
          <w:numId w:val="0"/>
        </w:numPr>
        <w:overflowPunct/>
        <w:autoSpaceDE/>
        <w:autoSpaceDN/>
        <w:adjustRightInd/>
        <w:spacing w:before="0" w:after="0"/>
        <w:jc w:val="left"/>
        <w:textAlignment w:val="auto"/>
        <w:rPr>
          <w:rFonts w:cs="Arial"/>
        </w:rPr>
      </w:pPr>
      <w:r w:rsidRPr="008F3025">
        <w:rPr>
          <w:rFonts w:cs="Arial"/>
        </w:rPr>
        <w:t xml:space="preserve">Příloha č. 1 ke Kupní smlouvě </w:t>
      </w:r>
      <w:r w:rsidR="00166276">
        <w:rPr>
          <w:rFonts w:cs="Arial"/>
        </w:rPr>
        <w:t xml:space="preserve">prodávajícího </w:t>
      </w:r>
      <w:r w:rsidRPr="008F3025">
        <w:rPr>
          <w:rFonts w:cs="Arial"/>
        </w:rPr>
        <w:t xml:space="preserve">č. </w:t>
      </w:r>
      <w:r w:rsidR="00FA08D0">
        <w:rPr>
          <w:rFonts w:cs="Arial"/>
        </w:rPr>
        <w:t>…</w:t>
      </w:r>
      <w:proofErr w:type="gramStart"/>
      <w:r w:rsidR="00FA08D0">
        <w:rPr>
          <w:rFonts w:cs="Arial"/>
        </w:rPr>
        <w:t xml:space="preserve">….. </w:t>
      </w:r>
      <w:r w:rsidR="00166276">
        <w:rPr>
          <w:rFonts w:cs="Arial"/>
        </w:rPr>
        <w:t xml:space="preserve"> a kupujícího</w:t>
      </w:r>
      <w:proofErr w:type="gramEnd"/>
      <w:r w:rsidR="00166276">
        <w:rPr>
          <w:rFonts w:cs="Arial"/>
        </w:rPr>
        <w:t xml:space="preserve"> č. </w:t>
      </w:r>
      <w:r w:rsidR="00FA08D0">
        <w:rPr>
          <w:rFonts w:cs="Arial"/>
        </w:rPr>
        <w:t>………</w:t>
      </w:r>
    </w:p>
    <w:p w:rsidR="00CA0152" w:rsidRDefault="00CA0152" w:rsidP="00CA0152"/>
    <w:p w:rsidR="00CA0152" w:rsidRPr="00CA0152" w:rsidRDefault="00CA0152" w:rsidP="00CA0152"/>
    <w:p w:rsidR="004C02D8" w:rsidRPr="00CA0152" w:rsidRDefault="00CA0152" w:rsidP="004C02D8">
      <w:pPr>
        <w:rPr>
          <w:rFonts w:ascii="Arial" w:hAnsi="Arial" w:cs="Arial"/>
          <w:sz w:val="22"/>
          <w:szCs w:val="22"/>
        </w:rPr>
      </w:pPr>
      <w:r w:rsidRPr="00CA0152">
        <w:rPr>
          <w:rFonts w:ascii="Arial" w:hAnsi="Arial" w:cs="Arial"/>
          <w:sz w:val="22"/>
          <w:szCs w:val="22"/>
        </w:rPr>
        <w:t>Pracoviště Žatec:</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1x           Stroj </w:t>
      </w:r>
      <w:r>
        <w:rPr>
          <w:rFonts w:ascii="Arial" w:hAnsi="Arial" w:cs="Arial"/>
          <w:sz w:val="22"/>
          <w:szCs w:val="22"/>
        </w:rPr>
        <w:t xml:space="preserve">SHARP </w:t>
      </w:r>
      <w:r w:rsidRPr="00CA0152">
        <w:rPr>
          <w:rFonts w:ascii="Arial" w:hAnsi="Arial" w:cs="Arial"/>
          <w:sz w:val="22"/>
          <w:szCs w:val="22"/>
        </w:rPr>
        <w:t>DX-2500N, RADF, LAN, skener</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1x           </w:t>
      </w:r>
      <w:proofErr w:type="spellStart"/>
      <w:r w:rsidRPr="00CA0152">
        <w:rPr>
          <w:rFonts w:ascii="Arial" w:hAnsi="Arial" w:cs="Arial"/>
          <w:sz w:val="22"/>
          <w:szCs w:val="22"/>
        </w:rPr>
        <w:t>Podstolek</w:t>
      </w:r>
      <w:proofErr w:type="spellEnd"/>
      <w:r w:rsidRPr="00CA0152">
        <w:rPr>
          <w:rFonts w:ascii="Arial" w:hAnsi="Arial" w:cs="Arial"/>
          <w:sz w:val="22"/>
          <w:szCs w:val="22"/>
        </w:rPr>
        <w:t xml:space="preserve"> s kazetou 1x 550listů </w:t>
      </w:r>
    </w:p>
    <w:p w:rsidR="00CA0152" w:rsidRPr="00CA0152" w:rsidRDefault="00CA0152" w:rsidP="00CA0152">
      <w:pPr>
        <w:rPr>
          <w:rFonts w:ascii="Arial" w:hAnsi="Arial" w:cs="Arial"/>
          <w:sz w:val="22"/>
          <w:szCs w:val="22"/>
        </w:rPr>
      </w:pPr>
      <w:r w:rsidRPr="00CA0152">
        <w:rPr>
          <w:rFonts w:ascii="Arial" w:hAnsi="Arial" w:cs="Arial"/>
          <w:sz w:val="22"/>
          <w:szCs w:val="22"/>
        </w:rPr>
        <w:t>1x           Sada tonerů ke stroji CMYK</w:t>
      </w:r>
    </w:p>
    <w:p w:rsidR="00CA0152" w:rsidRPr="00CA0152" w:rsidRDefault="00CA0152" w:rsidP="00CA0152">
      <w:pPr>
        <w:rPr>
          <w:rFonts w:ascii="Arial" w:hAnsi="Arial" w:cs="Arial"/>
          <w:sz w:val="22"/>
          <w:szCs w:val="22"/>
        </w:rPr>
      </w:pPr>
    </w:p>
    <w:p w:rsidR="00CA0152" w:rsidRPr="00CA0152" w:rsidRDefault="00CA0152" w:rsidP="00CA0152">
      <w:pPr>
        <w:rPr>
          <w:rFonts w:ascii="Arial" w:hAnsi="Arial" w:cs="Arial"/>
          <w:sz w:val="22"/>
          <w:szCs w:val="22"/>
        </w:rPr>
      </w:pPr>
      <w:r w:rsidRPr="00CA0152">
        <w:rPr>
          <w:rFonts w:ascii="Arial" w:hAnsi="Arial" w:cs="Arial"/>
          <w:sz w:val="22"/>
          <w:szCs w:val="22"/>
        </w:rPr>
        <w:t xml:space="preserve">Cena stroje včetně příslušenství a spotřebního </w:t>
      </w:r>
      <w:proofErr w:type="gramStart"/>
      <w:r w:rsidRPr="00CA0152">
        <w:rPr>
          <w:rFonts w:ascii="Arial" w:hAnsi="Arial" w:cs="Arial"/>
          <w:sz w:val="22"/>
          <w:szCs w:val="22"/>
        </w:rPr>
        <w:t>materiálu           39.590,</w:t>
      </w:r>
      <w:proofErr w:type="gramEnd"/>
      <w:r w:rsidRPr="00CA0152">
        <w:rPr>
          <w:rFonts w:ascii="Arial" w:hAnsi="Arial" w:cs="Arial"/>
          <w:sz w:val="22"/>
          <w:szCs w:val="22"/>
        </w:rPr>
        <w:t>- Kč bez DPH</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Instalace a doprava k </w:t>
      </w:r>
      <w:proofErr w:type="gramStart"/>
      <w:r w:rsidRPr="00CA0152">
        <w:rPr>
          <w:rFonts w:ascii="Arial" w:hAnsi="Arial" w:cs="Arial"/>
          <w:sz w:val="22"/>
          <w:szCs w:val="22"/>
        </w:rPr>
        <w:t>zákazníkovi                                                 1.500,</w:t>
      </w:r>
      <w:proofErr w:type="gramEnd"/>
      <w:r w:rsidRPr="00CA0152">
        <w:rPr>
          <w:rFonts w:ascii="Arial" w:hAnsi="Arial" w:cs="Arial"/>
          <w:sz w:val="22"/>
          <w:szCs w:val="22"/>
        </w:rPr>
        <w:t xml:space="preserve">- Kč bez DPH   </w:t>
      </w:r>
    </w:p>
    <w:p w:rsidR="00CA0152" w:rsidRPr="00CA0152" w:rsidRDefault="00CA0152" w:rsidP="00CA0152">
      <w:pPr>
        <w:rPr>
          <w:rFonts w:ascii="Arial" w:hAnsi="Arial" w:cs="Arial"/>
          <w:sz w:val="22"/>
          <w:szCs w:val="22"/>
        </w:rPr>
      </w:pPr>
    </w:p>
    <w:p w:rsidR="00CA0152" w:rsidRPr="00CA0152" w:rsidRDefault="00CA0152" w:rsidP="00CA0152">
      <w:pPr>
        <w:rPr>
          <w:rFonts w:ascii="Arial" w:hAnsi="Arial" w:cs="Arial"/>
          <w:sz w:val="22"/>
          <w:szCs w:val="22"/>
        </w:rPr>
      </w:pPr>
      <w:r w:rsidRPr="00CA0152">
        <w:rPr>
          <w:rFonts w:ascii="Arial" w:hAnsi="Arial" w:cs="Arial"/>
          <w:sz w:val="22"/>
          <w:szCs w:val="22"/>
        </w:rPr>
        <w:t>Pracoviště Terezín:</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1x           Stroj </w:t>
      </w:r>
      <w:r>
        <w:rPr>
          <w:rFonts w:ascii="Arial" w:hAnsi="Arial" w:cs="Arial"/>
          <w:sz w:val="22"/>
          <w:szCs w:val="22"/>
        </w:rPr>
        <w:t xml:space="preserve">SHARP </w:t>
      </w:r>
      <w:r w:rsidRPr="00CA0152">
        <w:rPr>
          <w:rFonts w:ascii="Arial" w:hAnsi="Arial" w:cs="Arial"/>
          <w:sz w:val="22"/>
          <w:szCs w:val="22"/>
        </w:rPr>
        <w:t>MX-2651N, RADF, LAN, skener</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1x           </w:t>
      </w:r>
      <w:proofErr w:type="spellStart"/>
      <w:r w:rsidRPr="00CA0152">
        <w:rPr>
          <w:rFonts w:ascii="Arial" w:hAnsi="Arial" w:cs="Arial"/>
          <w:sz w:val="22"/>
          <w:szCs w:val="22"/>
        </w:rPr>
        <w:t>Podstolek</w:t>
      </w:r>
      <w:proofErr w:type="spellEnd"/>
      <w:r w:rsidRPr="00CA0152">
        <w:rPr>
          <w:rFonts w:ascii="Arial" w:hAnsi="Arial" w:cs="Arial"/>
          <w:sz w:val="22"/>
          <w:szCs w:val="22"/>
        </w:rPr>
        <w:t xml:space="preserve"> s kazetou 1x 550listů</w:t>
      </w:r>
    </w:p>
    <w:p w:rsidR="00CA0152" w:rsidRPr="00CA0152" w:rsidRDefault="00CA0152" w:rsidP="00CA0152">
      <w:pPr>
        <w:rPr>
          <w:rFonts w:ascii="Arial" w:hAnsi="Arial" w:cs="Arial"/>
          <w:sz w:val="22"/>
          <w:szCs w:val="22"/>
        </w:rPr>
      </w:pPr>
      <w:r w:rsidRPr="00CA0152">
        <w:rPr>
          <w:rFonts w:ascii="Arial" w:hAnsi="Arial" w:cs="Arial"/>
          <w:sz w:val="22"/>
          <w:szCs w:val="22"/>
        </w:rPr>
        <w:t xml:space="preserve">1x           Sada tonerů ke stroji CMYK     </w:t>
      </w:r>
    </w:p>
    <w:p w:rsidR="00CA0152" w:rsidRPr="00CA0152" w:rsidRDefault="00CA0152" w:rsidP="00CA0152">
      <w:pPr>
        <w:rPr>
          <w:rFonts w:ascii="Arial" w:hAnsi="Arial" w:cs="Arial"/>
          <w:sz w:val="22"/>
          <w:szCs w:val="22"/>
        </w:rPr>
      </w:pPr>
    </w:p>
    <w:p w:rsidR="00CA0152" w:rsidRPr="00CA0152" w:rsidRDefault="00CA0152" w:rsidP="00CA0152">
      <w:pPr>
        <w:rPr>
          <w:rFonts w:ascii="Arial" w:hAnsi="Arial" w:cs="Arial"/>
          <w:sz w:val="22"/>
          <w:szCs w:val="22"/>
        </w:rPr>
      </w:pPr>
      <w:r w:rsidRPr="00CA0152">
        <w:rPr>
          <w:rFonts w:ascii="Arial" w:hAnsi="Arial" w:cs="Arial"/>
          <w:sz w:val="22"/>
          <w:szCs w:val="22"/>
        </w:rPr>
        <w:t xml:space="preserve">Cena stroje včetně příslušenství a spotřebního </w:t>
      </w:r>
      <w:proofErr w:type="gramStart"/>
      <w:r w:rsidRPr="00CA0152">
        <w:rPr>
          <w:rFonts w:ascii="Arial" w:hAnsi="Arial" w:cs="Arial"/>
          <w:sz w:val="22"/>
          <w:szCs w:val="22"/>
        </w:rPr>
        <w:t>materiálu           46.850,</w:t>
      </w:r>
      <w:proofErr w:type="gramEnd"/>
      <w:r w:rsidRPr="00CA0152">
        <w:rPr>
          <w:rFonts w:ascii="Arial" w:hAnsi="Arial" w:cs="Arial"/>
          <w:sz w:val="22"/>
          <w:szCs w:val="22"/>
        </w:rPr>
        <w:t>- Kč bez DPH</w:t>
      </w:r>
    </w:p>
    <w:p w:rsidR="004C02D8" w:rsidRPr="00CA0152" w:rsidRDefault="00CA0152" w:rsidP="00CA0152">
      <w:pPr>
        <w:rPr>
          <w:rFonts w:ascii="Arial" w:hAnsi="Arial" w:cs="Arial"/>
          <w:sz w:val="22"/>
          <w:szCs w:val="22"/>
        </w:rPr>
      </w:pPr>
      <w:r w:rsidRPr="00CA0152">
        <w:rPr>
          <w:rFonts w:ascii="Arial" w:hAnsi="Arial" w:cs="Arial"/>
          <w:sz w:val="22"/>
          <w:szCs w:val="22"/>
        </w:rPr>
        <w:t xml:space="preserve">Instalace a doprava k </w:t>
      </w:r>
      <w:proofErr w:type="gramStart"/>
      <w:r w:rsidRPr="00CA0152">
        <w:rPr>
          <w:rFonts w:ascii="Arial" w:hAnsi="Arial" w:cs="Arial"/>
          <w:sz w:val="22"/>
          <w:szCs w:val="22"/>
        </w:rPr>
        <w:t xml:space="preserve">zákazníkovi                                       </w:t>
      </w:r>
      <w:r>
        <w:rPr>
          <w:rFonts w:ascii="Arial" w:hAnsi="Arial" w:cs="Arial"/>
          <w:sz w:val="22"/>
          <w:szCs w:val="22"/>
        </w:rPr>
        <w:t xml:space="preserve"> </w:t>
      </w:r>
      <w:r w:rsidRPr="00CA0152">
        <w:rPr>
          <w:rFonts w:ascii="Arial" w:hAnsi="Arial" w:cs="Arial"/>
          <w:sz w:val="22"/>
          <w:szCs w:val="22"/>
        </w:rPr>
        <w:t xml:space="preserve">         1.500,</w:t>
      </w:r>
      <w:proofErr w:type="gramEnd"/>
      <w:r w:rsidRPr="00CA0152">
        <w:rPr>
          <w:rFonts w:ascii="Arial" w:hAnsi="Arial" w:cs="Arial"/>
          <w:sz w:val="22"/>
          <w:szCs w:val="22"/>
        </w:rPr>
        <w:t xml:space="preserve">- Kč bez DPH     </w:t>
      </w:r>
    </w:p>
    <w:p w:rsidR="004C02D8" w:rsidRDefault="004C02D8" w:rsidP="004C02D8"/>
    <w:p w:rsidR="004C02D8" w:rsidRDefault="004C02D8" w:rsidP="004C02D8"/>
    <w:p w:rsidR="004C02D8" w:rsidRDefault="004C02D8" w:rsidP="004C02D8"/>
    <w:p w:rsidR="004C02D8" w:rsidRDefault="004C02D8" w:rsidP="004C02D8"/>
    <w:p w:rsidR="004C02D8" w:rsidRDefault="004C02D8" w:rsidP="004C02D8"/>
    <w:p w:rsidR="004C02D8" w:rsidRDefault="004C02D8" w:rsidP="004C02D8"/>
    <w:p w:rsidR="004C02D8" w:rsidRDefault="004C02D8" w:rsidP="004C02D8"/>
    <w:p w:rsidR="004C02D8" w:rsidRDefault="004C02D8" w:rsidP="004C02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206"/>
        <w:gridCol w:w="4320"/>
      </w:tblGrid>
      <w:tr w:rsidR="004C02D8" w:rsidRPr="008F3025" w:rsidTr="00190480">
        <w:trPr>
          <w:cantSplit/>
          <w:trHeight w:val="645"/>
        </w:trPr>
        <w:tc>
          <w:tcPr>
            <w:tcW w:w="3684" w:type="dxa"/>
            <w:tcBorders>
              <w:top w:val="nil"/>
              <w:left w:val="nil"/>
              <w:bottom w:val="dotted" w:sz="4" w:space="0" w:color="auto"/>
              <w:right w:val="nil"/>
            </w:tcBorders>
          </w:tcPr>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Pr="008F3025" w:rsidRDefault="004C02D8" w:rsidP="004C02D8">
            <w:pPr>
              <w:rPr>
                <w:rFonts w:ascii="Arial" w:hAnsi="Arial" w:cs="Arial"/>
                <w:sz w:val="22"/>
              </w:rPr>
            </w:pPr>
          </w:p>
        </w:tc>
        <w:tc>
          <w:tcPr>
            <w:tcW w:w="1206" w:type="dxa"/>
            <w:vMerge w:val="restart"/>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dotted" w:sz="4" w:space="0" w:color="auto"/>
              <w:right w:val="nil"/>
            </w:tcBorders>
          </w:tcPr>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p>
        </w:tc>
      </w:tr>
      <w:tr w:rsidR="004C02D8" w:rsidRPr="008F3025" w:rsidTr="00190480">
        <w:trPr>
          <w:cantSplit/>
        </w:trPr>
        <w:tc>
          <w:tcPr>
            <w:tcW w:w="3684" w:type="dxa"/>
            <w:tcBorders>
              <w:top w:val="nil"/>
              <w:left w:val="nil"/>
              <w:bottom w:val="nil"/>
              <w:right w:val="nil"/>
            </w:tcBorders>
          </w:tcPr>
          <w:p w:rsidR="004C02D8" w:rsidRPr="008F3025" w:rsidRDefault="00CA0152" w:rsidP="00190480">
            <w:pPr>
              <w:jc w:val="center"/>
              <w:rPr>
                <w:rFonts w:ascii="Arial" w:hAnsi="Arial" w:cs="Arial"/>
                <w:sz w:val="22"/>
              </w:rPr>
            </w:pPr>
            <w:r w:rsidRPr="00CA0152">
              <w:rPr>
                <w:rFonts w:ascii="Arial" w:hAnsi="Arial" w:cs="Arial"/>
                <w:sz w:val="22"/>
              </w:rPr>
              <w:t>COPPEX spol. s r.o.</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4C02D8" w:rsidP="00190480">
            <w:pPr>
              <w:jc w:val="center"/>
              <w:rPr>
                <w:rFonts w:ascii="Arial" w:hAnsi="Arial" w:cs="Arial"/>
                <w:sz w:val="22"/>
              </w:rPr>
            </w:pPr>
            <w:r w:rsidRPr="008F3025">
              <w:rPr>
                <w:rFonts w:ascii="Arial" w:hAnsi="Arial" w:cs="Arial"/>
                <w:sz w:val="22"/>
              </w:rPr>
              <w:t>Povodí Ohře, státní podnik</w:t>
            </w:r>
          </w:p>
        </w:tc>
      </w:tr>
      <w:tr w:rsidR="004C02D8" w:rsidRPr="008F3025" w:rsidTr="00190480">
        <w:trPr>
          <w:cantSplit/>
        </w:trPr>
        <w:tc>
          <w:tcPr>
            <w:tcW w:w="3684" w:type="dxa"/>
            <w:tcBorders>
              <w:top w:val="nil"/>
              <w:left w:val="nil"/>
              <w:bottom w:val="nil"/>
              <w:right w:val="nil"/>
            </w:tcBorders>
          </w:tcPr>
          <w:p w:rsidR="004C02D8" w:rsidRPr="008F3025" w:rsidRDefault="00CA0152" w:rsidP="00190480">
            <w:pPr>
              <w:jc w:val="center"/>
              <w:rPr>
                <w:rFonts w:ascii="Arial" w:hAnsi="Arial" w:cs="Arial"/>
                <w:sz w:val="22"/>
              </w:rPr>
            </w:pPr>
            <w:r w:rsidRPr="00CA0152">
              <w:rPr>
                <w:rFonts w:ascii="Arial" w:hAnsi="Arial" w:cs="Arial"/>
                <w:sz w:val="22"/>
              </w:rPr>
              <w:t>Ing. Richard Sedlický</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610A21" w:rsidP="00190480">
            <w:pPr>
              <w:jc w:val="center"/>
              <w:rPr>
                <w:rFonts w:ascii="Arial" w:hAnsi="Arial" w:cs="Arial"/>
                <w:sz w:val="22"/>
              </w:rPr>
            </w:pPr>
            <w:proofErr w:type="spellStart"/>
            <w:r>
              <w:rPr>
                <w:rFonts w:ascii="Arial" w:hAnsi="Arial" w:cs="Arial"/>
                <w:sz w:val="22"/>
              </w:rPr>
              <w:t>Xxxxxxxxxxxxxxxx</w:t>
            </w:r>
            <w:proofErr w:type="spellEnd"/>
          </w:p>
        </w:tc>
      </w:tr>
      <w:tr w:rsidR="004C02D8" w:rsidRPr="008F3025" w:rsidTr="00190480">
        <w:trPr>
          <w:cantSplit/>
        </w:trPr>
        <w:tc>
          <w:tcPr>
            <w:tcW w:w="3684" w:type="dxa"/>
            <w:tcBorders>
              <w:top w:val="nil"/>
              <w:left w:val="nil"/>
              <w:bottom w:val="nil"/>
              <w:right w:val="nil"/>
            </w:tcBorders>
          </w:tcPr>
          <w:p w:rsidR="004C02D8" w:rsidRPr="008F3025" w:rsidRDefault="00CA0152" w:rsidP="00190480">
            <w:pPr>
              <w:jc w:val="center"/>
              <w:rPr>
                <w:rFonts w:ascii="Arial" w:hAnsi="Arial" w:cs="Arial"/>
                <w:sz w:val="22"/>
              </w:rPr>
            </w:pPr>
            <w:r w:rsidRPr="00CA0152">
              <w:rPr>
                <w:rFonts w:ascii="Arial" w:hAnsi="Arial" w:cs="Arial"/>
                <w:sz w:val="22"/>
              </w:rPr>
              <w:t>jednatel společnosti</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610A21" w:rsidP="00190480">
            <w:pPr>
              <w:jc w:val="center"/>
              <w:rPr>
                <w:rFonts w:ascii="Arial" w:hAnsi="Arial" w:cs="Arial"/>
                <w:sz w:val="22"/>
              </w:rPr>
            </w:pPr>
            <w:r>
              <w:rPr>
                <w:rFonts w:ascii="Arial" w:hAnsi="Arial" w:cs="Arial"/>
                <w:sz w:val="22"/>
              </w:rPr>
              <w:t>xxxxxxxxxxxxxxxxxx</w:t>
            </w:r>
            <w:bookmarkStart w:id="0" w:name="_GoBack"/>
            <w:bookmarkEnd w:id="0"/>
          </w:p>
        </w:tc>
      </w:tr>
    </w:tbl>
    <w:p w:rsidR="004C02D8" w:rsidRPr="008F3025" w:rsidRDefault="004C02D8" w:rsidP="004C02D8">
      <w:pPr>
        <w:rPr>
          <w:rFonts w:ascii="Arial" w:hAnsi="Arial" w:cs="Arial"/>
          <w:b/>
          <w:sz w:val="22"/>
        </w:rPr>
      </w:pPr>
    </w:p>
    <w:p w:rsidR="004C02D8" w:rsidRPr="004C02D8" w:rsidRDefault="004C02D8" w:rsidP="004C02D8"/>
    <w:sectPr w:rsidR="004C02D8" w:rsidRPr="004C02D8" w:rsidSect="000E418E">
      <w:headerReference w:type="default" r:id="rId12"/>
      <w:footerReference w:type="even" r:id="rId13"/>
      <w:footerReference w:type="default" r:id="rId14"/>
      <w:headerReference w:type="first" r:id="rId15"/>
      <w:footerReference w:type="first" r:id="rId16"/>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5D" w:rsidRDefault="00453B5D">
      <w:r>
        <w:separator/>
      </w:r>
    </w:p>
  </w:endnote>
  <w:endnote w:type="continuationSeparator" w:id="0">
    <w:p w:rsidR="00453B5D" w:rsidRDefault="0045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10A21">
              <w:rPr>
                <w:rFonts w:ascii="Arial" w:hAnsi="Arial" w:cs="Arial"/>
                <w:b/>
                <w:bCs/>
                <w:noProof/>
                <w:sz w:val="18"/>
                <w:szCs w:val="18"/>
              </w:rPr>
              <w:t>7</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10A21">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5D" w:rsidRDefault="00453B5D">
      <w:r>
        <w:separator/>
      </w:r>
    </w:p>
  </w:footnote>
  <w:footnote w:type="continuationSeparator" w:id="0">
    <w:p w:rsidR="00453B5D" w:rsidRDefault="00453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C8D"/>
    <w:rsid w:val="000F30AC"/>
    <w:rsid w:val="000F4819"/>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4A6"/>
    <w:rsid w:val="00320EC3"/>
    <w:rsid w:val="00322C95"/>
    <w:rsid w:val="00323C07"/>
    <w:rsid w:val="00341B59"/>
    <w:rsid w:val="00346ECD"/>
    <w:rsid w:val="003572B8"/>
    <w:rsid w:val="00360B49"/>
    <w:rsid w:val="00376954"/>
    <w:rsid w:val="003921FF"/>
    <w:rsid w:val="00394100"/>
    <w:rsid w:val="003A0084"/>
    <w:rsid w:val="003A44A3"/>
    <w:rsid w:val="003A76D4"/>
    <w:rsid w:val="003B26D5"/>
    <w:rsid w:val="003B7470"/>
    <w:rsid w:val="003D24DA"/>
    <w:rsid w:val="003D679F"/>
    <w:rsid w:val="003F127C"/>
    <w:rsid w:val="003F6D9D"/>
    <w:rsid w:val="004121CE"/>
    <w:rsid w:val="00420F02"/>
    <w:rsid w:val="00432439"/>
    <w:rsid w:val="00432E20"/>
    <w:rsid w:val="00445BD4"/>
    <w:rsid w:val="00447522"/>
    <w:rsid w:val="00453132"/>
    <w:rsid w:val="004536C9"/>
    <w:rsid w:val="00453B5D"/>
    <w:rsid w:val="004575D9"/>
    <w:rsid w:val="0045762B"/>
    <w:rsid w:val="00457CBB"/>
    <w:rsid w:val="00465556"/>
    <w:rsid w:val="00481E94"/>
    <w:rsid w:val="0048663D"/>
    <w:rsid w:val="00486A58"/>
    <w:rsid w:val="00490610"/>
    <w:rsid w:val="004929A9"/>
    <w:rsid w:val="004B3093"/>
    <w:rsid w:val="004B7337"/>
    <w:rsid w:val="004C02D8"/>
    <w:rsid w:val="004C74FD"/>
    <w:rsid w:val="004D2579"/>
    <w:rsid w:val="004D2BCF"/>
    <w:rsid w:val="004E644A"/>
    <w:rsid w:val="004E65E3"/>
    <w:rsid w:val="00501B85"/>
    <w:rsid w:val="00501F5A"/>
    <w:rsid w:val="005057FA"/>
    <w:rsid w:val="005066AA"/>
    <w:rsid w:val="005078E3"/>
    <w:rsid w:val="00512BCB"/>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10A21"/>
    <w:rsid w:val="00620D0E"/>
    <w:rsid w:val="00624508"/>
    <w:rsid w:val="00625FF6"/>
    <w:rsid w:val="00630782"/>
    <w:rsid w:val="0063557D"/>
    <w:rsid w:val="0063628F"/>
    <w:rsid w:val="00637ADA"/>
    <w:rsid w:val="00640EF8"/>
    <w:rsid w:val="00645DC7"/>
    <w:rsid w:val="0066020A"/>
    <w:rsid w:val="00672265"/>
    <w:rsid w:val="006750FB"/>
    <w:rsid w:val="00676859"/>
    <w:rsid w:val="006769BE"/>
    <w:rsid w:val="00676E2B"/>
    <w:rsid w:val="006955B9"/>
    <w:rsid w:val="00696075"/>
    <w:rsid w:val="006B0B09"/>
    <w:rsid w:val="006B27E1"/>
    <w:rsid w:val="006D2D86"/>
    <w:rsid w:val="006D3824"/>
    <w:rsid w:val="006E7753"/>
    <w:rsid w:val="006E7A85"/>
    <w:rsid w:val="006F2A21"/>
    <w:rsid w:val="006F6F4B"/>
    <w:rsid w:val="007045D7"/>
    <w:rsid w:val="0070500B"/>
    <w:rsid w:val="00710767"/>
    <w:rsid w:val="0071252B"/>
    <w:rsid w:val="00715AC7"/>
    <w:rsid w:val="00715C62"/>
    <w:rsid w:val="00716707"/>
    <w:rsid w:val="00725E69"/>
    <w:rsid w:val="00731107"/>
    <w:rsid w:val="0073235F"/>
    <w:rsid w:val="0073467E"/>
    <w:rsid w:val="00735B3A"/>
    <w:rsid w:val="00737BF1"/>
    <w:rsid w:val="00751D97"/>
    <w:rsid w:val="00761A46"/>
    <w:rsid w:val="007767C1"/>
    <w:rsid w:val="0079045B"/>
    <w:rsid w:val="007921B5"/>
    <w:rsid w:val="0079688D"/>
    <w:rsid w:val="007A2C8A"/>
    <w:rsid w:val="007A65F3"/>
    <w:rsid w:val="007B0024"/>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639A"/>
    <w:rsid w:val="0089659B"/>
    <w:rsid w:val="008B366C"/>
    <w:rsid w:val="008C4278"/>
    <w:rsid w:val="008C624F"/>
    <w:rsid w:val="008C65E6"/>
    <w:rsid w:val="008C6CAF"/>
    <w:rsid w:val="008C73D2"/>
    <w:rsid w:val="008D01E2"/>
    <w:rsid w:val="008D1E40"/>
    <w:rsid w:val="008D65AD"/>
    <w:rsid w:val="008E454F"/>
    <w:rsid w:val="008E684F"/>
    <w:rsid w:val="008F0FAB"/>
    <w:rsid w:val="008F3025"/>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2A3C"/>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2FF9"/>
    <w:rsid w:val="00C97AC0"/>
    <w:rsid w:val="00CA0152"/>
    <w:rsid w:val="00CA2E45"/>
    <w:rsid w:val="00CB0526"/>
    <w:rsid w:val="00CB3F87"/>
    <w:rsid w:val="00CC4902"/>
    <w:rsid w:val="00CC5695"/>
    <w:rsid w:val="00CD6AD2"/>
    <w:rsid w:val="00CE1D84"/>
    <w:rsid w:val="00CE37FE"/>
    <w:rsid w:val="00CE5110"/>
    <w:rsid w:val="00CE5337"/>
    <w:rsid w:val="00D03CB0"/>
    <w:rsid w:val="00D05309"/>
    <w:rsid w:val="00D244C4"/>
    <w:rsid w:val="00D25742"/>
    <w:rsid w:val="00D25888"/>
    <w:rsid w:val="00D26780"/>
    <w:rsid w:val="00D3342D"/>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EF6B90"/>
    <w:rsid w:val="00F039E5"/>
    <w:rsid w:val="00F07083"/>
    <w:rsid w:val="00F12975"/>
    <w:rsid w:val="00F1346C"/>
    <w:rsid w:val="00F1461E"/>
    <w:rsid w:val="00F14C49"/>
    <w:rsid w:val="00F33857"/>
    <w:rsid w:val="00F54572"/>
    <w:rsid w:val="00F64236"/>
    <w:rsid w:val="00FA08D0"/>
    <w:rsid w:val="00FA363C"/>
    <w:rsid w:val="00FA7DE4"/>
    <w:rsid w:val="00FB7483"/>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414A-6B41-4D97-90FF-D7943FFB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2325</Words>
  <Characters>13720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6</cp:revision>
  <cp:lastPrinted>2019-07-18T15:28:00Z</cp:lastPrinted>
  <dcterms:created xsi:type="dcterms:W3CDTF">2019-07-18T15:24:00Z</dcterms:created>
  <dcterms:modified xsi:type="dcterms:W3CDTF">2019-08-05T04:49:00Z</dcterms:modified>
  <cp:category>Výběrové řízení</cp:category>
</cp:coreProperties>
</file>