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38861" w14:textId="77777777" w:rsidR="008F0675" w:rsidRPr="001E730C" w:rsidRDefault="008F0675">
      <w:pPr>
        <w:spacing w:before="600"/>
        <w:jc w:val="center"/>
        <w:rPr>
          <w:rFonts w:cs="Arial"/>
          <w:b/>
          <w:caps/>
          <w:szCs w:val="22"/>
        </w:rPr>
      </w:pPr>
      <w:r w:rsidRPr="001E730C">
        <w:rPr>
          <w:rFonts w:cs="Arial"/>
          <w:b/>
          <w:caps/>
          <w:szCs w:val="22"/>
        </w:rPr>
        <w:t xml:space="preserve">Obchodní plán ÚVěROVÉHO fondu </w:t>
      </w:r>
      <w:r w:rsidR="00147A85">
        <w:rPr>
          <w:rFonts w:cs="Arial"/>
          <w:b/>
          <w:caps/>
          <w:szCs w:val="22"/>
        </w:rPr>
        <w:t>SP</w:t>
      </w:r>
      <w:r w:rsidR="00AA1CA8" w:rsidRPr="001E730C">
        <w:rPr>
          <w:rFonts w:cs="Arial"/>
          <w:b/>
          <w:caps/>
          <w:szCs w:val="22"/>
        </w:rPr>
        <w:t xml:space="preserve"> </w:t>
      </w:r>
      <w:r w:rsidR="00147A85">
        <w:rPr>
          <w:rFonts w:cs="Arial"/>
          <w:b/>
          <w:caps/>
          <w:szCs w:val="22"/>
        </w:rPr>
        <w:t>2019</w:t>
      </w:r>
    </w:p>
    <w:p w14:paraId="3863DAF7" w14:textId="77777777" w:rsidR="008F0675" w:rsidRPr="001E730C" w:rsidRDefault="008F0675">
      <w:pPr>
        <w:spacing w:before="480"/>
        <w:rPr>
          <w:rFonts w:cs="Arial"/>
          <w:b/>
        </w:rPr>
      </w:pPr>
      <w:r w:rsidRPr="001E730C">
        <w:rPr>
          <w:rFonts w:cs="Arial"/>
          <w:b/>
        </w:rPr>
        <w:t>A</w:t>
      </w:r>
      <w:r w:rsidRPr="001E730C">
        <w:rPr>
          <w:rFonts w:cs="Arial"/>
          <w:b/>
        </w:rPr>
        <w:tab/>
        <w:t>Úvodní ustanovení</w:t>
      </w:r>
    </w:p>
    <w:p w14:paraId="69D3F498" w14:textId="0410F7BC" w:rsidR="008F0675" w:rsidRPr="001E730C" w:rsidRDefault="008F0675" w:rsidP="00D00642">
      <w:pPr>
        <w:numPr>
          <w:ilvl w:val="0"/>
          <w:numId w:val="14"/>
        </w:numPr>
        <w:tabs>
          <w:tab w:val="clear" w:pos="4305"/>
        </w:tabs>
        <w:spacing w:before="360"/>
        <w:ind w:left="709" w:hanging="709"/>
        <w:rPr>
          <w:rFonts w:cs="Arial"/>
          <w:sz w:val="20"/>
        </w:rPr>
      </w:pPr>
      <w:r w:rsidRPr="001E730C">
        <w:rPr>
          <w:rFonts w:cs="Arial"/>
          <w:sz w:val="20"/>
        </w:rPr>
        <w:t xml:space="preserve">Tento obchodní plán Úvěrového fondu </w:t>
      </w:r>
      <w:r w:rsidR="00147A85">
        <w:rPr>
          <w:rFonts w:cs="Arial"/>
          <w:sz w:val="20"/>
        </w:rPr>
        <w:t>SP 2019</w:t>
      </w:r>
      <w:r w:rsidR="0021133F" w:rsidRPr="001E730C">
        <w:rPr>
          <w:rFonts w:cs="Arial"/>
          <w:sz w:val="20"/>
        </w:rPr>
        <w:t xml:space="preserve"> </w:t>
      </w:r>
      <w:r w:rsidR="00D322C9" w:rsidRPr="001E730C">
        <w:rPr>
          <w:rFonts w:cs="Arial"/>
          <w:sz w:val="20"/>
        </w:rPr>
        <w:t>(dále „Obchodní plán“)</w:t>
      </w:r>
      <w:r w:rsidRPr="001E730C">
        <w:rPr>
          <w:rFonts w:cs="Arial"/>
          <w:sz w:val="20"/>
        </w:rPr>
        <w:t xml:space="preserve"> byl připraven Českomoravskou záruční a rozvojovou bankou a.s., IČ: 44848943, se sídlem Jeruzalémská 964/4, 110 00 Praha 1, zapsanou na vložce číslo 1329 oddílu B obchodního rejstříku vedeného Městským soudem v Praze </w:t>
      </w:r>
      <w:r w:rsidR="00AB31A2" w:rsidRPr="001E730C">
        <w:rPr>
          <w:rFonts w:cs="Arial"/>
          <w:sz w:val="20"/>
        </w:rPr>
        <w:t xml:space="preserve">jako správcem finančního nástroje </w:t>
      </w:r>
      <w:r w:rsidR="003A7AC9" w:rsidRPr="001E730C">
        <w:rPr>
          <w:rFonts w:cs="Arial"/>
          <w:sz w:val="20"/>
        </w:rPr>
        <w:t xml:space="preserve">k naplnění </w:t>
      </w:r>
      <w:r w:rsidR="009C477C">
        <w:rPr>
          <w:rFonts w:cs="Arial"/>
          <w:sz w:val="20"/>
        </w:rPr>
        <w:t>požadavku</w:t>
      </w:r>
      <w:r w:rsidR="009C477C" w:rsidRPr="001E730C">
        <w:rPr>
          <w:rFonts w:cs="Arial"/>
          <w:sz w:val="20"/>
        </w:rPr>
        <w:t xml:space="preserve"> </w:t>
      </w:r>
      <w:r w:rsidR="003A7AC9" w:rsidRPr="001E730C">
        <w:rPr>
          <w:rFonts w:cs="Arial"/>
          <w:sz w:val="20"/>
        </w:rPr>
        <w:t>přílohy IV bod 1 písm. b) Nařízení 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E730C">
        <w:rPr>
          <w:rFonts w:cs="Arial"/>
          <w:sz w:val="20"/>
        </w:rPr>
        <w:t>.</w:t>
      </w:r>
    </w:p>
    <w:p w14:paraId="035B5446" w14:textId="77777777" w:rsidR="00D322C9" w:rsidRPr="001E730C" w:rsidRDefault="00465A4F" w:rsidP="00D00642">
      <w:pPr>
        <w:numPr>
          <w:ilvl w:val="0"/>
          <w:numId w:val="14"/>
        </w:numPr>
        <w:tabs>
          <w:tab w:val="clear" w:pos="4305"/>
        </w:tabs>
        <w:spacing w:before="360"/>
        <w:ind w:left="709" w:hanging="709"/>
        <w:rPr>
          <w:rFonts w:cs="Arial"/>
          <w:sz w:val="20"/>
        </w:rPr>
      </w:pPr>
      <w:r w:rsidRPr="001E730C">
        <w:rPr>
          <w:rFonts w:cs="Arial"/>
          <w:sz w:val="20"/>
        </w:rPr>
        <w:t>Tento Obchodní plán</w:t>
      </w:r>
      <w:r w:rsidR="00D322C9" w:rsidRPr="001E730C">
        <w:rPr>
          <w:rFonts w:cs="Arial"/>
          <w:sz w:val="20"/>
        </w:rPr>
        <w:t xml:space="preserve"> je vytvořen </w:t>
      </w:r>
      <w:r w:rsidR="00DA4A40" w:rsidRPr="001E730C">
        <w:rPr>
          <w:rFonts w:cs="Arial"/>
          <w:sz w:val="20"/>
        </w:rPr>
        <w:t xml:space="preserve">jako </w:t>
      </w:r>
      <w:r w:rsidR="003B550B" w:rsidRPr="001E730C">
        <w:rPr>
          <w:rFonts w:cs="Arial"/>
          <w:sz w:val="20"/>
        </w:rPr>
        <w:t>příloha</w:t>
      </w:r>
      <w:r w:rsidR="00383B69" w:rsidRPr="001E730C">
        <w:rPr>
          <w:rFonts w:cs="Arial"/>
          <w:sz w:val="20"/>
        </w:rPr>
        <w:t xml:space="preserve"> </w:t>
      </w:r>
      <w:r w:rsidR="00D322C9" w:rsidRPr="001E730C">
        <w:rPr>
          <w:rFonts w:cs="Arial"/>
          <w:sz w:val="20"/>
        </w:rPr>
        <w:t>Dohod</w:t>
      </w:r>
      <w:r w:rsidR="00DA4A40" w:rsidRPr="001E730C">
        <w:rPr>
          <w:rFonts w:cs="Arial"/>
          <w:sz w:val="20"/>
        </w:rPr>
        <w:t>y</w:t>
      </w:r>
      <w:r w:rsidR="00D322C9" w:rsidRPr="001E730C">
        <w:rPr>
          <w:rFonts w:cs="Arial"/>
          <w:sz w:val="20"/>
        </w:rPr>
        <w:t xml:space="preserve"> o v</w:t>
      </w:r>
      <w:r w:rsidRPr="001E730C">
        <w:rPr>
          <w:rFonts w:cs="Arial"/>
          <w:sz w:val="20"/>
        </w:rPr>
        <w:t xml:space="preserve">ytvoření a správě Úvěrového </w:t>
      </w:r>
      <w:r w:rsidR="00D322C9" w:rsidRPr="001E730C">
        <w:rPr>
          <w:rFonts w:cs="Arial"/>
          <w:sz w:val="20"/>
        </w:rPr>
        <w:t xml:space="preserve">fondu </w:t>
      </w:r>
      <w:r w:rsidR="00147A85">
        <w:rPr>
          <w:rFonts w:cs="Arial"/>
          <w:sz w:val="20"/>
        </w:rPr>
        <w:t>SP </w:t>
      </w:r>
      <w:r w:rsidR="0021133F" w:rsidRPr="001E730C">
        <w:rPr>
          <w:rFonts w:cs="Arial"/>
          <w:sz w:val="20"/>
        </w:rPr>
        <w:t>201</w:t>
      </w:r>
      <w:r w:rsidR="00147A85">
        <w:rPr>
          <w:rFonts w:cs="Arial"/>
          <w:sz w:val="20"/>
        </w:rPr>
        <w:t>9</w:t>
      </w:r>
      <w:r w:rsidR="0021133F" w:rsidRPr="001E730C">
        <w:rPr>
          <w:rFonts w:cs="Arial"/>
          <w:sz w:val="20"/>
        </w:rPr>
        <w:t xml:space="preserve"> </w:t>
      </w:r>
      <w:r w:rsidRPr="001E730C">
        <w:rPr>
          <w:rFonts w:cs="Arial"/>
          <w:sz w:val="20"/>
        </w:rPr>
        <w:t>(</w:t>
      </w:r>
      <w:r w:rsidR="00D97283" w:rsidRPr="001E730C">
        <w:rPr>
          <w:rFonts w:cs="Arial"/>
          <w:sz w:val="20"/>
        </w:rPr>
        <w:t>dále „Dohoda“)</w:t>
      </w:r>
      <w:r w:rsidR="00CA46BD" w:rsidRPr="001E730C">
        <w:rPr>
          <w:rFonts w:cs="Arial"/>
          <w:sz w:val="20"/>
        </w:rPr>
        <w:t xml:space="preserve"> k poskytování zvýhodněných úvěrů</w:t>
      </w:r>
      <w:r w:rsidR="00AB4D9B">
        <w:rPr>
          <w:rFonts w:cs="Arial"/>
          <w:sz w:val="20"/>
        </w:rPr>
        <w:t xml:space="preserve"> a poradenství</w:t>
      </w:r>
      <w:r w:rsidR="00CA46BD" w:rsidRPr="001E730C">
        <w:rPr>
          <w:rFonts w:cs="Arial"/>
          <w:sz w:val="20"/>
        </w:rPr>
        <w:t xml:space="preserve"> v programu </w:t>
      </w:r>
      <w:r w:rsidR="00B75D3C">
        <w:rPr>
          <w:rFonts w:cs="Arial"/>
          <w:sz w:val="20"/>
        </w:rPr>
        <w:t>SPodnikatel</w:t>
      </w:r>
      <w:r w:rsidR="00D322C9" w:rsidRPr="001E730C">
        <w:rPr>
          <w:rFonts w:cs="Arial"/>
          <w:sz w:val="20"/>
        </w:rPr>
        <w:t>.</w:t>
      </w:r>
    </w:p>
    <w:p w14:paraId="61BCA7DE" w14:textId="77777777" w:rsidR="00FC69DD" w:rsidRPr="001E730C" w:rsidRDefault="00D322C9" w:rsidP="00D00642">
      <w:pPr>
        <w:numPr>
          <w:ilvl w:val="0"/>
          <w:numId w:val="14"/>
        </w:numPr>
        <w:tabs>
          <w:tab w:val="clear" w:pos="4305"/>
        </w:tabs>
        <w:spacing w:before="240"/>
        <w:ind w:left="709" w:hanging="709"/>
        <w:rPr>
          <w:bCs/>
          <w:sz w:val="20"/>
        </w:rPr>
      </w:pPr>
      <w:r w:rsidRPr="001E730C">
        <w:rPr>
          <w:sz w:val="20"/>
        </w:rPr>
        <w:t xml:space="preserve">Pojmy uvedené v tomto Obchodním plánu jsou pojmy uvedenými </w:t>
      </w:r>
      <w:r w:rsidR="00D97283" w:rsidRPr="001E730C">
        <w:rPr>
          <w:sz w:val="20"/>
        </w:rPr>
        <w:t>v</w:t>
      </w:r>
      <w:r w:rsidR="00FC69DD" w:rsidRPr="001E730C">
        <w:rPr>
          <w:sz w:val="20"/>
        </w:rPr>
        <w:t> </w:t>
      </w:r>
      <w:r w:rsidR="00D97283" w:rsidRPr="001E730C">
        <w:rPr>
          <w:sz w:val="20"/>
        </w:rPr>
        <w:t>Dohodě</w:t>
      </w:r>
      <w:r w:rsidR="00FC69DD" w:rsidRPr="001E730C">
        <w:rPr>
          <w:sz w:val="20"/>
        </w:rPr>
        <w:t>.</w:t>
      </w:r>
    </w:p>
    <w:p w14:paraId="1D80D075" w14:textId="03EFE4E4" w:rsidR="00106F80" w:rsidRPr="00106F80" w:rsidRDefault="009F3E96" w:rsidP="00106F80">
      <w:pPr>
        <w:numPr>
          <w:ilvl w:val="0"/>
          <w:numId w:val="14"/>
        </w:numPr>
        <w:tabs>
          <w:tab w:val="clear" w:pos="4305"/>
        </w:tabs>
        <w:spacing w:before="240"/>
        <w:ind w:left="709" w:hanging="709"/>
        <w:rPr>
          <w:bCs/>
          <w:sz w:val="20"/>
        </w:rPr>
      </w:pPr>
      <w:r w:rsidRPr="001E730C">
        <w:rPr>
          <w:sz w:val="20"/>
        </w:rPr>
        <w:t xml:space="preserve">Obchodní plán je stanoven za předpokladu, že Operační program </w:t>
      </w:r>
      <w:r w:rsidR="00B75D3C">
        <w:rPr>
          <w:sz w:val="20"/>
        </w:rPr>
        <w:t xml:space="preserve">Zaměstnanost </w:t>
      </w:r>
      <w:r w:rsidR="00E0261D">
        <w:rPr>
          <w:sz w:val="20"/>
        </w:rPr>
        <w:t xml:space="preserve">(dále „OPZ“) </w:t>
      </w:r>
      <w:r w:rsidRPr="001E730C">
        <w:rPr>
          <w:sz w:val="20"/>
        </w:rPr>
        <w:t>bude umo</w:t>
      </w:r>
      <w:r w:rsidR="00383B69" w:rsidRPr="001E730C">
        <w:rPr>
          <w:sz w:val="20"/>
        </w:rPr>
        <w:t>žňovat posky</w:t>
      </w:r>
      <w:r w:rsidRPr="001E730C">
        <w:rPr>
          <w:sz w:val="20"/>
        </w:rPr>
        <w:t xml:space="preserve">tovat </w:t>
      </w:r>
      <w:r w:rsidR="00383B69" w:rsidRPr="001E730C">
        <w:rPr>
          <w:sz w:val="20"/>
        </w:rPr>
        <w:t xml:space="preserve">vedle </w:t>
      </w:r>
      <w:r w:rsidR="00FD22B0">
        <w:rPr>
          <w:sz w:val="20"/>
        </w:rPr>
        <w:t>Z</w:t>
      </w:r>
      <w:r w:rsidR="00FD22B0" w:rsidRPr="001E730C">
        <w:rPr>
          <w:sz w:val="20"/>
        </w:rPr>
        <w:t xml:space="preserve">výhodněných </w:t>
      </w:r>
      <w:r w:rsidR="00383B69" w:rsidRPr="001E730C">
        <w:rPr>
          <w:sz w:val="20"/>
        </w:rPr>
        <w:t xml:space="preserve">úvěrů i </w:t>
      </w:r>
      <w:r w:rsidR="00B75D3C">
        <w:rPr>
          <w:sz w:val="20"/>
        </w:rPr>
        <w:t xml:space="preserve">poradenství pro </w:t>
      </w:r>
      <w:r w:rsidR="00FD22B0">
        <w:rPr>
          <w:sz w:val="20"/>
        </w:rPr>
        <w:t>Příjemce podpory</w:t>
      </w:r>
      <w:r w:rsidR="00383B69" w:rsidRPr="001E730C">
        <w:rPr>
          <w:sz w:val="20"/>
        </w:rPr>
        <w:t>.</w:t>
      </w:r>
    </w:p>
    <w:p w14:paraId="71C9E60D" w14:textId="77777777" w:rsidR="00106F80" w:rsidRPr="00106F80" w:rsidRDefault="00106F80" w:rsidP="00106F80">
      <w:pPr>
        <w:numPr>
          <w:ilvl w:val="0"/>
          <w:numId w:val="14"/>
        </w:numPr>
        <w:tabs>
          <w:tab w:val="clear" w:pos="4305"/>
        </w:tabs>
        <w:spacing w:before="240"/>
        <w:ind w:left="709" w:hanging="709"/>
        <w:rPr>
          <w:sz w:val="20"/>
        </w:rPr>
      </w:pPr>
      <w:r>
        <w:rPr>
          <w:sz w:val="20"/>
        </w:rPr>
        <w:t xml:space="preserve">Nastavení </w:t>
      </w:r>
      <w:r w:rsidR="00B75D3C">
        <w:rPr>
          <w:sz w:val="20"/>
        </w:rPr>
        <w:t>O</w:t>
      </w:r>
      <w:r>
        <w:rPr>
          <w:sz w:val="20"/>
        </w:rPr>
        <w:t xml:space="preserve">bchodního plánu vychází rovněž z předpokladu možných omezení </w:t>
      </w:r>
      <w:r w:rsidRPr="0040671F">
        <w:rPr>
          <w:sz w:val="20"/>
        </w:rPr>
        <w:t xml:space="preserve">dostupnosti </w:t>
      </w:r>
      <w:r>
        <w:rPr>
          <w:sz w:val="20"/>
        </w:rPr>
        <w:t xml:space="preserve">běžných komerčních </w:t>
      </w:r>
      <w:r w:rsidRPr="0040671F">
        <w:rPr>
          <w:sz w:val="20"/>
        </w:rPr>
        <w:t xml:space="preserve">úvěrů </w:t>
      </w:r>
      <w:r w:rsidR="00204007">
        <w:rPr>
          <w:sz w:val="20"/>
        </w:rPr>
        <w:t xml:space="preserve">(bez zapojení </w:t>
      </w:r>
      <w:r>
        <w:rPr>
          <w:sz w:val="20"/>
        </w:rPr>
        <w:t>EIB a EIF</w:t>
      </w:r>
      <w:r w:rsidR="00204007">
        <w:rPr>
          <w:sz w:val="20"/>
        </w:rPr>
        <w:t>)</w:t>
      </w:r>
      <w:r>
        <w:rPr>
          <w:sz w:val="20"/>
        </w:rPr>
        <w:t xml:space="preserve"> </w:t>
      </w:r>
      <w:r w:rsidRPr="0040671F">
        <w:rPr>
          <w:sz w:val="20"/>
        </w:rPr>
        <w:t>a požadavk</w:t>
      </w:r>
      <w:r>
        <w:rPr>
          <w:sz w:val="20"/>
        </w:rPr>
        <w:t>ů</w:t>
      </w:r>
      <w:r w:rsidRPr="0040671F">
        <w:rPr>
          <w:sz w:val="20"/>
        </w:rPr>
        <w:t xml:space="preserve"> na vysokou návratnost kvůli vysokým transakčním nákladům, které </w:t>
      </w:r>
      <w:r>
        <w:rPr>
          <w:sz w:val="20"/>
        </w:rPr>
        <w:t xml:space="preserve">komerční </w:t>
      </w:r>
      <w:r w:rsidR="00204007">
        <w:rPr>
          <w:sz w:val="20"/>
        </w:rPr>
        <w:t xml:space="preserve">bankovní </w:t>
      </w:r>
      <w:r>
        <w:rPr>
          <w:sz w:val="20"/>
        </w:rPr>
        <w:t>subjekty</w:t>
      </w:r>
      <w:r w:rsidRPr="0040671F">
        <w:rPr>
          <w:sz w:val="20"/>
        </w:rPr>
        <w:t xml:space="preserve"> při identifikaci životaschopných projektů</w:t>
      </w:r>
      <w:r>
        <w:rPr>
          <w:sz w:val="20"/>
        </w:rPr>
        <w:t xml:space="preserve"> </w:t>
      </w:r>
      <w:r w:rsidR="009C477C">
        <w:rPr>
          <w:sz w:val="20"/>
        </w:rPr>
        <w:t>sociálních podnikatelů</w:t>
      </w:r>
      <w:r w:rsidRPr="0040671F">
        <w:rPr>
          <w:sz w:val="20"/>
        </w:rPr>
        <w:t xml:space="preserve"> </w:t>
      </w:r>
      <w:r w:rsidR="00204007">
        <w:rPr>
          <w:sz w:val="20"/>
        </w:rPr>
        <w:t>předpoklád</w:t>
      </w:r>
      <w:r w:rsidR="00887EDF">
        <w:rPr>
          <w:sz w:val="20"/>
        </w:rPr>
        <w:t>a</w:t>
      </w:r>
      <w:r w:rsidR="00204007">
        <w:rPr>
          <w:sz w:val="20"/>
        </w:rPr>
        <w:t>jí</w:t>
      </w:r>
      <w:r>
        <w:rPr>
          <w:sz w:val="20"/>
        </w:rPr>
        <w:t>.</w:t>
      </w:r>
    </w:p>
    <w:p w14:paraId="698B80D9" w14:textId="77777777" w:rsidR="008F0675" w:rsidRPr="001E730C" w:rsidRDefault="008F0675" w:rsidP="00D00642">
      <w:pPr>
        <w:spacing w:before="480"/>
        <w:rPr>
          <w:rFonts w:cs="Arial"/>
          <w:b/>
        </w:rPr>
      </w:pPr>
      <w:r w:rsidRPr="001E730C">
        <w:rPr>
          <w:rFonts w:cs="Arial"/>
          <w:b/>
        </w:rPr>
        <w:t>B</w:t>
      </w:r>
      <w:r w:rsidRPr="001E730C">
        <w:rPr>
          <w:rFonts w:cs="Arial"/>
          <w:b/>
        </w:rPr>
        <w:tab/>
        <w:t>Obchodní plán</w:t>
      </w:r>
    </w:p>
    <w:p w14:paraId="27DAF60D" w14:textId="77777777" w:rsidR="001A17B7" w:rsidRPr="001E730C" w:rsidRDefault="001A17B7" w:rsidP="00D00642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  <w:sz w:val="20"/>
        </w:rPr>
      </w:pPr>
      <w:r w:rsidRPr="001E730C">
        <w:rPr>
          <w:rFonts w:cs="Arial"/>
          <w:b/>
          <w:sz w:val="20"/>
        </w:rPr>
        <w:t xml:space="preserve">Vnější podmínky realizace Obchodního plánu </w:t>
      </w:r>
    </w:p>
    <w:p w14:paraId="161E15CF" w14:textId="0FD66D57" w:rsidR="00FC747E" w:rsidRPr="001E730C" w:rsidRDefault="001A17B7" w:rsidP="00D00642">
      <w:pPr>
        <w:spacing w:before="360"/>
        <w:ind w:left="567"/>
        <w:rPr>
          <w:rFonts w:cs="Arial"/>
          <w:sz w:val="20"/>
        </w:rPr>
      </w:pPr>
      <w:r w:rsidRPr="001E730C">
        <w:rPr>
          <w:rFonts w:cs="Arial"/>
          <w:sz w:val="20"/>
        </w:rPr>
        <w:t xml:space="preserve">Obchodní plán bude realizován za situace, kdy poptávka po zvýhodněných úvěrech </w:t>
      </w:r>
      <w:r w:rsidR="009127C4" w:rsidRPr="001E730C">
        <w:rPr>
          <w:rFonts w:cs="Arial"/>
          <w:sz w:val="20"/>
        </w:rPr>
        <w:t>může být</w:t>
      </w:r>
      <w:r w:rsidRPr="001E730C">
        <w:rPr>
          <w:rFonts w:cs="Arial"/>
          <w:sz w:val="20"/>
        </w:rPr>
        <w:t xml:space="preserve"> </w:t>
      </w:r>
      <w:r w:rsidR="000837C4" w:rsidRPr="001E730C">
        <w:rPr>
          <w:rFonts w:cs="Arial"/>
          <w:sz w:val="20"/>
        </w:rPr>
        <w:t>ovlivněna</w:t>
      </w:r>
      <w:r w:rsidRPr="001E730C">
        <w:rPr>
          <w:rFonts w:cs="Arial"/>
          <w:sz w:val="20"/>
        </w:rPr>
        <w:t xml:space="preserve"> nabídk</w:t>
      </w:r>
      <w:r w:rsidR="00651490" w:rsidRPr="001E730C">
        <w:rPr>
          <w:rFonts w:cs="Arial"/>
          <w:sz w:val="20"/>
        </w:rPr>
        <w:t>ou</w:t>
      </w:r>
      <w:r w:rsidRPr="001E730C">
        <w:rPr>
          <w:rFonts w:cs="Arial"/>
          <w:sz w:val="20"/>
        </w:rPr>
        <w:t xml:space="preserve"> </w:t>
      </w:r>
      <w:r w:rsidR="009127C4" w:rsidRPr="001E730C">
        <w:rPr>
          <w:rFonts w:cs="Arial"/>
          <w:sz w:val="20"/>
        </w:rPr>
        <w:t xml:space="preserve">obdobných produktů některých komerčních bank, které jsou podporovány programy Evropské investiční banky či Evropského investičního fondu </w:t>
      </w:r>
      <w:r w:rsidRPr="001E730C">
        <w:rPr>
          <w:rFonts w:cs="Arial"/>
          <w:sz w:val="20"/>
        </w:rPr>
        <w:t xml:space="preserve">na </w:t>
      </w:r>
      <w:r w:rsidR="009127C4" w:rsidRPr="001E730C">
        <w:rPr>
          <w:rFonts w:cs="Arial"/>
          <w:sz w:val="20"/>
        </w:rPr>
        <w:t xml:space="preserve">obdobný </w:t>
      </w:r>
      <w:r w:rsidR="000837C4" w:rsidRPr="001E730C">
        <w:rPr>
          <w:rFonts w:cs="Arial"/>
          <w:sz w:val="20"/>
        </w:rPr>
        <w:t>cílový segment</w:t>
      </w:r>
      <w:r w:rsidR="009127C4" w:rsidRPr="001E730C">
        <w:rPr>
          <w:rFonts w:cs="Arial"/>
          <w:sz w:val="20"/>
        </w:rPr>
        <w:t xml:space="preserve">. </w:t>
      </w:r>
    </w:p>
    <w:p w14:paraId="1B376BCF" w14:textId="77777777" w:rsidR="00CA46BD" w:rsidRPr="001E730C" w:rsidRDefault="00CA46BD" w:rsidP="00D00642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  <w:sz w:val="20"/>
        </w:rPr>
      </w:pPr>
      <w:r w:rsidRPr="001E730C">
        <w:rPr>
          <w:rFonts w:cs="Arial"/>
          <w:b/>
          <w:sz w:val="20"/>
        </w:rPr>
        <w:t xml:space="preserve">Cíl Obchodního plánu </w:t>
      </w:r>
    </w:p>
    <w:p w14:paraId="382FB439" w14:textId="2B0FAA01" w:rsidR="00E55364" w:rsidRDefault="00CA46BD" w:rsidP="00602068">
      <w:pPr>
        <w:spacing w:before="360"/>
        <w:ind w:left="567"/>
        <w:rPr>
          <w:rFonts w:cs="Arial"/>
          <w:sz w:val="20"/>
        </w:rPr>
      </w:pPr>
      <w:r w:rsidRPr="001E730C">
        <w:rPr>
          <w:rFonts w:cs="Arial"/>
          <w:sz w:val="20"/>
        </w:rPr>
        <w:t xml:space="preserve">Celková alokace pro </w:t>
      </w:r>
      <w:r w:rsidR="00B63168" w:rsidRPr="001E730C">
        <w:rPr>
          <w:rFonts w:cs="Arial"/>
          <w:sz w:val="20"/>
        </w:rPr>
        <w:t xml:space="preserve">Úvěrový </w:t>
      </w:r>
      <w:r w:rsidR="000837C4" w:rsidRPr="001E730C">
        <w:rPr>
          <w:rFonts w:cs="Arial"/>
          <w:sz w:val="20"/>
        </w:rPr>
        <w:t xml:space="preserve">fond </w:t>
      </w:r>
      <w:r w:rsidR="00B75D3C">
        <w:rPr>
          <w:rFonts w:cs="Arial"/>
          <w:sz w:val="20"/>
        </w:rPr>
        <w:t>SP 2019</w:t>
      </w:r>
      <w:r w:rsidR="000837C4" w:rsidRPr="001E730C">
        <w:rPr>
          <w:rFonts w:cs="Arial"/>
          <w:sz w:val="20"/>
        </w:rPr>
        <w:t xml:space="preserve"> se předpokl</w:t>
      </w:r>
      <w:r w:rsidR="00A757E2" w:rsidRPr="001E730C">
        <w:rPr>
          <w:rFonts w:cs="Arial"/>
          <w:sz w:val="20"/>
        </w:rPr>
        <w:t xml:space="preserve">ádá </w:t>
      </w:r>
      <w:r w:rsidR="00651490" w:rsidRPr="001E730C">
        <w:rPr>
          <w:rFonts w:cs="Arial"/>
          <w:sz w:val="20"/>
        </w:rPr>
        <w:t>4</w:t>
      </w:r>
      <w:r w:rsidR="008B759E" w:rsidRPr="001E730C">
        <w:rPr>
          <w:rFonts w:cs="Arial"/>
          <w:sz w:val="20"/>
        </w:rPr>
        <w:t>00 mil.</w:t>
      </w:r>
      <w:r w:rsidR="00A757E2" w:rsidRPr="001E730C">
        <w:rPr>
          <w:rFonts w:cs="Arial"/>
          <w:sz w:val="20"/>
        </w:rPr>
        <w:t xml:space="preserve"> Kč</w:t>
      </w:r>
      <w:r w:rsidR="006C2B39" w:rsidRPr="001E730C">
        <w:rPr>
          <w:rFonts w:cs="Arial"/>
          <w:sz w:val="20"/>
        </w:rPr>
        <w:t>.</w:t>
      </w:r>
      <w:r w:rsidR="00A757E2" w:rsidRPr="001E730C">
        <w:rPr>
          <w:rFonts w:cs="Arial"/>
          <w:sz w:val="20"/>
        </w:rPr>
        <w:t xml:space="preserve"> Jako </w:t>
      </w:r>
      <w:r w:rsidR="00481C41">
        <w:rPr>
          <w:rFonts w:cs="Arial"/>
          <w:sz w:val="20"/>
        </w:rPr>
        <w:t xml:space="preserve">závazný </w:t>
      </w:r>
      <w:r w:rsidR="002B170F" w:rsidRPr="001E730C">
        <w:rPr>
          <w:rFonts w:cs="Arial"/>
          <w:sz w:val="20"/>
        </w:rPr>
        <w:t>indikátor</w:t>
      </w:r>
      <w:r w:rsidR="003B550B" w:rsidRPr="001E730C">
        <w:rPr>
          <w:rFonts w:cs="Arial"/>
          <w:sz w:val="20"/>
        </w:rPr>
        <w:t xml:space="preserve"> </w:t>
      </w:r>
      <w:r w:rsidR="00E0261D">
        <w:rPr>
          <w:rFonts w:cs="Arial"/>
          <w:sz w:val="20"/>
        </w:rPr>
        <w:t>OPZ</w:t>
      </w:r>
      <w:r w:rsidR="002B170F" w:rsidRPr="001E730C">
        <w:rPr>
          <w:rFonts w:cs="Arial"/>
          <w:sz w:val="20"/>
        </w:rPr>
        <w:t xml:space="preserve"> j</w:t>
      </w:r>
      <w:r w:rsidR="00481C41">
        <w:rPr>
          <w:rFonts w:cs="Arial"/>
          <w:sz w:val="20"/>
        </w:rPr>
        <w:t xml:space="preserve">e </w:t>
      </w:r>
      <w:r w:rsidR="00E55364">
        <w:rPr>
          <w:rFonts w:cs="Arial"/>
          <w:sz w:val="20"/>
        </w:rPr>
        <w:t xml:space="preserve">stanoven: </w:t>
      </w:r>
    </w:p>
    <w:p w14:paraId="1921C840" w14:textId="77777777" w:rsidR="00602068" w:rsidRPr="00602068" w:rsidRDefault="00602068" w:rsidP="00602068">
      <w:pPr>
        <w:spacing w:before="360"/>
        <w:ind w:left="567"/>
        <w:rPr>
          <w:rFonts w:cs="Arial"/>
          <w:sz w:val="2"/>
        </w:rPr>
      </w:pPr>
    </w:p>
    <w:tbl>
      <w:tblPr>
        <w:tblW w:w="89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103"/>
        <w:gridCol w:w="2268"/>
      </w:tblGrid>
      <w:tr w:rsidR="00602068" w:rsidRPr="001E730C" w14:paraId="1995FF85" w14:textId="77777777" w:rsidTr="00602068">
        <w:tc>
          <w:tcPr>
            <w:tcW w:w="1620" w:type="dxa"/>
            <w:shd w:val="clear" w:color="auto" w:fill="auto"/>
            <w:vAlign w:val="center"/>
          </w:tcPr>
          <w:p w14:paraId="400BF50D" w14:textId="77777777" w:rsidR="00602068" w:rsidRPr="001E730C" w:rsidRDefault="00602068" w:rsidP="00602068">
            <w:pPr>
              <w:keepNext/>
              <w:spacing w:before="24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Číslo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C4B73C" w14:textId="77777777" w:rsidR="00602068" w:rsidRPr="001E730C" w:rsidRDefault="00602068" w:rsidP="00602068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Název indikátoru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B64587" w14:textId="77777777" w:rsidR="00602068" w:rsidRPr="001E730C" w:rsidRDefault="00602068" w:rsidP="00602068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Cílová hodnota</w:t>
            </w:r>
          </w:p>
        </w:tc>
      </w:tr>
      <w:tr w:rsidR="00602068" w:rsidRPr="001E730C" w14:paraId="08B86D49" w14:textId="77777777" w:rsidTr="00602068">
        <w:trPr>
          <w:trHeight w:val="337"/>
        </w:trPr>
        <w:tc>
          <w:tcPr>
            <w:tcW w:w="1620" w:type="dxa"/>
            <w:shd w:val="clear" w:color="auto" w:fill="auto"/>
            <w:vAlign w:val="center"/>
          </w:tcPr>
          <w:p w14:paraId="2A7862FD" w14:textId="12F9A309" w:rsidR="00602068" w:rsidRPr="00447965" w:rsidRDefault="0039328D" w:rsidP="00602068">
            <w:pPr>
              <w:jc w:val="center"/>
              <w:rPr>
                <w:sz w:val="20"/>
              </w:rPr>
            </w:pPr>
            <w:r w:rsidRPr="0039328D">
              <w:rPr>
                <w:rFonts w:cs="Arial"/>
                <w:sz w:val="20"/>
              </w:rPr>
              <w:t>1 02 12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7A5D4C" w14:textId="0DF04C5E" w:rsidR="00602068" w:rsidRPr="001E730C" w:rsidRDefault="0039328D" w:rsidP="00602068">
            <w:pPr>
              <w:keepNext/>
              <w:jc w:val="center"/>
              <w:rPr>
                <w:rFonts w:cs="Arial"/>
                <w:sz w:val="20"/>
              </w:rPr>
            </w:pPr>
            <w:r w:rsidRPr="0039328D">
              <w:rPr>
                <w:rFonts w:cs="Arial"/>
                <w:sz w:val="20"/>
              </w:rPr>
              <w:t>Počet podpořených již existujících sociálních podniků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5A2132" w14:textId="77777777" w:rsidR="00602068" w:rsidRPr="001E730C" w:rsidRDefault="00AD054C" w:rsidP="00AD054C">
            <w:pPr>
              <w:keepNext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602068">
              <w:rPr>
                <w:rFonts w:cs="Arial"/>
                <w:sz w:val="20"/>
              </w:rPr>
              <w:t>0</w:t>
            </w:r>
          </w:p>
        </w:tc>
      </w:tr>
    </w:tbl>
    <w:p w14:paraId="53D8A216" w14:textId="77777777" w:rsidR="00E55364" w:rsidRDefault="00E55364" w:rsidP="00D00642">
      <w:pPr>
        <w:spacing w:before="360"/>
        <w:ind w:left="567"/>
        <w:rPr>
          <w:rFonts w:cs="Arial"/>
          <w:sz w:val="20"/>
        </w:rPr>
      </w:pPr>
    </w:p>
    <w:p w14:paraId="38CF1184" w14:textId="77777777" w:rsidR="00E55364" w:rsidRDefault="00E55364" w:rsidP="00D00642">
      <w:pPr>
        <w:spacing w:before="360"/>
        <w:ind w:left="567"/>
        <w:rPr>
          <w:rFonts w:cs="Arial"/>
          <w:sz w:val="20"/>
        </w:rPr>
      </w:pPr>
    </w:p>
    <w:p w14:paraId="7ADFC187" w14:textId="77777777" w:rsidR="008F0675" w:rsidRPr="001E730C" w:rsidRDefault="008F0675" w:rsidP="00D00642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</w:rPr>
      </w:pPr>
      <w:r w:rsidRPr="001E730C">
        <w:rPr>
          <w:rFonts w:cs="Arial"/>
          <w:b/>
        </w:rPr>
        <w:t>Předpoklady Obchodního plánu</w:t>
      </w:r>
    </w:p>
    <w:p w14:paraId="75104A4E" w14:textId="77777777" w:rsidR="007C53C1" w:rsidRPr="001E730C" w:rsidRDefault="007C53C1" w:rsidP="00D00642">
      <w:pPr>
        <w:numPr>
          <w:ilvl w:val="1"/>
          <w:numId w:val="10"/>
        </w:numPr>
        <w:tabs>
          <w:tab w:val="num" w:pos="851"/>
        </w:tabs>
        <w:spacing w:before="240" w:after="120"/>
        <w:ind w:left="851" w:hanging="284"/>
        <w:rPr>
          <w:rFonts w:cs="Arial"/>
          <w:sz w:val="20"/>
        </w:rPr>
      </w:pPr>
      <w:r w:rsidRPr="001E730C">
        <w:rPr>
          <w:rFonts w:cs="Arial"/>
          <w:sz w:val="20"/>
          <w:u w:val="single"/>
        </w:rPr>
        <w:t>Výše a struktura zvýhodněných úvěrů</w:t>
      </w:r>
      <w:r w:rsidR="00F92F58">
        <w:rPr>
          <w:rFonts w:cs="Arial"/>
          <w:sz w:val="20"/>
          <w:u w:val="single"/>
        </w:rPr>
        <w:t xml:space="preserve"> </w:t>
      </w:r>
    </w:p>
    <w:tbl>
      <w:tblPr>
        <w:tblW w:w="853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275"/>
        <w:gridCol w:w="1134"/>
        <w:gridCol w:w="1134"/>
        <w:gridCol w:w="1418"/>
        <w:gridCol w:w="1701"/>
      </w:tblGrid>
      <w:tr w:rsidR="007C53C1" w:rsidRPr="001E730C" w14:paraId="701FFAAD" w14:textId="77777777" w:rsidTr="00D00642">
        <w:tc>
          <w:tcPr>
            <w:tcW w:w="1875" w:type="dxa"/>
            <w:shd w:val="clear" w:color="auto" w:fill="auto"/>
          </w:tcPr>
          <w:p w14:paraId="0CFF92B1" w14:textId="77777777" w:rsidR="007C53C1" w:rsidRPr="001E730C" w:rsidRDefault="007C53C1" w:rsidP="00D00642">
            <w:pPr>
              <w:keepNext/>
              <w:spacing w:before="240" w:after="120"/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AB499F" w14:textId="77777777" w:rsidR="007C53C1" w:rsidRPr="001E730C" w:rsidRDefault="007C53C1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Průměrná počáteční výše úvěru</w:t>
            </w:r>
            <w:r w:rsidR="00DD44BF">
              <w:rPr>
                <w:b/>
                <w:sz w:val="20"/>
              </w:rPr>
              <w:t xml:space="preserve"> (mil. Kč)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430E1" w14:textId="77777777" w:rsidR="007C53C1" w:rsidRPr="001E730C" w:rsidRDefault="007C53C1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Spotřeba zdrojů na 1 úvěr (mil. Kč)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3F297" w14:textId="77777777" w:rsidR="007C53C1" w:rsidRPr="001E730C" w:rsidRDefault="007C53C1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Počet úvěrů</w:t>
            </w:r>
          </w:p>
        </w:tc>
        <w:tc>
          <w:tcPr>
            <w:tcW w:w="1418" w:type="dxa"/>
            <w:shd w:val="clear" w:color="auto" w:fill="auto"/>
          </w:tcPr>
          <w:p w14:paraId="27BE764E" w14:textId="77777777" w:rsidR="007C53C1" w:rsidRPr="001E730C" w:rsidRDefault="007C53C1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Výše úvěrů (mil. Kč)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D5418" w14:textId="77777777" w:rsidR="007C53C1" w:rsidRPr="001E730C" w:rsidRDefault="007C53C1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 xml:space="preserve">Potřeba zdrojů celkem (mil. Kč) </w:t>
            </w:r>
          </w:p>
        </w:tc>
      </w:tr>
      <w:tr w:rsidR="007C53C1" w:rsidRPr="001E730C" w14:paraId="00E9F1D1" w14:textId="77777777" w:rsidTr="00D00642">
        <w:trPr>
          <w:trHeight w:val="337"/>
        </w:trPr>
        <w:tc>
          <w:tcPr>
            <w:tcW w:w="1875" w:type="dxa"/>
            <w:shd w:val="clear" w:color="auto" w:fill="auto"/>
            <w:vAlign w:val="center"/>
          </w:tcPr>
          <w:p w14:paraId="15E0B683" w14:textId="77777777" w:rsidR="007C53C1" w:rsidRPr="001E730C" w:rsidRDefault="007C53C1" w:rsidP="00D00642">
            <w:pPr>
              <w:jc w:val="left"/>
              <w:rPr>
                <w:b/>
                <w:sz w:val="20"/>
              </w:rPr>
            </w:pPr>
            <w:r w:rsidRPr="001E730C">
              <w:rPr>
                <w:rFonts w:cs="Arial"/>
                <w:b/>
                <w:sz w:val="20"/>
              </w:rPr>
              <w:t>Zvýhodněný úvěr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C67636" w14:textId="77777777" w:rsidR="007C53C1" w:rsidRPr="001E730C" w:rsidRDefault="0092541F" w:rsidP="00AD054C">
            <w:pPr>
              <w:keepNext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2 - </w:t>
            </w:r>
            <w:r w:rsidR="00AD054C">
              <w:rPr>
                <w:rFonts w:cs="Arial"/>
                <w:sz w:val="20"/>
              </w:rPr>
              <w:t>8</w:t>
            </w:r>
            <w:r w:rsidR="007F6F0D">
              <w:rPr>
                <w:rFonts w:cs="Arial"/>
                <w:sz w:val="20"/>
              </w:rPr>
              <w:t>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1DF6B" w14:textId="77777777" w:rsidR="007C53C1" w:rsidRPr="001E730C" w:rsidRDefault="0092541F" w:rsidP="00AD054C">
            <w:pPr>
              <w:keepNext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2 - </w:t>
            </w:r>
            <w:r w:rsidR="00AD054C">
              <w:rPr>
                <w:rFonts w:cs="Arial"/>
                <w:sz w:val="20"/>
              </w:rPr>
              <w:t>8</w:t>
            </w:r>
            <w:r w:rsidR="007F6F0D">
              <w:rPr>
                <w:rFonts w:cs="Arial"/>
                <w:sz w:val="20"/>
              </w:rPr>
              <w:t>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D4D1A1" w14:textId="56AE592F" w:rsidR="00B41CB2" w:rsidRPr="001E730C" w:rsidRDefault="0092541F" w:rsidP="0092541F">
            <w:pPr>
              <w:keepNext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30 - 80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7AEB73" w14:textId="77777777" w:rsidR="00B41CB2" w:rsidRPr="001E730C" w:rsidRDefault="00AD054C" w:rsidP="00D00642">
            <w:pPr>
              <w:keepNext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7F6F0D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A76C14" w14:textId="77777777" w:rsidR="00B41CB2" w:rsidRPr="001E730C" w:rsidRDefault="00AD054C" w:rsidP="007F6F0D">
            <w:pPr>
              <w:keepNext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7F6F0D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>0</w:t>
            </w:r>
          </w:p>
        </w:tc>
      </w:tr>
    </w:tbl>
    <w:p w14:paraId="29EE9B65" w14:textId="1680CDA7" w:rsidR="00AD054C" w:rsidRPr="00AD054C" w:rsidRDefault="00AD054C" w:rsidP="00AD054C">
      <w:pPr>
        <w:numPr>
          <w:ilvl w:val="1"/>
          <w:numId w:val="10"/>
        </w:numPr>
        <w:tabs>
          <w:tab w:val="num" w:pos="851"/>
        </w:tabs>
        <w:spacing w:before="240" w:after="120"/>
        <w:ind w:left="851" w:hanging="284"/>
        <w:rPr>
          <w:rFonts w:cs="Arial"/>
          <w:sz w:val="20"/>
          <w:u w:val="single"/>
        </w:rPr>
      </w:pPr>
      <w:r w:rsidRPr="00AD054C">
        <w:rPr>
          <w:rFonts w:cs="Arial"/>
          <w:sz w:val="20"/>
          <w:u w:val="single"/>
        </w:rPr>
        <w:t xml:space="preserve">Výše a struktura </w:t>
      </w:r>
      <w:r w:rsidR="00703EFD">
        <w:rPr>
          <w:rFonts w:cs="Arial"/>
          <w:sz w:val="20"/>
          <w:u w:val="single"/>
        </w:rPr>
        <w:t>poradenství</w:t>
      </w:r>
    </w:p>
    <w:tbl>
      <w:tblPr>
        <w:tblW w:w="85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736"/>
        <w:gridCol w:w="1737"/>
        <w:gridCol w:w="1736"/>
        <w:gridCol w:w="1737"/>
      </w:tblGrid>
      <w:tr w:rsidR="00AD054C" w:rsidRPr="001E730C" w14:paraId="2B676215" w14:textId="77777777" w:rsidTr="00AD054C">
        <w:tc>
          <w:tcPr>
            <w:tcW w:w="1620" w:type="dxa"/>
            <w:shd w:val="clear" w:color="auto" w:fill="auto"/>
          </w:tcPr>
          <w:p w14:paraId="41CC3B92" w14:textId="77777777" w:rsidR="00AD054C" w:rsidRPr="001E730C" w:rsidRDefault="00AD054C" w:rsidP="004827B6">
            <w:pPr>
              <w:keepNext/>
              <w:spacing w:before="240" w:after="120"/>
              <w:rPr>
                <w:rFonts w:cs="Arial"/>
                <w:b/>
                <w:sz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53163920" w14:textId="77777777" w:rsidR="00AD054C" w:rsidRPr="001E730C" w:rsidRDefault="00AD054C" w:rsidP="00AD054C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 xml:space="preserve">Průměrná </w:t>
            </w:r>
            <w:r>
              <w:rPr>
                <w:b/>
                <w:sz w:val="20"/>
              </w:rPr>
              <w:t>hodnota</w:t>
            </w:r>
            <w:r w:rsidRPr="001E730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poradenství (mil. Kč)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69A6422" w14:textId="77777777" w:rsidR="00AD054C" w:rsidRPr="001E730C" w:rsidRDefault="00AD054C" w:rsidP="00AD054C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1E730C">
              <w:rPr>
                <w:b/>
                <w:sz w:val="20"/>
              </w:rPr>
              <w:t xml:space="preserve">otřeba zdrojů na </w:t>
            </w:r>
            <w:r>
              <w:rPr>
                <w:b/>
                <w:sz w:val="20"/>
              </w:rPr>
              <w:t xml:space="preserve">poradenství pro konečného příjemce </w:t>
            </w:r>
            <w:r>
              <w:rPr>
                <w:b/>
                <w:sz w:val="20"/>
              </w:rPr>
              <w:br/>
            </w:r>
            <w:r w:rsidRPr="001E730C">
              <w:rPr>
                <w:b/>
                <w:sz w:val="20"/>
              </w:rPr>
              <w:t>(mil. Kč)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3C002838" w14:textId="77777777" w:rsidR="00AD054C" w:rsidRPr="001E730C" w:rsidRDefault="00AD054C" w:rsidP="004827B6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poskytnutých poradenství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D13CB33" w14:textId="77777777" w:rsidR="00AD054C" w:rsidRPr="001E730C" w:rsidRDefault="00AD054C" w:rsidP="00AD054C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 xml:space="preserve">Potřeba zdrojů </w:t>
            </w:r>
            <w:r>
              <w:rPr>
                <w:b/>
                <w:sz w:val="20"/>
              </w:rPr>
              <w:t xml:space="preserve">na poradenství </w:t>
            </w:r>
            <w:r w:rsidRPr="001E730C">
              <w:rPr>
                <w:b/>
                <w:sz w:val="20"/>
              </w:rPr>
              <w:t xml:space="preserve">celkem </w:t>
            </w:r>
            <w:r w:rsidR="00B22EB3">
              <w:rPr>
                <w:b/>
                <w:sz w:val="20"/>
              </w:rPr>
              <w:br/>
            </w:r>
            <w:r w:rsidRPr="001E730C">
              <w:rPr>
                <w:b/>
                <w:sz w:val="20"/>
              </w:rPr>
              <w:t xml:space="preserve">(mil. Kč) </w:t>
            </w:r>
          </w:p>
        </w:tc>
      </w:tr>
      <w:tr w:rsidR="00AD054C" w:rsidRPr="001E730C" w14:paraId="72B87516" w14:textId="77777777" w:rsidTr="00AD054C">
        <w:trPr>
          <w:trHeight w:val="337"/>
        </w:trPr>
        <w:tc>
          <w:tcPr>
            <w:tcW w:w="1620" w:type="dxa"/>
            <w:shd w:val="clear" w:color="auto" w:fill="auto"/>
            <w:vAlign w:val="center"/>
          </w:tcPr>
          <w:p w14:paraId="382A9187" w14:textId="77777777" w:rsidR="00AD054C" w:rsidRPr="001E730C" w:rsidRDefault="00AD054C" w:rsidP="004827B6">
            <w:pPr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Poradenství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541DAFF9" w14:textId="474FDEF1" w:rsidR="00AD054C" w:rsidRPr="001E730C" w:rsidRDefault="0092541F" w:rsidP="00AD054C">
            <w:pPr>
              <w:keepNext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0,04 - 0,5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1F4CBAF" w14:textId="5E28918D" w:rsidR="00AD054C" w:rsidRPr="001E730C" w:rsidRDefault="0092541F" w:rsidP="00AD054C">
            <w:pPr>
              <w:keepNext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0,04 – 0,5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7736C573" w14:textId="5564AB6F" w:rsidR="00AD054C" w:rsidRPr="001E730C" w:rsidRDefault="0092541F" w:rsidP="0092541F">
            <w:pPr>
              <w:keepNext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10 - 80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B41B48E" w14:textId="77777777" w:rsidR="00AD054C" w:rsidRPr="001E730C" w:rsidRDefault="0092541F" w:rsidP="004827B6">
            <w:pPr>
              <w:keepNext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maximálně </w:t>
            </w:r>
            <w:r w:rsidR="00AD054C">
              <w:rPr>
                <w:rFonts w:cs="Arial"/>
                <w:sz w:val="20"/>
              </w:rPr>
              <w:t>40</w:t>
            </w:r>
          </w:p>
        </w:tc>
      </w:tr>
    </w:tbl>
    <w:p w14:paraId="2970D477" w14:textId="77777777" w:rsidR="00DA12E2" w:rsidRPr="001E730C" w:rsidRDefault="00DA12E2" w:rsidP="00D00642">
      <w:pPr>
        <w:tabs>
          <w:tab w:val="num" w:pos="2345"/>
        </w:tabs>
        <w:spacing w:before="240" w:after="120"/>
        <w:ind w:left="851"/>
        <w:rPr>
          <w:rFonts w:cs="Arial"/>
          <w:sz w:val="20"/>
        </w:rPr>
      </w:pPr>
    </w:p>
    <w:p w14:paraId="68939C4A" w14:textId="77777777" w:rsidR="008F0675" w:rsidRPr="001E730C" w:rsidRDefault="007C53C1" w:rsidP="00AD054C">
      <w:pPr>
        <w:numPr>
          <w:ilvl w:val="0"/>
          <w:numId w:val="10"/>
        </w:numPr>
        <w:tabs>
          <w:tab w:val="num" w:pos="2345"/>
        </w:tabs>
        <w:spacing w:before="240" w:after="120"/>
        <w:rPr>
          <w:rFonts w:cs="Arial"/>
          <w:sz w:val="20"/>
        </w:rPr>
      </w:pPr>
      <w:r w:rsidRPr="001E730C">
        <w:rPr>
          <w:rFonts w:cs="Arial"/>
          <w:sz w:val="20"/>
          <w:u w:val="single"/>
        </w:rPr>
        <w:t>V</w:t>
      </w:r>
      <w:r w:rsidR="00A84BD8" w:rsidRPr="001E730C">
        <w:rPr>
          <w:rFonts w:cs="Arial"/>
          <w:sz w:val="20"/>
          <w:u w:val="single"/>
        </w:rPr>
        <w:t xml:space="preserve">klady do </w:t>
      </w:r>
      <w:r w:rsidR="008F0675" w:rsidRPr="001E730C">
        <w:rPr>
          <w:rFonts w:cs="Arial"/>
          <w:sz w:val="20"/>
          <w:u w:val="single"/>
        </w:rPr>
        <w:t xml:space="preserve">Úvěrového fondu </w:t>
      </w:r>
      <w:r w:rsidR="004D3617">
        <w:rPr>
          <w:rFonts w:cs="Arial"/>
          <w:sz w:val="20"/>
          <w:u w:val="single"/>
        </w:rPr>
        <w:t>SP</w:t>
      </w:r>
      <w:r w:rsidR="000827DC">
        <w:rPr>
          <w:rFonts w:cs="Arial"/>
          <w:sz w:val="20"/>
          <w:u w:val="single"/>
        </w:rPr>
        <w:t xml:space="preserve"> </w:t>
      </w:r>
      <w:r w:rsidR="004D3617">
        <w:rPr>
          <w:rFonts w:cs="Arial"/>
          <w:sz w:val="20"/>
          <w:u w:val="single"/>
        </w:rPr>
        <w:t>2019</w:t>
      </w:r>
      <w:r w:rsidR="008F0675" w:rsidRPr="001E730C">
        <w:rPr>
          <w:rFonts w:cs="Arial"/>
          <w:sz w:val="20"/>
          <w:u w:val="single"/>
        </w:rPr>
        <w:t xml:space="preserve"> </w:t>
      </w:r>
      <w:r w:rsidR="00E539ED" w:rsidRPr="001E730C">
        <w:rPr>
          <w:rFonts w:cs="Arial"/>
          <w:sz w:val="20"/>
          <w:u w:val="single"/>
        </w:rPr>
        <w:t>(mil. Kč)</w:t>
      </w:r>
      <w:r w:rsidR="008F0675" w:rsidRPr="001E730C">
        <w:rPr>
          <w:rFonts w:cs="Arial"/>
          <w:sz w:val="20"/>
        </w:rPr>
        <w:t>:</w:t>
      </w:r>
    </w:p>
    <w:tbl>
      <w:tblPr>
        <w:tblW w:w="64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26"/>
        <w:gridCol w:w="1134"/>
        <w:gridCol w:w="1134"/>
        <w:gridCol w:w="1134"/>
        <w:gridCol w:w="1062"/>
      </w:tblGrid>
      <w:tr w:rsidR="007C70C0" w:rsidRPr="001E730C" w14:paraId="428391C9" w14:textId="77777777" w:rsidTr="007C70C0">
        <w:tc>
          <w:tcPr>
            <w:tcW w:w="959" w:type="dxa"/>
          </w:tcPr>
          <w:p w14:paraId="01DFB288" w14:textId="77777777" w:rsidR="007C70C0" w:rsidRPr="001E730C" w:rsidRDefault="007C70C0" w:rsidP="00D00642">
            <w:pPr>
              <w:spacing w:before="120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 xml:space="preserve">Rok </w:t>
            </w:r>
          </w:p>
        </w:tc>
        <w:tc>
          <w:tcPr>
            <w:tcW w:w="1026" w:type="dxa"/>
          </w:tcPr>
          <w:p w14:paraId="7DD0B13E" w14:textId="7B312011" w:rsidR="007C70C0" w:rsidRPr="001E730C" w:rsidRDefault="007F6F0D" w:rsidP="00D00642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 w:rsidR="00950D7F">
              <w:rPr>
                <w:b/>
                <w:sz w:val="20"/>
              </w:rPr>
              <w:t>II</w:t>
            </w:r>
            <w:r w:rsidR="007C70C0" w:rsidRPr="001E730C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14:paraId="4A2C8D50" w14:textId="001E48DD" w:rsidR="007C70C0" w:rsidRPr="001E730C" w:rsidRDefault="00950D7F" w:rsidP="00D00642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</w:t>
            </w:r>
            <w:r w:rsidR="00316B58" w:rsidRPr="001E730C">
              <w:rPr>
                <w:b/>
                <w:sz w:val="20"/>
              </w:rPr>
              <w:t>/</w:t>
            </w:r>
            <w:r w:rsidR="007F6F0D">
              <w:rPr>
                <w:b/>
                <w:sz w:val="20"/>
              </w:rPr>
              <w:t>2020</w:t>
            </w:r>
          </w:p>
        </w:tc>
        <w:tc>
          <w:tcPr>
            <w:tcW w:w="1134" w:type="dxa"/>
          </w:tcPr>
          <w:p w14:paraId="2A36154C" w14:textId="77777777" w:rsidR="007C70C0" w:rsidRPr="001E730C" w:rsidRDefault="007F6F0D" w:rsidP="007F6F0D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 w:rsidR="007C70C0" w:rsidRPr="001E730C">
              <w:rPr>
                <w:b/>
                <w:sz w:val="20"/>
              </w:rPr>
              <w:t>/20</w:t>
            </w:r>
            <w:r w:rsidR="008B759E" w:rsidRPr="001E730C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14:paraId="77DBD946" w14:textId="77777777" w:rsidR="007C70C0" w:rsidRPr="001E730C" w:rsidRDefault="007F6F0D" w:rsidP="007F6F0D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  <w:r w:rsidR="007C70C0" w:rsidRPr="001E730C">
              <w:rPr>
                <w:b/>
                <w:sz w:val="20"/>
              </w:rPr>
              <w:t>/202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62" w:type="dxa"/>
          </w:tcPr>
          <w:p w14:paraId="482B5C5F" w14:textId="77777777" w:rsidR="007C70C0" w:rsidRPr="001E730C" w:rsidRDefault="007C70C0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Celkem</w:t>
            </w:r>
          </w:p>
        </w:tc>
      </w:tr>
      <w:tr w:rsidR="007C70C0" w:rsidRPr="001E730C" w14:paraId="6190CAF2" w14:textId="77777777" w:rsidTr="007C70C0">
        <w:tc>
          <w:tcPr>
            <w:tcW w:w="959" w:type="dxa"/>
            <w:vAlign w:val="center"/>
          </w:tcPr>
          <w:p w14:paraId="4C7CADBA" w14:textId="77777777" w:rsidR="007C70C0" w:rsidRPr="001E730C" w:rsidRDefault="007C70C0" w:rsidP="00D00642">
            <w:pPr>
              <w:jc w:val="left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 xml:space="preserve">Vklad </w:t>
            </w:r>
          </w:p>
        </w:tc>
        <w:tc>
          <w:tcPr>
            <w:tcW w:w="1026" w:type="dxa"/>
            <w:vAlign w:val="center"/>
          </w:tcPr>
          <w:p w14:paraId="66218D03" w14:textId="77777777" w:rsidR="007C70C0" w:rsidRPr="001E730C" w:rsidRDefault="008B759E" w:rsidP="00D00642">
            <w:pPr>
              <w:jc w:val="center"/>
              <w:rPr>
                <w:sz w:val="20"/>
              </w:rPr>
            </w:pPr>
            <w:r w:rsidRPr="001E730C">
              <w:rPr>
                <w:sz w:val="20"/>
              </w:rPr>
              <w:t>1</w:t>
            </w:r>
            <w:r w:rsidR="00651490" w:rsidRPr="001E730C">
              <w:rPr>
                <w:sz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302BA121" w14:textId="77777777" w:rsidR="007C70C0" w:rsidRPr="001E730C" w:rsidRDefault="008B759E" w:rsidP="00D00642">
            <w:pPr>
              <w:jc w:val="center"/>
              <w:rPr>
                <w:sz w:val="20"/>
              </w:rPr>
            </w:pPr>
            <w:r w:rsidRPr="001E730C">
              <w:rPr>
                <w:sz w:val="20"/>
              </w:rPr>
              <w:t>1</w:t>
            </w:r>
            <w:r w:rsidR="00651490" w:rsidRPr="001E730C">
              <w:rPr>
                <w:sz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14D13E31" w14:textId="77777777" w:rsidR="007C70C0" w:rsidRPr="001E730C" w:rsidRDefault="008B759E" w:rsidP="00D00642">
            <w:pPr>
              <w:jc w:val="center"/>
              <w:rPr>
                <w:sz w:val="20"/>
              </w:rPr>
            </w:pPr>
            <w:r w:rsidRPr="001E730C">
              <w:rPr>
                <w:sz w:val="20"/>
              </w:rPr>
              <w:t>1</w:t>
            </w:r>
            <w:r w:rsidR="00651490" w:rsidRPr="001E730C">
              <w:rPr>
                <w:sz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3A4B910D" w14:textId="77777777" w:rsidR="007C70C0" w:rsidRPr="001E730C" w:rsidRDefault="008B759E" w:rsidP="00D00642">
            <w:pPr>
              <w:jc w:val="center"/>
              <w:rPr>
                <w:sz w:val="20"/>
              </w:rPr>
            </w:pPr>
            <w:r w:rsidRPr="001E730C">
              <w:rPr>
                <w:sz w:val="20"/>
              </w:rPr>
              <w:t>1</w:t>
            </w:r>
            <w:r w:rsidR="00651490" w:rsidRPr="001E730C">
              <w:rPr>
                <w:sz w:val="20"/>
              </w:rPr>
              <w:t>00</w:t>
            </w:r>
          </w:p>
        </w:tc>
        <w:tc>
          <w:tcPr>
            <w:tcW w:w="1062" w:type="dxa"/>
            <w:vAlign w:val="center"/>
          </w:tcPr>
          <w:p w14:paraId="000882DB" w14:textId="77777777" w:rsidR="007C70C0" w:rsidRPr="001E730C" w:rsidRDefault="00651490" w:rsidP="00D00642">
            <w:pPr>
              <w:jc w:val="center"/>
              <w:rPr>
                <w:sz w:val="20"/>
              </w:rPr>
            </w:pPr>
            <w:r w:rsidRPr="001E730C">
              <w:rPr>
                <w:sz w:val="20"/>
              </w:rPr>
              <w:t>4</w:t>
            </w:r>
            <w:r w:rsidR="008B759E" w:rsidRPr="001E730C">
              <w:rPr>
                <w:sz w:val="20"/>
              </w:rPr>
              <w:t>00</w:t>
            </w:r>
          </w:p>
        </w:tc>
      </w:tr>
    </w:tbl>
    <w:p w14:paraId="0AC69962" w14:textId="3F7923BB" w:rsidR="00BC2917" w:rsidRPr="001E730C" w:rsidRDefault="00FD22B0" w:rsidP="00D00642">
      <w:pPr>
        <w:spacing w:before="240" w:after="120"/>
        <w:ind w:left="851"/>
        <w:rPr>
          <w:rFonts w:cs="Arial"/>
          <w:sz w:val="20"/>
        </w:rPr>
      </w:pPr>
      <w:r>
        <w:rPr>
          <w:rFonts w:cs="Arial"/>
          <w:sz w:val="20"/>
        </w:rPr>
        <w:t>Záruční banka do</w:t>
      </w:r>
      <w:r w:rsidRPr="001E730C">
        <w:rPr>
          <w:rFonts w:cs="Arial"/>
          <w:sz w:val="20"/>
        </w:rPr>
        <w:t xml:space="preserve"> </w:t>
      </w:r>
      <w:r w:rsidR="004C6F89" w:rsidRPr="001E730C">
        <w:rPr>
          <w:rFonts w:cs="Arial"/>
          <w:sz w:val="20"/>
        </w:rPr>
        <w:t>Úvěrové</w:t>
      </w:r>
      <w:r w:rsidR="00465A4F" w:rsidRPr="001E730C">
        <w:rPr>
          <w:rFonts w:cs="Arial"/>
          <w:sz w:val="20"/>
        </w:rPr>
        <w:t xml:space="preserve">ho fondu </w:t>
      </w:r>
      <w:r w:rsidR="007F6F0D">
        <w:rPr>
          <w:rFonts w:cs="Arial"/>
          <w:sz w:val="20"/>
        </w:rPr>
        <w:t xml:space="preserve">SP </w:t>
      </w:r>
      <w:r w:rsidR="008B759E" w:rsidRPr="001E730C">
        <w:rPr>
          <w:rFonts w:cs="Arial"/>
          <w:sz w:val="20"/>
        </w:rPr>
        <w:t>201</w:t>
      </w:r>
      <w:r w:rsidR="007F6F0D">
        <w:rPr>
          <w:rFonts w:cs="Arial"/>
          <w:sz w:val="20"/>
        </w:rPr>
        <w:t>9</w:t>
      </w:r>
      <w:r w:rsidR="004C6F89" w:rsidRPr="001E730C">
        <w:rPr>
          <w:rFonts w:cs="Arial"/>
          <w:sz w:val="20"/>
        </w:rPr>
        <w:t xml:space="preserve"> nevkládá </w:t>
      </w:r>
      <w:r w:rsidR="00FE01F6" w:rsidRPr="001E730C">
        <w:rPr>
          <w:rFonts w:cs="Arial"/>
          <w:sz w:val="20"/>
        </w:rPr>
        <w:t xml:space="preserve">své </w:t>
      </w:r>
      <w:r w:rsidR="004C6F89" w:rsidRPr="001E730C">
        <w:rPr>
          <w:rFonts w:cs="Arial"/>
          <w:sz w:val="20"/>
        </w:rPr>
        <w:t>prostředky, ani neprovádí poskytování dalších úvěr</w:t>
      </w:r>
      <w:r w:rsidR="00465A4F" w:rsidRPr="001E730C">
        <w:rPr>
          <w:rFonts w:cs="Arial"/>
          <w:sz w:val="20"/>
        </w:rPr>
        <w:t xml:space="preserve">ů na spolufinancování projektu </w:t>
      </w:r>
      <w:r w:rsidR="004C6F89" w:rsidRPr="001E730C">
        <w:rPr>
          <w:rFonts w:cs="Arial"/>
          <w:sz w:val="20"/>
        </w:rPr>
        <w:t>z vlastních prostředků</w:t>
      </w:r>
      <w:r w:rsidR="00BC2917" w:rsidRPr="001E730C">
        <w:rPr>
          <w:rFonts w:cs="Arial"/>
          <w:sz w:val="20"/>
        </w:rPr>
        <w:t xml:space="preserve">. </w:t>
      </w:r>
    </w:p>
    <w:p w14:paraId="7FF70230" w14:textId="77777777" w:rsidR="00007F37" w:rsidRPr="001E730C" w:rsidRDefault="00007F37" w:rsidP="00AD054C">
      <w:pPr>
        <w:numPr>
          <w:ilvl w:val="0"/>
          <w:numId w:val="10"/>
        </w:numPr>
        <w:tabs>
          <w:tab w:val="num" w:pos="2345"/>
        </w:tabs>
        <w:spacing w:before="360"/>
        <w:rPr>
          <w:rFonts w:cs="Arial"/>
          <w:sz w:val="20"/>
        </w:rPr>
      </w:pPr>
      <w:r w:rsidRPr="001E730C">
        <w:rPr>
          <w:rFonts w:cs="Arial"/>
          <w:sz w:val="20"/>
          <w:u w:val="single"/>
        </w:rPr>
        <w:t xml:space="preserve">Typy poskytovaných </w:t>
      </w:r>
      <w:r w:rsidR="002878B8">
        <w:rPr>
          <w:rFonts w:cs="Arial"/>
          <w:sz w:val="20"/>
          <w:u w:val="single"/>
        </w:rPr>
        <w:t>služeb</w:t>
      </w:r>
      <w:r w:rsidRPr="001E730C">
        <w:rPr>
          <w:rFonts w:cs="Arial"/>
          <w:sz w:val="20"/>
        </w:rPr>
        <w:t>:</w:t>
      </w:r>
    </w:p>
    <w:p w14:paraId="421BF77B" w14:textId="77777777" w:rsidR="00007F37" w:rsidRPr="001E730C" w:rsidRDefault="00007F37" w:rsidP="00D00642">
      <w:pPr>
        <w:numPr>
          <w:ilvl w:val="0"/>
          <w:numId w:val="12"/>
        </w:numPr>
        <w:spacing w:before="120"/>
        <w:ind w:left="1208" w:hanging="357"/>
        <w:rPr>
          <w:rFonts w:cs="Arial"/>
          <w:sz w:val="20"/>
        </w:rPr>
      </w:pPr>
      <w:r w:rsidRPr="001E730C">
        <w:rPr>
          <w:rFonts w:cs="Arial"/>
          <w:sz w:val="20"/>
        </w:rPr>
        <w:t xml:space="preserve">Zvýhodněný úvěr </w:t>
      </w:r>
    </w:p>
    <w:p w14:paraId="45F1EFE4" w14:textId="77777777" w:rsidR="00007F37" w:rsidRPr="001E730C" w:rsidRDefault="002878B8" w:rsidP="00D00642">
      <w:pPr>
        <w:numPr>
          <w:ilvl w:val="0"/>
          <w:numId w:val="12"/>
        </w:numPr>
        <w:rPr>
          <w:rFonts w:cs="Arial"/>
          <w:sz w:val="20"/>
        </w:rPr>
      </w:pPr>
      <w:r>
        <w:rPr>
          <w:rFonts w:cs="Arial"/>
          <w:sz w:val="20"/>
        </w:rPr>
        <w:t>Poradenství</w:t>
      </w:r>
    </w:p>
    <w:p w14:paraId="6D8CDF3C" w14:textId="121199AB" w:rsidR="00007F37" w:rsidRPr="001E730C" w:rsidRDefault="00007F37" w:rsidP="00AD054C">
      <w:pPr>
        <w:numPr>
          <w:ilvl w:val="0"/>
          <w:numId w:val="10"/>
        </w:numPr>
        <w:tabs>
          <w:tab w:val="num" w:pos="2345"/>
        </w:tabs>
        <w:spacing w:before="360" w:after="120"/>
        <w:rPr>
          <w:rFonts w:cs="Arial"/>
          <w:sz w:val="20"/>
        </w:rPr>
      </w:pPr>
      <w:r w:rsidRPr="001E730C">
        <w:rPr>
          <w:rFonts w:cs="Arial"/>
          <w:sz w:val="20"/>
          <w:u w:val="single"/>
        </w:rPr>
        <w:t xml:space="preserve">Výše poskytnutých </w:t>
      </w:r>
      <w:r w:rsidR="00E639AF">
        <w:rPr>
          <w:rFonts w:cs="Arial"/>
          <w:sz w:val="20"/>
          <w:u w:val="single"/>
        </w:rPr>
        <w:t>Z</w:t>
      </w:r>
      <w:r w:rsidR="00D85ABD">
        <w:rPr>
          <w:rFonts w:cs="Arial"/>
          <w:sz w:val="20"/>
          <w:u w:val="single"/>
        </w:rPr>
        <w:t>výhodněných</w:t>
      </w:r>
      <w:r w:rsidRPr="001E730C">
        <w:rPr>
          <w:rFonts w:cs="Arial"/>
          <w:sz w:val="20"/>
          <w:u w:val="single"/>
        </w:rPr>
        <w:t xml:space="preserve"> úvěrů</w:t>
      </w:r>
      <w:r w:rsidR="00757166" w:rsidRPr="001E730C">
        <w:rPr>
          <w:rFonts w:cs="Arial"/>
          <w:sz w:val="20"/>
          <w:u w:val="single"/>
        </w:rPr>
        <w:t xml:space="preserve"> </w:t>
      </w:r>
      <w:r w:rsidR="00D85ABD">
        <w:rPr>
          <w:rFonts w:cs="Arial"/>
          <w:sz w:val="20"/>
          <w:u w:val="single"/>
        </w:rPr>
        <w:t xml:space="preserve">a poradenství </w:t>
      </w:r>
      <w:r w:rsidR="00757166" w:rsidRPr="001E730C">
        <w:rPr>
          <w:rFonts w:cs="Arial"/>
          <w:sz w:val="20"/>
          <w:u w:val="single"/>
        </w:rPr>
        <w:t>z</w:t>
      </w:r>
      <w:r w:rsidR="00D85ABD">
        <w:rPr>
          <w:rFonts w:cs="Arial"/>
          <w:sz w:val="20"/>
          <w:u w:val="single"/>
        </w:rPr>
        <w:t> </w:t>
      </w:r>
      <w:r w:rsidR="00757166" w:rsidRPr="001E730C">
        <w:rPr>
          <w:rFonts w:cs="Arial"/>
          <w:sz w:val="20"/>
          <w:u w:val="single"/>
        </w:rPr>
        <w:t>vkladu</w:t>
      </w:r>
      <w:r w:rsidR="00D85ABD">
        <w:rPr>
          <w:rFonts w:cs="Arial"/>
          <w:sz w:val="20"/>
          <w:u w:val="single"/>
        </w:rPr>
        <w:t xml:space="preserve"> do SP</w:t>
      </w:r>
      <w:r w:rsidR="000827DC">
        <w:rPr>
          <w:rFonts w:cs="Arial"/>
          <w:sz w:val="20"/>
          <w:u w:val="single"/>
        </w:rPr>
        <w:t xml:space="preserve"> </w:t>
      </w:r>
      <w:r w:rsidR="00D85ABD">
        <w:rPr>
          <w:rFonts w:cs="Arial"/>
          <w:sz w:val="20"/>
          <w:u w:val="single"/>
        </w:rPr>
        <w:t>2019</w:t>
      </w:r>
      <w:r w:rsidRPr="001E730C">
        <w:rPr>
          <w:rFonts w:cs="Arial"/>
          <w:sz w:val="20"/>
          <w:u w:val="single"/>
        </w:rPr>
        <w:t xml:space="preserve"> (mil. Kč)</w:t>
      </w:r>
    </w:p>
    <w:tbl>
      <w:tblPr>
        <w:tblW w:w="68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857"/>
        <w:gridCol w:w="858"/>
        <w:gridCol w:w="858"/>
        <w:gridCol w:w="858"/>
        <w:gridCol w:w="858"/>
        <w:gridCol w:w="859"/>
      </w:tblGrid>
      <w:tr w:rsidR="00FE01F6" w:rsidRPr="001E730C" w14:paraId="70C518B3" w14:textId="77777777" w:rsidTr="001E730C">
        <w:tc>
          <w:tcPr>
            <w:tcW w:w="1714" w:type="dxa"/>
          </w:tcPr>
          <w:p w14:paraId="505CDFBB" w14:textId="77777777" w:rsidR="00FE01F6" w:rsidRPr="001E730C" w:rsidRDefault="00FE01F6" w:rsidP="00D00642">
            <w:pPr>
              <w:keepNext/>
              <w:spacing w:before="240" w:after="120"/>
              <w:rPr>
                <w:rFonts w:cs="Arial"/>
                <w:b/>
                <w:sz w:val="20"/>
              </w:rPr>
            </w:pPr>
            <w:r w:rsidRPr="001E730C">
              <w:rPr>
                <w:rFonts w:cs="Arial"/>
                <w:b/>
                <w:sz w:val="20"/>
              </w:rPr>
              <w:t>Rok</w:t>
            </w:r>
          </w:p>
        </w:tc>
        <w:tc>
          <w:tcPr>
            <w:tcW w:w="857" w:type="dxa"/>
            <w:vAlign w:val="center"/>
          </w:tcPr>
          <w:p w14:paraId="15FFE82C" w14:textId="77777777" w:rsidR="00FE01F6" w:rsidRPr="001E730C" w:rsidRDefault="00FE01F6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2019</w:t>
            </w:r>
          </w:p>
        </w:tc>
        <w:tc>
          <w:tcPr>
            <w:tcW w:w="858" w:type="dxa"/>
            <w:vAlign w:val="center"/>
          </w:tcPr>
          <w:p w14:paraId="157A8E4B" w14:textId="77777777" w:rsidR="00FE01F6" w:rsidRPr="001E730C" w:rsidRDefault="00FE01F6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2020</w:t>
            </w:r>
          </w:p>
        </w:tc>
        <w:tc>
          <w:tcPr>
            <w:tcW w:w="858" w:type="dxa"/>
            <w:vAlign w:val="center"/>
          </w:tcPr>
          <w:p w14:paraId="19B19077" w14:textId="77777777" w:rsidR="00FE01F6" w:rsidRPr="001E730C" w:rsidRDefault="00FE01F6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2021</w:t>
            </w:r>
          </w:p>
        </w:tc>
        <w:tc>
          <w:tcPr>
            <w:tcW w:w="858" w:type="dxa"/>
            <w:vAlign w:val="center"/>
          </w:tcPr>
          <w:p w14:paraId="4BFFE811" w14:textId="77777777" w:rsidR="00FE01F6" w:rsidRPr="001E730C" w:rsidRDefault="00FE01F6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2022</w:t>
            </w:r>
          </w:p>
        </w:tc>
        <w:tc>
          <w:tcPr>
            <w:tcW w:w="858" w:type="dxa"/>
            <w:vAlign w:val="center"/>
          </w:tcPr>
          <w:p w14:paraId="3376AEEA" w14:textId="77777777" w:rsidR="00FE01F6" w:rsidRPr="001E730C" w:rsidRDefault="00FE01F6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2023</w:t>
            </w:r>
          </w:p>
        </w:tc>
        <w:tc>
          <w:tcPr>
            <w:tcW w:w="859" w:type="dxa"/>
            <w:vAlign w:val="center"/>
          </w:tcPr>
          <w:p w14:paraId="6B211F92" w14:textId="77777777" w:rsidR="00FE01F6" w:rsidRPr="001E730C" w:rsidRDefault="00FE01F6" w:rsidP="00D00642">
            <w:pPr>
              <w:keepNext/>
              <w:spacing w:before="24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E730C">
              <w:rPr>
                <w:rFonts w:cs="Arial"/>
                <w:b/>
                <w:sz w:val="18"/>
                <w:szCs w:val="18"/>
              </w:rPr>
              <w:t>Celkem</w:t>
            </w:r>
          </w:p>
        </w:tc>
      </w:tr>
      <w:tr w:rsidR="00FE01F6" w:rsidRPr="001E730C" w14:paraId="46F7E369" w14:textId="77777777" w:rsidTr="001E730C">
        <w:trPr>
          <w:trHeight w:val="337"/>
        </w:trPr>
        <w:tc>
          <w:tcPr>
            <w:tcW w:w="1714" w:type="dxa"/>
            <w:vAlign w:val="center"/>
          </w:tcPr>
          <w:p w14:paraId="5451842F" w14:textId="77777777" w:rsidR="00FE01F6" w:rsidRPr="001E730C" w:rsidRDefault="00FE01F6" w:rsidP="00D00642">
            <w:pPr>
              <w:jc w:val="left"/>
              <w:rPr>
                <w:b/>
                <w:sz w:val="20"/>
              </w:rPr>
            </w:pPr>
            <w:r w:rsidRPr="001E730C">
              <w:rPr>
                <w:rFonts w:cs="Arial"/>
                <w:b/>
                <w:sz w:val="20"/>
              </w:rPr>
              <w:t>Zvýh. úvěr</w:t>
            </w:r>
          </w:p>
        </w:tc>
        <w:tc>
          <w:tcPr>
            <w:tcW w:w="857" w:type="dxa"/>
            <w:vAlign w:val="bottom"/>
          </w:tcPr>
          <w:p w14:paraId="5648F456" w14:textId="77777777" w:rsidR="00FE01F6" w:rsidRPr="0025331F" w:rsidRDefault="00D85ABD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34</w:t>
            </w:r>
          </w:p>
        </w:tc>
        <w:tc>
          <w:tcPr>
            <w:tcW w:w="858" w:type="dxa"/>
            <w:vAlign w:val="bottom"/>
          </w:tcPr>
          <w:p w14:paraId="47D26B59" w14:textId="77777777" w:rsidR="00FE01F6" w:rsidRPr="0025331F" w:rsidRDefault="00D85ABD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85</w:t>
            </w:r>
          </w:p>
        </w:tc>
        <w:tc>
          <w:tcPr>
            <w:tcW w:w="858" w:type="dxa"/>
            <w:vAlign w:val="bottom"/>
          </w:tcPr>
          <w:p w14:paraId="6E6D0295" w14:textId="77777777" w:rsidR="00FE01F6" w:rsidRPr="0025331F" w:rsidRDefault="00D85ABD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85</w:t>
            </w:r>
          </w:p>
        </w:tc>
        <w:tc>
          <w:tcPr>
            <w:tcW w:w="858" w:type="dxa"/>
            <w:vAlign w:val="bottom"/>
          </w:tcPr>
          <w:p w14:paraId="6708F262" w14:textId="77777777" w:rsidR="00FE01F6" w:rsidRPr="0025331F" w:rsidRDefault="00D85ABD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85</w:t>
            </w:r>
          </w:p>
        </w:tc>
        <w:tc>
          <w:tcPr>
            <w:tcW w:w="858" w:type="dxa"/>
            <w:vAlign w:val="bottom"/>
          </w:tcPr>
          <w:p w14:paraId="5D4774F0" w14:textId="77777777" w:rsidR="00FE01F6" w:rsidRPr="0025331F" w:rsidRDefault="00D85ABD" w:rsidP="00D85ABD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51</w:t>
            </w:r>
          </w:p>
        </w:tc>
        <w:tc>
          <w:tcPr>
            <w:tcW w:w="859" w:type="dxa"/>
            <w:vAlign w:val="bottom"/>
          </w:tcPr>
          <w:p w14:paraId="195E0524" w14:textId="77777777" w:rsidR="00FE01F6" w:rsidRPr="0025331F" w:rsidRDefault="00D85ABD" w:rsidP="00D85ABD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340</w:t>
            </w:r>
          </w:p>
        </w:tc>
      </w:tr>
      <w:tr w:rsidR="00FE01F6" w:rsidRPr="001E730C" w14:paraId="29FC8E79" w14:textId="77777777" w:rsidTr="001E730C">
        <w:trPr>
          <w:trHeight w:val="285"/>
        </w:trPr>
        <w:tc>
          <w:tcPr>
            <w:tcW w:w="1714" w:type="dxa"/>
            <w:vAlign w:val="center"/>
          </w:tcPr>
          <w:p w14:paraId="2EDC08DD" w14:textId="77777777" w:rsidR="00FE01F6" w:rsidRPr="001E730C" w:rsidRDefault="00D85ABD" w:rsidP="00D00642">
            <w:pPr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Poradenství</w:t>
            </w:r>
          </w:p>
        </w:tc>
        <w:tc>
          <w:tcPr>
            <w:tcW w:w="857" w:type="dxa"/>
            <w:vAlign w:val="bottom"/>
          </w:tcPr>
          <w:p w14:paraId="4A4CD855" w14:textId="77777777" w:rsidR="00FE01F6" w:rsidRPr="0025331F" w:rsidRDefault="00D85ABD" w:rsidP="00D85ABD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858" w:type="dxa"/>
            <w:vAlign w:val="bottom"/>
          </w:tcPr>
          <w:p w14:paraId="01140AC0" w14:textId="77777777" w:rsidR="00FE01F6" w:rsidRPr="0025331F" w:rsidRDefault="00D85ABD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10</w:t>
            </w:r>
          </w:p>
        </w:tc>
        <w:tc>
          <w:tcPr>
            <w:tcW w:w="858" w:type="dxa"/>
            <w:vAlign w:val="bottom"/>
          </w:tcPr>
          <w:p w14:paraId="78ED215E" w14:textId="77777777" w:rsidR="00FE01F6" w:rsidRPr="0025331F" w:rsidRDefault="00D85ABD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10</w:t>
            </w:r>
          </w:p>
        </w:tc>
        <w:tc>
          <w:tcPr>
            <w:tcW w:w="858" w:type="dxa"/>
            <w:vAlign w:val="bottom"/>
          </w:tcPr>
          <w:p w14:paraId="3C260724" w14:textId="77777777" w:rsidR="00FE01F6" w:rsidRPr="0025331F" w:rsidRDefault="00D85ABD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10</w:t>
            </w:r>
          </w:p>
        </w:tc>
        <w:tc>
          <w:tcPr>
            <w:tcW w:w="858" w:type="dxa"/>
            <w:vAlign w:val="bottom"/>
          </w:tcPr>
          <w:p w14:paraId="19ECB5FD" w14:textId="77777777" w:rsidR="00FE01F6" w:rsidRPr="0025331F" w:rsidRDefault="00D85ABD" w:rsidP="00D85ABD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6</w:t>
            </w:r>
          </w:p>
        </w:tc>
        <w:tc>
          <w:tcPr>
            <w:tcW w:w="859" w:type="dxa"/>
            <w:vAlign w:val="bottom"/>
          </w:tcPr>
          <w:p w14:paraId="290E7072" w14:textId="77777777" w:rsidR="00FE01F6" w:rsidRPr="0025331F" w:rsidRDefault="00D85ABD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4</w:t>
            </w:r>
            <w:r w:rsidR="001C38F6" w:rsidRPr="0025331F">
              <w:rPr>
                <w:rFonts w:cs="Arial"/>
                <w:color w:val="000000"/>
                <w:sz w:val="20"/>
                <w:szCs w:val="22"/>
              </w:rPr>
              <w:t>0</w:t>
            </w:r>
          </w:p>
        </w:tc>
      </w:tr>
      <w:tr w:rsidR="00FE01F6" w:rsidRPr="001E730C" w14:paraId="6AE601CA" w14:textId="77777777" w:rsidTr="001E730C">
        <w:trPr>
          <w:trHeight w:val="261"/>
        </w:trPr>
        <w:tc>
          <w:tcPr>
            <w:tcW w:w="1714" w:type="dxa"/>
            <w:vAlign w:val="center"/>
          </w:tcPr>
          <w:p w14:paraId="58F26F41" w14:textId="77777777" w:rsidR="00FE01F6" w:rsidRPr="001E730C" w:rsidRDefault="00D85ABD" w:rsidP="00D0064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857" w:type="dxa"/>
            <w:vAlign w:val="bottom"/>
          </w:tcPr>
          <w:p w14:paraId="67A2EC66" w14:textId="77777777" w:rsidR="00FE01F6" w:rsidRPr="0025331F" w:rsidRDefault="00D85ABD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38</w:t>
            </w:r>
          </w:p>
        </w:tc>
        <w:tc>
          <w:tcPr>
            <w:tcW w:w="858" w:type="dxa"/>
            <w:vAlign w:val="bottom"/>
          </w:tcPr>
          <w:p w14:paraId="7053F273" w14:textId="77777777" w:rsidR="00FE01F6" w:rsidRPr="0025331F" w:rsidRDefault="00D85ABD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95</w:t>
            </w:r>
          </w:p>
        </w:tc>
        <w:tc>
          <w:tcPr>
            <w:tcW w:w="858" w:type="dxa"/>
            <w:vAlign w:val="bottom"/>
          </w:tcPr>
          <w:p w14:paraId="5F89071C" w14:textId="77777777" w:rsidR="00FE01F6" w:rsidRPr="0025331F" w:rsidRDefault="00D85ABD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95</w:t>
            </w:r>
          </w:p>
        </w:tc>
        <w:tc>
          <w:tcPr>
            <w:tcW w:w="858" w:type="dxa"/>
            <w:vAlign w:val="bottom"/>
          </w:tcPr>
          <w:p w14:paraId="26E29537" w14:textId="77777777" w:rsidR="00FE01F6" w:rsidRPr="0025331F" w:rsidRDefault="00D85ABD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95</w:t>
            </w:r>
          </w:p>
        </w:tc>
        <w:tc>
          <w:tcPr>
            <w:tcW w:w="858" w:type="dxa"/>
            <w:vAlign w:val="bottom"/>
          </w:tcPr>
          <w:p w14:paraId="5D8322DD" w14:textId="77777777" w:rsidR="00FE01F6" w:rsidRPr="0025331F" w:rsidRDefault="00D85ABD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57</w:t>
            </w:r>
          </w:p>
        </w:tc>
        <w:tc>
          <w:tcPr>
            <w:tcW w:w="859" w:type="dxa"/>
            <w:vAlign w:val="bottom"/>
          </w:tcPr>
          <w:p w14:paraId="0ADD67DB" w14:textId="77777777" w:rsidR="00FE01F6" w:rsidRPr="0025331F" w:rsidRDefault="00D85ABD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38</w:t>
            </w:r>
            <w:r w:rsidR="001C38F6" w:rsidRPr="0025331F">
              <w:rPr>
                <w:rFonts w:cs="Arial"/>
                <w:color w:val="000000"/>
                <w:sz w:val="20"/>
                <w:szCs w:val="22"/>
              </w:rPr>
              <w:t>0</w:t>
            </w:r>
          </w:p>
        </w:tc>
      </w:tr>
    </w:tbl>
    <w:p w14:paraId="14DF9C4B" w14:textId="77777777" w:rsidR="00CB0EE5" w:rsidRPr="001E730C" w:rsidRDefault="008052A4" w:rsidP="00AD054C">
      <w:pPr>
        <w:numPr>
          <w:ilvl w:val="0"/>
          <w:numId w:val="10"/>
        </w:numPr>
        <w:tabs>
          <w:tab w:val="num" w:pos="2345"/>
        </w:tabs>
        <w:spacing w:before="240" w:after="120"/>
        <w:rPr>
          <w:rFonts w:cs="Arial"/>
          <w:sz w:val="20"/>
        </w:rPr>
      </w:pPr>
      <w:r w:rsidRPr="001E730C">
        <w:rPr>
          <w:rFonts w:cs="Arial"/>
          <w:sz w:val="20"/>
        </w:rPr>
        <w:t xml:space="preserve">Další předpoklady </w:t>
      </w:r>
    </w:p>
    <w:p w14:paraId="617BB11A" w14:textId="08D284C7" w:rsidR="008052A4" w:rsidRPr="001E730C" w:rsidRDefault="00E31AB9" w:rsidP="00D00642">
      <w:pPr>
        <w:numPr>
          <w:ilvl w:val="0"/>
          <w:numId w:val="26"/>
        </w:numPr>
        <w:spacing w:before="120"/>
        <w:ind w:left="1276"/>
        <w:rPr>
          <w:rFonts w:cs="Arial"/>
          <w:sz w:val="20"/>
        </w:rPr>
      </w:pPr>
      <w:r w:rsidRPr="001E730C">
        <w:rPr>
          <w:rFonts w:cs="Arial"/>
          <w:sz w:val="20"/>
        </w:rPr>
        <w:t xml:space="preserve">Na základě zkušeností </w:t>
      </w:r>
      <w:r w:rsidR="00FD22B0">
        <w:rPr>
          <w:rFonts w:cs="Arial"/>
          <w:sz w:val="20"/>
        </w:rPr>
        <w:t>Záruční banky</w:t>
      </w:r>
      <w:r w:rsidR="00FD22B0" w:rsidRPr="001E730C">
        <w:rPr>
          <w:rFonts w:cs="Arial"/>
          <w:sz w:val="20"/>
        </w:rPr>
        <w:t xml:space="preserve"> </w:t>
      </w:r>
      <w:r w:rsidRPr="001E730C">
        <w:rPr>
          <w:rFonts w:cs="Arial"/>
          <w:sz w:val="20"/>
        </w:rPr>
        <w:t xml:space="preserve">s poskytováním podpory MSP a s ohledem na fakt, že </w:t>
      </w:r>
      <w:r w:rsidR="00E639AF">
        <w:rPr>
          <w:rFonts w:cs="Arial"/>
          <w:sz w:val="20"/>
        </w:rPr>
        <w:t xml:space="preserve">Poplatek za správu </w:t>
      </w:r>
      <w:r w:rsidRPr="001E730C">
        <w:rPr>
          <w:rFonts w:cs="Arial"/>
          <w:sz w:val="20"/>
        </w:rPr>
        <w:t>finančního nástroje nezahrnuje rizikovou marži</w:t>
      </w:r>
      <w:r w:rsidR="00E639AF">
        <w:rPr>
          <w:rFonts w:cs="Arial"/>
          <w:sz w:val="20"/>
        </w:rPr>
        <w:t xml:space="preserve"> správce fi</w:t>
      </w:r>
      <w:r w:rsidR="00481C41">
        <w:rPr>
          <w:rFonts w:cs="Arial"/>
          <w:sz w:val="20"/>
        </w:rPr>
        <w:t>nan</w:t>
      </w:r>
      <w:r w:rsidR="00E639AF">
        <w:rPr>
          <w:rFonts w:cs="Arial"/>
          <w:sz w:val="20"/>
        </w:rPr>
        <w:t xml:space="preserve">čního nástroje </w:t>
      </w:r>
      <w:r w:rsidRPr="001E730C">
        <w:rPr>
          <w:rFonts w:cs="Arial"/>
          <w:sz w:val="20"/>
        </w:rPr>
        <w:t xml:space="preserve">a </w:t>
      </w:r>
      <w:r w:rsidR="00E639AF">
        <w:rPr>
          <w:rFonts w:cs="Arial"/>
          <w:sz w:val="20"/>
        </w:rPr>
        <w:t>Zvýhodn</w:t>
      </w:r>
      <w:r w:rsidR="002C2704">
        <w:rPr>
          <w:rFonts w:cs="Arial"/>
          <w:sz w:val="20"/>
        </w:rPr>
        <w:t>ě</w:t>
      </w:r>
      <w:r w:rsidR="00E639AF">
        <w:rPr>
          <w:rFonts w:cs="Arial"/>
          <w:sz w:val="20"/>
        </w:rPr>
        <w:t xml:space="preserve">né </w:t>
      </w:r>
      <w:r w:rsidRPr="001E730C">
        <w:rPr>
          <w:rFonts w:cs="Arial"/>
          <w:sz w:val="20"/>
        </w:rPr>
        <w:t xml:space="preserve">úvěry jsou poskytovány jako bezúročné, tudíž úroková sazba též rizikovou marži nepokrývá, je vyžadováno sdílení </w:t>
      </w:r>
      <w:r w:rsidRPr="00A569C1">
        <w:rPr>
          <w:rFonts w:cs="Arial"/>
          <w:sz w:val="20"/>
        </w:rPr>
        <w:t>rizika první ztráty s </w:t>
      </w:r>
      <w:r w:rsidR="00FD22B0">
        <w:rPr>
          <w:rFonts w:cs="Arial"/>
          <w:sz w:val="20"/>
        </w:rPr>
        <w:t>Ministerstvem</w:t>
      </w:r>
      <w:r w:rsidRPr="00A569C1">
        <w:rPr>
          <w:rFonts w:cs="Arial"/>
          <w:sz w:val="20"/>
        </w:rPr>
        <w:t xml:space="preserve"> ve výši </w:t>
      </w:r>
      <w:r w:rsidR="00481C41">
        <w:rPr>
          <w:rFonts w:cs="Arial"/>
          <w:sz w:val="20"/>
        </w:rPr>
        <w:t xml:space="preserve">maximálně </w:t>
      </w:r>
      <w:r w:rsidRPr="00A569C1">
        <w:rPr>
          <w:rFonts w:cs="Arial"/>
          <w:sz w:val="20"/>
        </w:rPr>
        <w:t xml:space="preserve">20 % </w:t>
      </w:r>
      <w:r w:rsidR="006C3969" w:rsidRPr="00A569C1">
        <w:rPr>
          <w:rFonts w:cs="Arial"/>
          <w:sz w:val="20"/>
        </w:rPr>
        <w:t xml:space="preserve">z vyčerpaných </w:t>
      </w:r>
      <w:r w:rsidRPr="00A569C1">
        <w:rPr>
          <w:rFonts w:cs="Arial"/>
          <w:sz w:val="20"/>
        </w:rPr>
        <w:t xml:space="preserve">prostředků Úvěrového fondu </w:t>
      </w:r>
      <w:r w:rsidR="00F156BC">
        <w:rPr>
          <w:rFonts w:cs="Arial"/>
          <w:sz w:val="20"/>
        </w:rPr>
        <w:t>SP</w:t>
      </w:r>
      <w:r w:rsidRPr="00A569C1">
        <w:rPr>
          <w:rFonts w:cs="Arial"/>
          <w:sz w:val="20"/>
        </w:rPr>
        <w:t xml:space="preserve"> 201</w:t>
      </w:r>
      <w:r w:rsidR="00F156BC">
        <w:rPr>
          <w:rFonts w:cs="Arial"/>
          <w:sz w:val="20"/>
        </w:rPr>
        <w:t>9</w:t>
      </w:r>
      <w:r w:rsidR="00D54794">
        <w:rPr>
          <w:rFonts w:cs="Arial"/>
          <w:sz w:val="20"/>
        </w:rPr>
        <w:t xml:space="preserve"> a to s ohledem na </w:t>
      </w:r>
      <w:r w:rsidR="00481C41" w:rsidRPr="005B71FA">
        <w:rPr>
          <w:rFonts w:cs="Arial"/>
          <w:sz w:val="20"/>
        </w:rPr>
        <w:t>uplatněn</w:t>
      </w:r>
      <w:r w:rsidR="00D54794">
        <w:rPr>
          <w:rFonts w:cs="Arial"/>
          <w:sz w:val="20"/>
        </w:rPr>
        <w:t>í</w:t>
      </w:r>
      <w:r w:rsidR="00481C41" w:rsidRPr="005B71FA">
        <w:rPr>
          <w:rFonts w:cs="Arial"/>
          <w:sz w:val="20"/>
        </w:rPr>
        <w:t xml:space="preserve"> všech postup</w:t>
      </w:r>
      <w:r w:rsidR="00D54794">
        <w:rPr>
          <w:rFonts w:cs="Arial"/>
          <w:sz w:val="20"/>
        </w:rPr>
        <w:t>ů</w:t>
      </w:r>
      <w:r w:rsidR="00481C41" w:rsidRPr="005B71FA">
        <w:rPr>
          <w:rFonts w:cs="Arial"/>
          <w:sz w:val="20"/>
        </w:rPr>
        <w:t xml:space="preserve"> získávání dlužných částek v souladu s </w:t>
      </w:r>
      <w:r w:rsidR="00D54794">
        <w:rPr>
          <w:rFonts w:cs="Arial"/>
          <w:sz w:val="20"/>
        </w:rPr>
        <w:t>D</w:t>
      </w:r>
      <w:r w:rsidR="00481C41" w:rsidRPr="005B71FA">
        <w:rPr>
          <w:rFonts w:cs="Arial"/>
          <w:sz w:val="20"/>
        </w:rPr>
        <w:t>ohod</w:t>
      </w:r>
      <w:r w:rsidR="00D54794">
        <w:rPr>
          <w:rFonts w:cs="Arial"/>
          <w:sz w:val="20"/>
        </w:rPr>
        <w:t>o</w:t>
      </w:r>
      <w:r w:rsidR="00481C41" w:rsidRPr="005B71FA">
        <w:rPr>
          <w:rFonts w:cs="Arial"/>
          <w:sz w:val="20"/>
        </w:rPr>
        <w:t>u o financování a vnitřními postupy banky</w:t>
      </w:r>
    </w:p>
    <w:p w14:paraId="614613B3" w14:textId="744A6DEC" w:rsidR="000B1AD8" w:rsidRPr="001E730C" w:rsidRDefault="00E53EDE" w:rsidP="00D00642">
      <w:pPr>
        <w:numPr>
          <w:ilvl w:val="0"/>
          <w:numId w:val="26"/>
        </w:numPr>
        <w:spacing w:before="120"/>
        <w:ind w:left="1276"/>
        <w:rPr>
          <w:sz w:val="20"/>
        </w:rPr>
      </w:pPr>
      <w:r w:rsidRPr="001E730C">
        <w:rPr>
          <w:rFonts w:cs="Arial"/>
          <w:sz w:val="20"/>
        </w:rPr>
        <w:t xml:space="preserve">V Obchodním plánu není vzhledem k předpokladu dlouhodobějšího setrvání velmi nízké úrovně úrokových sazeb uvažováno s naběhlými úroky z účtů Úvěrového fondu </w:t>
      </w:r>
      <w:r w:rsidR="00C53AB0">
        <w:rPr>
          <w:rFonts w:cs="Arial"/>
          <w:sz w:val="20"/>
        </w:rPr>
        <w:t>SP</w:t>
      </w:r>
      <w:r w:rsidR="001E730C" w:rsidRPr="001E730C">
        <w:rPr>
          <w:rFonts w:cs="Arial"/>
          <w:sz w:val="20"/>
        </w:rPr>
        <w:t xml:space="preserve"> </w:t>
      </w:r>
      <w:r w:rsidR="0059097D" w:rsidRPr="001E730C">
        <w:rPr>
          <w:rFonts w:cs="Arial"/>
          <w:sz w:val="20"/>
        </w:rPr>
        <w:t>201</w:t>
      </w:r>
      <w:r w:rsidR="00C53AB0">
        <w:rPr>
          <w:rFonts w:cs="Arial"/>
          <w:sz w:val="20"/>
        </w:rPr>
        <w:t>9</w:t>
      </w:r>
      <w:r w:rsidRPr="001E730C">
        <w:rPr>
          <w:rFonts w:cs="Arial"/>
          <w:sz w:val="20"/>
        </w:rPr>
        <w:t xml:space="preserve"> </w:t>
      </w:r>
      <w:r w:rsidRPr="001E730C">
        <w:rPr>
          <w:rFonts w:cs="Arial"/>
          <w:sz w:val="20"/>
        </w:rPr>
        <w:lastRenderedPageBreak/>
        <w:t xml:space="preserve">jako předem plánovaným zdrojem. V případě zachování dosavadních nízkých úrokových sazeb a sazby 0,01 % p. a. (stav </w:t>
      </w:r>
      <w:r w:rsidR="0072165A">
        <w:rPr>
          <w:rFonts w:cs="Arial"/>
          <w:sz w:val="20"/>
        </w:rPr>
        <w:t>červen</w:t>
      </w:r>
      <w:r w:rsidR="0072165A" w:rsidRPr="001E730C">
        <w:rPr>
          <w:rFonts w:cs="Arial"/>
          <w:sz w:val="20"/>
        </w:rPr>
        <w:t xml:space="preserve"> </w:t>
      </w:r>
      <w:r w:rsidRPr="001E730C">
        <w:rPr>
          <w:rFonts w:cs="Arial"/>
          <w:sz w:val="20"/>
        </w:rPr>
        <w:t>201</w:t>
      </w:r>
      <w:r w:rsidR="00C53AB0">
        <w:rPr>
          <w:rFonts w:cs="Arial"/>
          <w:sz w:val="20"/>
        </w:rPr>
        <w:t>9</w:t>
      </w:r>
      <w:r w:rsidRPr="001E730C">
        <w:rPr>
          <w:rFonts w:cs="Arial"/>
          <w:sz w:val="20"/>
        </w:rPr>
        <w:t xml:space="preserve">) </w:t>
      </w:r>
      <w:bookmarkStart w:id="0" w:name="_GoBack"/>
      <w:bookmarkEnd w:id="0"/>
      <w:r w:rsidRPr="001E730C">
        <w:rPr>
          <w:rFonts w:cs="Arial"/>
          <w:sz w:val="20"/>
        </w:rPr>
        <w:t xml:space="preserve">by výše naběhlých úroků z vkladů do roku 2023 nepřesáhla </w:t>
      </w:r>
      <w:r w:rsidR="0059097D" w:rsidRPr="001E730C">
        <w:rPr>
          <w:rFonts w:cs="Arial"/>
          <w:sz w:val="20"/>
        </w:rPr>
        <w:t>0,2</w:t>
      </w:r>
      <w:r w:rsidRPr="001E730C">
        <w:rPr>
          <w:rFonts w:cs="Arial"/>
          <w:sz w:val="20"/>
        </w:rPr>
        <w:t xml:space="preserve"> mil. Kč</w:t>
      </w:r>
      <w:r w:rsidR="00120D95" w:rsidRPr="001E730C">
        <w:rPr>
          <w:rFonts w:cs="Arial"/>
          <w:sz w:val="20"/>
        </w:rPr>
        <w:t>.</w:t>
      </w:r>
    </w:p>
    <w:p w14:paraId="586EB163" w14:textId="77777777" w:rsidR="00E71589" w:rsidRPr="001E730C" w:rsidRDefault="008164A2" w:rsidP="00D00642">
      <w:pPr>
        <w:numPr>
          <w:ilvl w:val="0"/>
          <w:numId w:val="26"/>
        </w:numPr>
        <w:spacing w:before="120"/>
        <w:ind w:left="1276"/>
        <w:rPr>
          <w:sz w:val="20"/>
        </w:rPr>
      </w:pPr>
      <w:r w:rsidRPr="001E730C">
        <w:rPr>
          <w:sz w:val="20"/>
        </w:rPr>
        <w:t xml:space="preserve">Volné prostředky Úvěrového fondu </w:t>
      </w:r>
      <w:r w:rsidR="00C53AB0">
        <w:rPr>
          <w:sz w:val="20"/>
        </w:rPr>
        <w:t>SP</w:t>
      </w:r>
      <w:r w:rsidR="001E730C" w:rsidRPr="001E730C">
        <w:rPr>
          <w:sz w:val="20"/>
        </w:rPr>
        <w:t xml:space="preserve"> </w:t>
      </w:r>
      <w:r w:rsidR="00C53AB0">
        <w:rPr>
          <w:sz w:val="20"/>
        </w:rPr>
        <w:t>2019</w:t>
      </w:r>
      <w:r w:rsidR="0059097D" w:rsidRPr="001E730C">
        <w:rPr>
          <w:sz w:val="20"/>
        </w:rPr>
        <w:t xml:space="preserve"> </w:t>
      </w:r>
      <w:r w:rsidRPr="001E730C">
        <w:rPr>
          <w:sz w:val="20"/>
        </w:rPr>
        <w:t>vzniklé po 31.</w:t>
      </w:r>
      <w:r w:rsidR="00A73D6E" w:rsidRPr="001E730C">
        <w:rPr>
          <w:sz w:val="20"/>
        </w:rPr>
        <w:t xml:space="preserve"> </w:t>
      </w:r>
      <w:r w:rsidRPr="001E730C">
        <w:rPr>
          <w:sz w:val="20"/>
        </w:rPr>
        <w:t>12. 2023 budou</w:t>
      </w:r>
      <w:r w:rsidR="004C6F89" w:rsidRPr="001E730C">
        <w:rPr>
          <w:sz w:val="20"/>
        </w:rPr>
        <w:t xml:space="preserve"> převáděny do </w:t>
      </w:r>
      <w:r w:rsidR="0059097D" w:rsidRPr="001E730C">
        <w:rPr>
          <w:sz w:val="20"/>
        </w:rPr>
        <w:t>j</w:t>
      </w:r>
      <w:r w:rsidR="004C6F89" w:rsidRPr="001E730C">
        <w:rPr>
          <w:sz w:val="20"/>
        </w:rPr>
        <w:t xml:space="preserve">iného finančního nástroje podle rozhodnutí </w:t>
      </w:r>
      <w:r w:rsidR="00C53AB0">
        <w:rPr>
          <w:sz w:val="20"/>
        </w:rPr>
        <w:t>Ministerstva</w:t>
      </w:r>
      <w:r w:rsidR="00E67AD5" w:rsidRPr="001E730C">
        <w:rPr>
          <w:sz w:val="20"/>
        </w:rPr>
        <w:t>, pokud bude zabe</w:t>
      </w:r>
      <w:r w:rsidR="00233062" w:rsidRPr="001E730C">
        <w:rPr>
          <w:sz w:val="20"/>
        </w:rPr>
        <w:t>z</w:t>
      </w:r>
      <w:r w:rsidR="00E67AD5" w:rsidRPr="001E730C">
        <w:rPr>
          <w:sz w:val="20"/>
        </w:rPr>
        <w:t>p</w:t>
      </w:r>
      <w:r w:rsidR="00233062" w:rsidRPr="001E730C">
        <w:rPr>
          <w:sz w:val="20"/>
        </w:rPr>
        <w:t>e</w:t>
      </w:r>
      <w:r w:rsidR="00E67AD5" w:rsidRPr="001E730C">
        <w:rPr>
          <w:sz w:val="20"/>
        </w:rPr>
        <w:t xml:space="preserve">čen dostatek prostředků </w:t>
      </w:r>
      <w:r w:rsidR="00B06C0F" w:rsidRPr="001E730C">
        <w:rPr>
          <w:sz w:val="20"/>
        </w:rPr>
        <w:t>na</w:t>
      </w:r>
      <w:r w:rsidR="00E67AD5" w:rsidRPr="001E730C">
        <w:rPr>
          <w:sz w:val="20"/>
        </w:rPr>
        <w:t xml:space="preserve"> úhradu </w:t>
      </w:r>
      <w:r w:rsidR="00AB4D9B">
        <w:rPr>
          <w:sz w:val="20"/>
        </w:rPr>
        <w:t>p</w:t>
      </w:r>
      <w:r w:rsidR="00E67AD5" w:rsidRPr="001E730C">
        <w:rPr>
          <w:sz w:val="20"/>
        </w:rPr>
        <w:t xml:space="preserve">oplatku za správu Úvěrového fondu </w:t>
      </w:r>
      <w:r w:rsidR="00C53AB0">
        <w:rPr>
          <w:sz w:val="20"/>
        </w:rPr>
        <w:t>SP</w:t>
      </w:r>
      <w:r w:rsidR="00B06C0F" w:rsidRPr="001E730C">
        <w:rPr>
          <w:sz w:val="20"/>
        </w:rPr>
        <w:t xml:space="preserve"> </w:t>
      </w:r>
      <w:r w:rsidR="00C53AB0">
        <w:rPr>
          <w:sz w:val="20"/>
        </w:rPr>
        <w:t>2019</w:t>
      </w:r>
      <w:r w:rsidR="004D3617">
        <w:rPr>
          <w:sz w:val="20"/>
        </w:rPr>
        <w:t xml:space="preserve"> až do doby jeho uzavření a konečného vypořádání</w:t>
      </w:r>
      <w:r w:rsidR="0059097D" w:rsidRPr="001E730C">
        <w:rPr>
          <w:sz w:val="20"/>
        </w:rPr>
        <w:t>.</w:t>
      </w:r>
      <w:r w:rsidR="00E53EDE" w:rsidRPr="001E730C">
        <w:rPr>
          <w:sz w:val="20"/>
        </w:rPr>
        <w:t xml:space="preserve"> </w:t>
      </w:r>
    </w:p>
    <w:p w14:paraId="29980A5E" w14:textId="77777777" w:rsidR="008F0675" w:rsidRPr="00C53AB0" w:rsidRDefault="00C53AB0" w:rsidP="00AD054C">
      <w:pPr>
        <w:numPr>
          <w:ilvl w:val="0"/>
          <w:numId w:val="10"/>
        </w:numPr>
        <w:tabs>
          <w:tab w:val="num" w:pos="2345"/>
        </w:tabs>
        <w:spacing w:before="360"/>
        <w:rPr>
          <w:rFonts w:cs="Arial"/>
          <w:sz w:val="20"/>
        </w:rPr>
      </w:pPr>
      <w:r w:rsidRPr="00C53AB0">
        <w:rPr>
          <w:sz w:val="20"/>
        </w:rPr>
        <w:t xml:space="preserve"> </w:t>
      </w:r>
      <w:r w:rsidR="008F0675" w:rsidRPr="00C53AB0">
        <w:rPr>
          <w:sz w:val="20"/>
        </w:rPr>
        <w:t xml:space="preserve">Výše </w:t>
      </w:r>
      <w:r w:rsidR="00924C02" w:rsidRPr="00C53AB0">
        <w:rPr>
          <w:sz w:val="20"/>
        </w:rPr>
        <w:t>Poplatku</w:t>
      </w:r>
      <w:r w:rsidR="009B393A" w:rsidRPr="00C53AB0">
        <w:rPr>
          <w:sz w:val="20"/>
        </w:rPr>
        <w:t xml:space="preserve"> za správu </w:t>
      </w:r>
      <w:r w:rsidR="008F0675" w:rsidRPr="00C53AB0">
        <w:rPr>
          <w:sz w:val="20"/>
        </w:rPr>
        <w:t xml:space="preserve">v období fungování Úvěrového fondu </w:t>
      </w:r>
      <w:r w:rsidR="00B4034D">
        <w:rPr>
          <w:sz w:val="20"/>
        </w:rPr>
        <w:t>SP</w:t>
      </w:r>
      <w:r w:rsidR="001E730C" w:rsidRPr="00C53AB0">
        <w:rPr>
          <w:sz w:val="20"/>
        </w:rPr>
        <w:t xml:space="preserve"> </w:t>
      </w:r>
      <w:r w:rsidR="0059097D" w:rsidRPr="00C53AB0">
        <w:rPr>
          <w:sz w:val="20"/>
        </w:rPr>
        <w:t>201</w:t>
      </w:r>
      <w:r w:rsidR="00B4034D">
        <w:rPr>
          <w:sz w:val="20"/>
        </w:rPr>
        <w:t>9</w:t>
      </w:r>
      <w:r w:rsidR="008F0675" w:rsidRPr="00C53AB0">
        <w:rPr>
          <w:rFonts w:cs="Arial"/>
          <w:sz w:val="20"/>
        </w:rPr>
        <w:t>:</w:t>
      </w:r>
    </w:p>
    <w:p w14:paraId="48D28519" w14:textId="77777777" w:rsidR="008F0675" w:rsidRPr="007B79B6" w:rsidRDefault="00924C02" w:rsidP="00D00642">
      <w:pPr>
        <w:spacing w:before="120"/>
        <w:ind w:left="849"/>
        <w:rPr>
          <w:rFonts w:cs="Arial"/>
          <w:sz w:val="20"/>
        </w:rPr>
      </w:pPr>
      <w:r w:rsidRPr="007B79B6">
        <w:rPr>
          <w:rFonts w:cs="Arial"/>
          <w:sz w:val="20"/>
        </w:rPr>
        <w:t>Pro tvorbu Obchodního plánu byl</w:t>
      </w:r>
      <w:r w:rsidR="00A640E6" w:rsidRPr="007B79B6">
        <w:rPr>
          <w:rFonts w:cs="Arial"/>
          <w:sz w:val="20"/>
        </w:rPr>
        <w:t>y</w:t>
      </w:r>
      <w:r w:rsidRPr="007B79B6">
        <w:rPr>
          <w:rFonts w:cs="Arial"/>
          <w:sz w:val="20"/>
        </w:rPr>
        <w:t xml:space="preserve"> použity </w:t>
      </w:r>
      <w:r w:rsidR="00A640E6" w:rsidRPr="007B79B6">
        <w:rPr>
          <w:rFonts w:cs="Arial"/>
          <w:sz w:val="20"/>
        </w:rPr>
        <w:t xml:space="preserve">tyto </w:t>
      </w:r>
      <w:r w:rsidRPr="007B79B6">
        <w:rPr>
          <w:rFonts w:cs="Arial"/>
          <w:sz w:val="20"/>
        </w:rPr>
        <w:t xml:space="preserve">zjednodušené zásady stanovení </w:t>
      </w:r>
      <w:r w:rsidR="00AB4D9B">
        <w:rPr>
          <w:rFonts w:cs="Arial"/>
          <w:sz w:val="20"/>
        </w:rPr>
        <w:t xml:space="preserve">orientační </w:t>
      </w:r>
      <w:r w:rsidRPr="007B79B6">
        <w:rPr>
          <w:rFonts w:cs="Arial"/>
          <w:sz w:val="20"/>
        </w:rPr>
        <w:t xml:space="preserve">výše </w:t>
      </w:r>
      <w:r w:rsidR="000B0644">
        <w:rPr>
          <w:rFonts w:cs="Arial"/>
          <w:sz w:val="20"/>
        </w:rPr>
        <w:t>p</w:t>
      </w:r>
      <w:r w:rsidRPr="007B79B6">
        <w:rPr>
          <w:rFonts w:cs="Arial"/>
          <w:sz w:val="20"/>
        </w:rPr>
        <w:t>oplatku za správu</w:t>
      </w:r>
      <w:r w:rsidR="001E730C" w:rsidRPr="007B79B6">
        <w:rPr>
          <w:rFonts w:cs="Arial"/>
          <w:sz w:val="20"/>
        </w:rPr>
        <w:t xml:space="preserve"> (detailní rozpis odměny je uveden v Dohodě)</w:t>
      </w:r>
      <w:r w:rsidRPr="007B79B6">
        <w:rPr>
          <w:rFonts w:cs="Arial"/>
          <w:sz w:val="20"/>
        </w:rPr>
        <w:t>:</w:t>
      </w:r>
    </w:p>
    <w:p w14:paraId="4F48FED3" w14:textId="165E2925" w:rsidR="009B393A" w:rsidRPr="007B79B6" w:rsidRDefault="009B393A" w:rsidP="00D00642">
      <w:pPr>
        <w:numPr>
          <w:ilvl w:val="0"/>
          <w:numId w:val="26"/>
        </w:numPr>
        <w:spacing w:before="120"/>
        <w:ind w:left="1276"/>
        <w:rPr>
          <w:sz w:val="20"/>
        </w:rPr>
      </w:pPr>
      <w:r w:rsidRPr="007B79B6">
        <w:rPr>
          <w:sz w:val="20"/>
        </w:rPr>
        <w:t xml:space="preserve">Poplatek za správu </w:t>
      </w:r>
      <w:r w:rsidR="004D3617">
        <w:rPr>
          <w:sz w:val="20"/>
        </w:rPr>
        <w:t>finančního nástroje</w:t>
      </w:r>
      <w:r w:rsidR="004D3617" w:rsidRPr="007B79B6">
        <w:rPr>
          <w:sz w:val="20"/>
        </w:rPr>
        <w:t xml:space="preserve"> </w:t>
      </w:r>
      <w:r w:rsidRPr="007B79B6">
        <w:rPr>
          <w:sz w:val="20"/>
        </w:rPr>
        <w:t xml:space="preserve">se skládá ze </w:t>
      </w:r>
      <w:r w:rsidR="00E639AF">
        <w:rPr>
          <w:sz w:val="20"/>
        </w:rPr>
        <w:t>Z</w:t>
      </w:r>
      <w:r w:rsidR="00465A4F" w:rsidRPr="007B79B6">
        <w:rPr>
          <w:sz w:val="20"/>
        </w:rPr>
        <w:t>ákladní odměny</w:t>
      </w:r>
      <w:r w:rsidR="00B4034D">
        <w:rPr>
          <w:sz w:val="20"/>
        </w:rPr>
        <w:t xml:space="preserve"> a</w:t>
      </w:r>
      <w:r w:rsidR="00465A4F" w:rsidRPr="007B79B6">
        <w:rPr>
          <w:sz w:val="20"/>
        </w:rPr>
        <w:t xml:space="preserve"> z </w:t>
      </w:r>
      <w:r w:rsidR="00E639AF">
        <w:rPr>
          <w:sz w:val="20"/>
        </w:rPr>
        <w:t>V</w:t>
      </w:r>
      <w:r w:rsidR="00465A4F" w:rsidRPr="007B79B6">
        <w:rPr>
          <w:sz w:val="20"/>
        </w:rPr>
        <w:t xml:space="preserve">ýkonnostní </w:t>
      </w:r>
      <w:r w:rsidRPr="007B79B6">
        <w:rPr>
          <w:sz w:val="20"/>
        </w:rPr>
        <w:t xml:space="preserve">odměny </w:t>
      </w:r>
      <w:r w:rsidR="004E5E0E" w:rsidRPr="007B79B6">
        <w:rPr>
          <w:sz w:val="20"/>
        </w:rPr>
        <w:t xml:space="preserve">za správu </w:t>
      </w:r>
      <w:r w:rsidR="004D3617" w:rsidRPr="007B79B6">
        <w:rPr>
          <w:sz w:val="20"/>
        </w:rPr>
        <w:t>úvěr</w:t>
      </w:r>
      <w:r w:rsidR="004D3617">
        <w:rPr>
          <w:sz w:val="20"/>
        </w:rPr>
        <w:t>ů</w:t>
      </w:r>
      <w:r w:rsidRPr="007B79B6">
        <w:rPr>
          <w:sz w:val="20"/>
        </w:rPr>
        <w:t xml:space="preserve">. </w:t>
      </w:r>
    </w:p>
    <w:p w14:paraId="3E64D053" w14:textId="54C4172D" w:rsidR="009B393A" w:rsidRPr="007B79B6" w:rsidRDefault="009B393A" w:rsidP="00D00642">
      <w:pPr>
        <w:numPr>
          <w:ilvl w:val="0"/>
          <w:numId w:val="26"/>
        </w:numPr>
        <w:spacing w:before="120"/>
        <w:ind w:left="1276"/>
        <w:rPr>
          <w:sz w:val="20"/>
        </w:rPr>
      </w:pPr>
      <w:r w:rsidRPr="007B79B6">
        <w:rPr>
          <w:sz w:val="20"/>
        </w:rPr>
        <w:t xml:space="preserve">Výše </w:t>
      </w:r>
      <w:r w:rsidR="00E639AF">
        <w:rPr>
          <w:sz w:val="20"/>
        </w:rPr>
        <w:t>Z</w:t>
      </w:r>
      <w:r w:rsidRPr="007B79B6">
        <w:rPr>
          <w:sz w:val="20"/>
        </w:rPr>
        <w:t xml:space="preserve">ákladní odměny činí </w:t>
      </w:r>
      <w:r w:rsidR="00B4034D">
        <w:rPr>
          <w:sz w:val="20"/>
        </w:rPr>
        <w:t xml:space="preserve">maximálně </w:t>
      </w:r>
      <w:r w:rsidRPr="007B79B6">
        <w:rPr>
          <w:sz w:val="20"/>
        </w:rPr>
        <w:t>0,</w:t>
      </w:r>
      <w:r w:rsidR="00EE1747" w:rsidRPr="007B79B6">
        <w:rPr>
          <w:sz w:val="20"/>
        </w:rPr>
        <w:t>5</w:t>
      </w:r>
      <w:r w:rsidRPr="007B79B6">
        <w:rPr>
          <w:sz w:val="20"/>
        </w:rPr>
        <w:t xml:space="preserve"> % p. a. z výše prostředků převedených do Úvěrového fondu </w:t>
      </w:r>
      <w:r w:rsidR="00B4034D">
        <w:rPr>
          <w:sz w:val="20"/>
        </w:rPr>
        <w:t>SP</w:t>
      </w:r>
      <w:r w:rsidR="009F3E96" w:rsidRPr="007B79B6">
        <w:rPr>
          <w:sz w:val="20"/>
        </w:rPr>
        <w:t xml:space="preserve"> </w:t>
      </w:r>
      <w:r w:rsidR="00E11809" w:rsidRPr="007B79B6">
        <w:rPr>
          <w:sz w:val="20"/>
        </w:rPr>
        <w:t>201</w:t>
      </w:r>
      <w:r w:rsidR="00B4034D">
        <w:rPr>
          <w:sz w:val="20"/>
        </w:rPr>
        <w:t>9</w:t>
      </w:r>
      <w:r w:rsidRPr="007B79B6">
        <w:rPr>
          <w:sz w:val="20"/>
        </w:rPr>
        <w:t xml:space="preserve"> do data uzavření</w:t>
      </w:r>
      <w:r w:rsidR="008B7959">
        <w:rPr>
          <w:sz w:val="20"/>
        </w:rPr>
        <w:t xml:space="preserve"> OP</w:t>
      </w:r>
      <w:r w:rsidR="00B4034D">
        <w:rPr>
          <w:sz w:val="20"/>
        </w:rPr>
        <w:t>Z</w:t>
      </w:r>
      <w:r w:rsidR="002E69E0">
        <w:rPr>
          <w:sz w:val="20"/>
        </w:rPr>
        <w:t xml:space="preserve"> </w:t>
      </w:r>
      <w:r w:rsidRPr="007B79B6">
        <w:rPr>
          <w:sz w:val="20"/>
        </w:rPr>
        <w:t>na účet TU/4300.</w:t>
      </w:r>
    </w:p>
    <w:p w14:paraId="3C98DAAB" w14:textId="01B9F4D7" w:rsidR="009B393A" w:rsidRPr="007B79B6" w:rsidRDefault="009B393A" w:rsidP="00D00642">
      <w:pPr>
        <w:numPr>
          <w:ilvl w:val="0"/>
          <w:numId w:val="26"/>
        </w:numPr>
        <w:spacing w:before="120"/>
        <w:ind w:left="1276"/>
        <w:rPr>
          <w:sz w:val="20"/>
        </w:rPr>
      </w:pPr>
      <w:r w:rsidRPr="007B79B6">
        <w:rPr>
          <w:sz w:val="20"/>
        </w:rPr>
        <w:t xml:space="preserve">Výše </w:t>
      </w:r>
      <w:r w:rsidR="00E639AF">
        <w:rPr>
          <w:sz w:val="20"/>
        </w:rPr>
        <w:t>V</w:t>
      </w:r>
      <w:r w:rsidRPr="007B79B6">
        <w:rPr>
          <w:sz w:val="20"/>
        </w:rPr>
        <w:t>ýkonnostní odměny činí</w:t>
      </w:r>
      <w:r w:rsidR="00B4034D">
        <w:rPr>
          <w:sz w:val="20"/>
        </w:rPr>
        <w:t xml:space="preserve"> maximálně</w:t>
      </w:r>
      <w:r w:rsidRPr="007B79B6">
        <w:rPr>
          <w:sz w:val="20"/>
        </w:rPr>
        <w:t xml:space="preserve"> 1,0 % p. a. ze zůstatku jistiny úvěrů do </w:t>
      </w:r>
      <w:r w:rsidR="00555548" w:rsidRPr="007B79B6">
        <w:rPr>
          <w:sz w:val="20"/>
        </w:rPr>
        <w:t xml:space="preserve">a po </w:t>
      </w:r>
      <w:r w:rsidRPr="007B79B6">
        <w:rPr>
          <w:sz w:val="20"/>
        </w:rPr>
        <w:t>splatnosti.</w:t>
      </w:r>
      <w:r w:rsidR="0081271E">
        <w:rPr>
          <w:sz w:val="20"/>
        </w:rPr>
        <w:t xml:space="preserve"> Tento limit se uplatní souhrnně na všechny složky výkonnostní odměny </w:t>
      </w:r>
      <w:r w:rsidR="00AB4D9B">
        <w:rPr>
          <w:sz w:val="20"/>
        </w:rPr>
        <w:t>z</w:t>
      </w:r>
      <w:r w:rsidR="0081271E">
        <w:rPr>
          <w:sz w:val="20"/>
        </w:rPr>
        <w:t>výhodněných úvěrů podle čl. XIII Dohody.</w:t>
      </w:r>
    </w:p>
    <w:p w14:paraId="4F0995C8" w14:textId="77777777" w:rsidR="008F0675" w:rsidRPr="007B79B6" w:rsidRDefault="009749F3" w:rsidP="00D00642">
      <w:pPr>
        <w:numPr>
          <w:ilvl w:val="0"/>
          <w:numId w:val="10"/>
        </w:numPr>
        <w:tabs>
          <w:tab w:val="clear" w:pos="360"/>
        </w:tabs>
        <w:spacing w:before="480"/>
        <w:ind w:left="567" w:hanging="567"/>
        <w:rPr>
          <w:rFonts w:cs="Arial"/>
          <w:b/>
        </w:rPr>
      </w:pPr>
      <w:r w:rsidRPr="007B79B6">
        <w:rPr>
          <w:rFonts w:cs="Arial"/>
          <w:b/>
          <w:szCs w:val="22"/>
        </w:rPr>
        <w:t>Cílový</w:t>
      </w:r>
      <w:r w:rsidR="008F0675" w:rsidRPr="007B79B6">
        <w:rPr>
          <w:rFonts w:cs="Arial"/>
          <w:b/>
          <w:szCs w:val="22"/>
        </w:rPr>
        <w:t xml:space="preserve"> trh</w:t>
      </w:r>
    </w:p>
    <w:p w14:paraId="3DC3F452" w14:textId="1E3DAA8F" w:rsidR="00E71589" w:rsidRPr="007B79B6" w:rsidRDefault="008F0675" w:rsidP="00D00642">
      <w:pPr>
        <w:spacing w:before="240"/>
        <w:rPr>
          <w:rFonts w:cs="Arial"/>
          <w:sz w:val="20"/>
        </w:rPr>
      </w:pPr>
      <w:r w:rsidRPr="007B79B6">
        <w:rPr>
          <w:rFonts w:cs="Arial"/>
          <w:sz w:val="20"/>
        </w:rPr>
        <w:t xml:space="preserve">Prostředky Úvěrového fondu </w:t>
      </w:r>
      <w:r w:rsidR="00653DCD">
        <w:rPr>
          <w:rFonts w:cs="Arial"/>
          <w:sz w:val="20"/>
        </w:rPr>
        <w:t>SP</w:t>
      </w:r>
      <w:r w:rsidR="00361F8E" w:rsidRPr="007B79B6">
        <w:rPr>
          <w:rFonts w:cs="Arial"/>
          <w:sz w:val="20"/>
        </w:rPr>
        <w:t xml:space="preserve"> </w:t>
      </w:r>
      <w:r w:rsidR="0059097D" w:rsidRPr="007B79B6">
        <w:rPr>
          <w:rFonts w:cs="Arial"/>
          <w:sz w:val="20"/>
        </w:rPr>
        <w:t>201</w:t>
      </w:r>
      <w:r w:rsidR="00653DCD">
        <w:rPr>
          <w:rFonts w:cs="Arial"/>
          <w:sz w:val="20"/>
        </w:rPr>
        <w:t>9</w:t>
      </w:r>
      <w:r w:rsidRPr="007B79B6">
        <w:rPr>
          <w:rFonts w:cs="Arial"/>
          <w:sz w:val="20"/>
        </w:rPr>
        <w:t xml:space="preserve"> budou použity na poskytování </w:t>
      </w:r>
      <w:r w:rsidR="00E639AF">
        <w:rPr>
          <w:rFonts w:cs="Arial"/>
          <w:sz w:val="20"/>
        </w:rPr>
        <w:t>Z</w:t>
      </w:r>
      <w:r w:rsidR="00086053" w:rsidRPr="007B79B6">
        <w:rPr>
          <w:rFonts w:cs="Arial"/>
          <w:sz w:val="20"/>
        </w:rPr>
        <w:t xml:space="preserve">výhodněných </w:t>
      </w:r>
      <w:r w:rsidRPr="007B79B6">
        <w:rPr>
          <w:rFonts w:cs="Arial"/>
          <w:sz w:val="20"/>
        </w:rPr>
        <w:t>úvěrů</w:t>
      </w:r>
      <w:r w:rsidR="00653DCD">
        <w:rPr>
          <w:rFonts w:cs="Arial"/>
          <w:sz w:val="20"/>
        </w:rPr>
        <w:t xml:space="preserve">, </w:t>
      </w:r>
      <w:r w:rsidR="00AB4D9B">
        <w:rPr>
          <w:rFonts w:cs="Arial"/>
          <w:sz w:val="20"/>
        </w:rPr>
        <w:t>p</w:t>
      </w:r>
      <w:r w:rsidR="00653DCD">
        <w:rPr>
          <w:rFonts w:cs="Arial"/>
          <w:sz w:val="20"/>
        </w:rPr>
        <w:t xml:space="preserve">oradenství </w:t>
      </w:r>
      <w:r w:rsidR="00FD22B0">
        <w:rPr>
          <w:rFonts w:cs="Arial"/>
          <w:sz w:val="20"/>
        </w:rPr>
        <w:t>Příjemcům podpory</w:t>
      </w:r>
      <w:r w:rsidR="00653DCD">
        <w:rPr>
          <w:rFonts w:cs="Arial"/>
          <w:sz w:val="20"/>
        </w:rPr>
        <w:t xml:space="preserve"> a úhradě poplatků za správu </w:t>
      </w:r>
      <w:r w:rsidR="00E639AF">
        <w:rPr>
          <w:rFonts w:cs="Arial"/>
          <w:sz w:val="20"/>
        </w:rPr>
        <w:t>U</w:t>
      </w:r>
      <w:r w:rsidR="00653DCD">
        <w:rPr>
          <w:rFonts w:cs="Arial"/>
          <w:sz w:val="20"/>
        </w:rPr>
        <w:t>věrového fondu SP 2019</w:t>
      </w:r>
      <w:r w:rsidR="00E71589" w:rsidRPr="007B79B6">
        <w:rPr>
          <w:rFonts w:cs="Arial"/>
          <w:sz w:val="20"/>
        </w:rPr>
        <w:t xml:space="preserve">. </w:t>
      </w:r>
    </w:p>
    <w:p w14:paraId="2180BF63" w14:textId="0CCF79A9" w:rsidR="00265AE3" w:rsidRPr="007B79B6" w:rsidRDefault="00F67AEF" w:rsidP="00D00642">
      <w:pPr>
        <w:numPr>
          <w:ilvl w:val="0"/>
          <w:numId w:val="10"/>
        </w:numPr>
        <w:tabs>
          <w:tab w:val="clear" w:pos="360"/>
        </w:tabs>
        <w:spacing w:before="480" w:after="240"/>
        <w:ind w:left="567" w:hanging="567"/>
        <w:rPr>
          <w:rFonts w:cs="Arial"/>
          <w:sz w:val="20"/>
        </w:rPr>
      </w:pPr>
      <w:r w:rsidRPr="007B79B6">
        <w:rPr>
          <w:rFonts w:cs="Arial"/>
          <w:b/>
        </w:rPr>
        <w:t xml:space="preserve">Způsobilost </w:t>
      </w:r>
      <w:r w:rsidR="00744408" w:rsidRPr="007B79B6">
        <w:rPr>
          <w:rFonts w:cs="Arial"/>
          <w:b/>
        </w:rPr>
        <w:t xml:space="preserve">prostředků </w:t>
      </w:r>
      <w:r w:rsidRPr="007B79B6">
        <w:rPr>
          <w:rFonts w:cs="Arial"/>
          <w:b/>
        </w:rPr>
        <w:t xml:space="preserve">vložených do </w:t>
      </w:r>
      <w:r w:rsidR="00744408" w:rsidRPr="007B79B6">
        <w:rPr>
          <w:rFonts w:cs="Arial"/>
          <w:b/>
        </w:rPr>
        <w:t xml:space="preserve">Úvěrového fondu </w:t>
      </w:r>
      <w:r w:rsidR="00E1383A">
        <w:rPr>
          <w:rFonts w:cs="Arial"/>
          <w:b/>
        </w:rPr>
        <w:t>SP</w:t>
      </w:r>
      <w:r w:rsidR="001E730C" w:rsidRPr="007B79B6">
        <w:rPr>
          <w:rFonts w:cs="Arial"/>
          <w:b/>
        </w:rPr>
        <w:t xml:space="preserve"> </w:t>
      </w:r>
      <w:r w:rsidR="0059097D" w:rsidRPr="007B79B6">
        <w:rPr>
          <w:rFonts w:cs="Arial"/>
          <w:b/>
        </w:rPr>
        <w:t>201</w:t>
      </w:r>
      <w:r w:rsidR="00E1383A">
        <w:rPr>
          <w:rFonts w:cs="Arial"/>
          <w:b/>
        </w:rPr>
        <w:t>9</w:t>
      </w:r>
      <w:r w:rsidR="00744408" w:rsidRPr="007B79B6">
        <w:rPr>
          <w:rFonts w:cs="Arial"/>
          <w:b/>
        </w:rPr>
        <w:t xml:space="preserve"> k datu uzavření OP</w:t>
      </w:r>
      <w:r w:rsidR="008E3434">
        <w:rPr>
          <w:rFonts w:cs="Arial"/>
          <w:b/>
        </w:rPr>
        <w:t>Z</w:t>
      </w:r>
      <w:r w:rsidR="00703EFD">
        <w:rPr>
          <w:rFonts w:cs="Arial"/>
          <w:b/>
        </w:rPr>
        <w:t xml:space="preserve"> </w:t>
      </w:r>
      <w:r w:rsidR="00007F37" w:rsidRPr="007B79B6">
        <w:rPr>
          <w:rFonts w:cs="Arial"/>
        </w:rPr>
        <w:t>(v</w:t>
      </w:r>
      <w:r w:rsidR="00EB22D0" w:rsidRPr="007B79B6">
        <w:rPr>
          <w:rFonts w:cs="Arial"/>
        </w:rPr>
        <w:t xml:space="preserve"> mil.</w:t>
      </w:r>
      <w:r w:rsidR="00007F37" w:rsidRPr="007B79B6">
        <w:rPr>
          <w:rFonts w:cs="Arial"/>
        </w:rPr>
        <w:t xml:space="preserve"> Kč)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7184"/>
        <w:gridCol w:w="1441"/>
      </w:tblGrid>
      <w:tr w:rsidR="00265AE3" w:rsidRPr="007B79B6" w14:paraId="4E4C85B3" w14:textId="77777777" w:rsidTr="00265AE3">
        <w:trPr>
          <w:trHeight w:val="328"/>
        </w:trPr>
        <w:tc>
          <w:tcPr>
            <w:tcW w:w="675" w:type="dxa"/>
          </w:tcPr>
          <w:p w14:paraId="633B0B62" w14:textId="77777777" w:rsidR="00265AE3" w:rsidRPr="007B79B6" w:rsidRDefault="00265AE3" w:rsidP="00D00642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>1</w:t>
            </w:r>
          </w:p>
        </w:tc>
        <w:tc>
          <w:tcPr>
            <w:tcW w:w="7371" w:type="dxa"/>
          </w:tcPr>
          <w:p w14:paraId="6B30A74F" w14:textId="25BC9716" w:rsidR="00265AE3" w:rsidRPr="007B79B6" w:rsidRDefault="00465A4F" w:rsidP="00FD22B0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 xml:space="preserve">Vklad </w:t>
            </w:r>
            <w:r w:rsidR="00FD22B0">
              <w:rPr>
                <w:sz w:val="20"/>
              </w:rPr>
              <w:t>Ministerstva</w:t>
            </w:r>
            <w:r w:rsidR="00FD22B0" w:rsidRPr="007B79B6">
              <w:rPr>
                <w:sz w:val="20"/>
              </w:rPr>
              <w:t xml:space="preserve"> </w:t>
            </w:r>
            <w:r w:rsidRPr="007B79B6">
              <w:rPr>
                <w:sz w:val="20"/>
              </w:rPr>
              <w:t>do Uvěrového fondu</w:t>
            </w:r>
            <w:r w:rsidR="00265AE3" w:rsidRPr="007B79B6">
              <w:rPr>
                <w:sz w:val="20"/>
              </w:rPr>
              <w:t xml:space="preserve"> </w:t>
            </w:r>
            <w:r w:rsidR="00E1383A">
              <w:rPr>
                <w:sz w:val="20"/>
              </w:rPr>
              <w:t>SP 2019</w:t>
            </w:r>
          </w:p>
        </w:tc>
        <w:tc>
          <w:tcPr>
            <w:tcW w:w="1469" w:type="dxa"/>
          </w:tcPr>
          <w:p w14:paraId="448F7371" w14:textId="77777777" w:rsidR="00DA12E2" w:rsidRPr="007B79B6" w:rsidRDefault="001E730C" w:rsidP="00D00642">
            <w:pPr>
              <w:spacing w:before="120"/>
              <w:jc w:val="right"/>
              <w:rPr>
                <w:sz w:val="20"/>
              </w:rPr>
            </w:pPr>
            <w:r w:rsidRPr="007B79B6">
              <w:rPr>
                <w:sz w:val="20"/>
              </w:rPr>
              <w:t>4</w:t>
            </w:r>
            <w:r w:rsidR="00B27966" w:rsidRPr="007B79B6">
              <w:rPr>
                <w:sz w:val="20"/>
              </w:rPr>
              <w:t>00</w:t>
            </w:r>
          </w:p>
        </w:tc>
      </w:tr>
      <w:tr w:rsidR="00265AE3" w:rsidRPr="007B79B6" w14:paraId="23C819A8" w14:textId="77777777" w:rsidTr="00265AE3">
        <w:tc>
          <w:tcPr>
            <w:tcW w:w="675" w:type="dxa"/>
          </w:tcPr>
          <w:p w14:paraId="68B20116" w14:textId="77777777" w:rsidR="00265AE3" w:rsidRPr="007B79B6" w:rsidRDefault="00265AE3" w:rsidP="00D00642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>2</w:t>
            </w:r>
          </w:p>
        </w:tc>
        <w:tc>
          <w:tcPr>
            <w:tcW w:w="7371" w:type="dxa"/>
          </w:tcPr>
          <w:p w14:paraId="0FE099C3" w14:textId="77777777" w:rsidR="00265AE3" w:rsidRPr="007B79B6" w:rsidRDefault="00265AE3" w:rsidP="00243B3F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 xml:space="preserve">Uhrazené Poplatky za správu </w:t>
            </w:r>
          </w:p>
        </w:tc>
        <w:tc>
          <w:tcPr>
            <w:tcW w:w="1469" w:type="dxa"/>
          </w:tcPr>
          <w:p w14:paraId="36778F7A" w14:textId="77777777" w:rsidR="00B41CB2" w:rsidRPr="007B79B6" w:rsidRDefault="001E730C" w:rsidP="00E1383A">
            <w:pPr>
              <w:spacing w:before="120"/>
              <w:jc w:val="right"/>
              <w:rPr>
                <w:sz w:val="20"/>
              </w:rPr>
            </w:pPr>
            <w:r w:rsidRPr="007B79B6">
              <w:rPr>
                <w:sz w:val="20"/>
              </w:rPr>
              <w:t>2</w:t>
            </w:r>
            <w:r w:rsidR="00E1383A">
              <w:rPr>
                <w:sz w:val="20"/>
              </w:rPr>
              <w:t>0</w:t>
            </w:r>
          </w:p>
        </w:tc>
      </w:tr>
      <w:tr w:rsidR="00265AE3" w:rsidRPr="007B79B6" w14:paraId="76838E4F" w14:textId="77777777" w:rsidTr="00265AE3">
        <w:tc>
          <w:tcPr>
            <w:tcW w:w="675" w:type="dxa"/>
          </w:tcPr>
          <w:p w14:paraId="4E8D0FCE" w14:textId="77777777" w:rsidR="00265AE3" w:rsidRPr="007B79B6" w:rsidRDefault="00265AE3" w:rsidP="00D00642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>3</w:t>
            </w:r>
          </w:p>
        </w:tc>
        <w:tc>
          <w:tcPr>
            <w:tcW w:w="7371" w:type="dxa"/>
          </w:tcPr>
          <w:p w14:paraId="14A44082" w14:textId="77777777" w:rsidR="00265AE3" w:rsidRPr="007B79B6" w:rsidRDefault="00265AE3" w:rsidP="00D00642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 xml:space="preserve">Výše vyčerpaných úvěrů </w:t>
            </w:r>
          </w:p>
        </w:tc>
        <w:tc>
          <w:tcPr>
            <w:tcW w:w="1469" w:type="dxa"/>
          </w:tcPr>
          <w:p w14:paraId="7C4B7990" w14:textId="77777777" w:rsidR="00B41CB2" w:rsidRPr="007B79B6" w:rsidRDefault="001E730C" w:rsidP="00E1383A">
            <w:pPr>
              <w:spacing w:before="120"/>
              <w:jc w:val="right"/>
              <w:rPr>
                <w:sz w:val="20"/>
              </w:rPr>
            </w:pPr>
            <w:r w:rsidRPr="007B79B6">
              <w:rPr>
                <w:sz w:val="20"/>
              </w:rPr>
              <w:t>3</w:t>
            </w:r>
            <w:r w:rsidR="00E1383A">
              <w:rPr>
                <w:sz w:val="20"/>
              </w:rPr>
              <w:t>4</w:t>
            </w:r>
            <w:r w:rsidRPr="007B79B6">
              <w:rPr>
                <w:sz w:val="20"/>
              </w:rPr>
              <w:t>0</w:t>
            </w:r>
          </w:p>
        </w:tc>
      </w:tr>
      <w:tr w:rsidR="00265AE3" w:rsidRPr="007B79B6" w14:paraId="3A54412C" w14:textId="77777777" w:rsidTr="00265AE3">
        <w:tc>
          <w:tcPr>
            <w:tcW w:w="675" w:type="dxa"/>
            <w:tcBorders>
              <w:bottom w:val="single" w:sz="4" w:space="0" w:color="auto"/>
            </w:tcBorders>
          </w:tcPr>
          <w:p w14:paraId="2FF7566D" w14:textId="77777777" w:rsidR="00265AE3" w:rsidRPr="007B79B6" w:rsidRDefault="00265AE3" w:rsidP="00D00642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>4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EBB5277" w14:textId="4EFCEB54" w:rsidR="00265AE3" w:rsidRPr="007B79B6" w:rsidRDefault="000827DC" w:rsidP="00FD22B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Platby za</w:t>
            </w:r>
            <w:r w:rsidR="004D3617">
              <w:rPr>
                <w:sz w:val="20"/>
              </w:rPr>
              <w:t xml:space="preserve"> poradenství poskytnuté </w:t>
            </w:r>
            <w:r>
              <w:rPr>
                <w:sz w:val="20"/>
              </w:rPr>
              <w:t xml:space="preserve">ve prospěch </w:t>
            </w:r>
            <w:r w:rsidR="00FD22B0">
              <w:rPr>
                <w:sz w:val="20"/>
              </w:rPr>
              <w:t>P</w:t>
            </w:r>
            <w:r>
              <w:rPr>
                <w:sz w:val="20"/>
              </w:rPr>
              <w:t>říjemců</w:t>
            </w:r>
            <w:r w:rsidR="004D3617">
              <w:rPr>
                <w:sz w:val="20"/>
              </w:rPr>
              <w:t xml:space="preserve"> podpory</w:t>
            </w:r>
          </w:p>
        </w:tc>
        <w:tc>
          <w:tcPr>
            <w:tcW w:w="1469" w:type="dxa"/>
          </w:tcPr>
          <w:p w14:paraId="335761EB" w14:textId="77777777" w:rsidR="00B41CB2" w:rsidRPr="007B79B6" w:rsidRDefault="00E1383A" w:rsidP="00E1383A">
            <w:pPr>
              <w:spacing w:before="120"/>
              <w:jc w:val="right"/>
              <w:rPr>
                <w:rFonts w:cs="Arial"/>
                <w:b/>
                <w:bCs/>
                <w:i/>
                <w:iCs/>
                <w:sz w:val="20"/>
                <w:szCs w:val="28"/>
              </w:rPr>
            </w:pPr>
            <w:r>
              <w:rPr>
                <w:sz w:val="20"/>
              </w:rPr>
              <w:t>40</w:t>
            </w:r>
          </w:p>
        </w:tc>
      </w:tr>
      <w:tr w:rsidR="00265AE3" w:rsidRPr="007B79B6" w14:paraId="1B0D8095" w14:textId="77777777" w:rsidTr="00265AE3">
        <w:tc>
          <w:tcPr>
            <w:tcW w:w="675" w:type="dxa"/>
          </w:tcPr>
          <w:p w14:paraId="4D5515CB" w14:textId="77777777" w:rsidR="00265AE3" w:rsidRPr="007B79B6" w:rsidRDefault="009D616B" w:rsidP="00D00642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>5</w:t>
            </w:r>
          </w:p>
        </w:tc>
        <w:tc>
          <w:tcPr>
            <w:tcW w:w="7371" w:type="dxa"/>
          </w:tcPr>
          <w:p w14:paraId="5431DA4C" w14:textId="77777777" w:rsidR="001F6F91" w:rsidRPr="007B79B6" w:rsidRDefault="00265AE3" w:rsidP="00E1383A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>Způsobilé výdaj</w:t>
            </w:r>
            <w:r w:rsidR="00465A4F" w:rsidRPr="007B79B6">
              <w:rPr>
                <w:sz w:val="20"/>
              </w:rPr>
              <w:t xml:space="preserve">e Uvěrového fondu </w:t>
            </w:r>
            <w:r w:rsidR="00E1383A">
              <w:rPr>
                <w:sz w:val="20"/>
              </w:rPr>
              <w:t>SP</w:t>
            </w:r>
            <w:r w:rsidR="00E11809" w:rsidRPr="007B79B6">
              <w:rPr>
                <w:sz w:val="20"/>
              </w:rPr>
              <w:t xml:space="preserve"> 201</w:t>
            </w:r>
            <w:r w:rsidR="00E1383A">
              <w:rPr>
                <w:sz w:val="20"/>
              </w:rPr>
              <w:t>9</w:t>
            </w:r>
            <w:r w:rsidR="00465A4F" w:rsidRPr="007B79B6">
              <w:rPr>
                <w:sz w:val="20"/>
              </w:rPr>
              <w:t xml:space="preserve"> (</w:t>
            </w:r>
            <w:r w:rsidRPr="007B79B6">
              <w:rPr>
                <w:sz w:val="20"/>
              </w:rPr>
              <w:t xml:space="preserve">ř. 2 + ř. 3 + ř. </w:t>
            </w:r>
            <w:r w:rsidR="003716D7" w:rsidRPr="007B79B6">
              <w:rPr>
                <w:sz w:val="20"/>
              </w:rPr>
              <w:t>4</w:t>
            </w:r>
            <w:r w:rsidRPr="007B79B6">
              <w:rPr>
                <w:sz w:val="20"/>
              </w:rPr>
              <w:t>)</w:t>
            </w:r>
          </w:p>
        </w:tc>
        <w:tc>
          <w:tcPr>
            <w:tcW w:w="1469" w:type="dxa"/>
          </w:tcPr>
          <w:p w14:paraId="17906F60" w14:textId="77777777" w:rsidR="00DA12E2" w:rsidRPr="007B79B6" w:rsidRDefault="001E730C" w:rsidP="00D00642">
            <w:pPr>
              <w:spacing w:before="120"/>
              <w:jc w:val="right"/>
              <w:rPr>
                <w:sz w:val="20"/>
              </w:rPr>
            </w:pPr>
            <w:r w:rsidRPr="007B79B6">
              <w:rPr>
                <w:sz w:val="20"/>
              </w:rPr>
              <w:t>4</w:t>
            </w:r>
            <w:r w:rsidR="00B27966" w:rsidRPr="007B79B6">
              <w:rPr>
                <w:sz w:val="20"/>
              </w:rPr>
              <w:t>00</w:t>
            </w:r>
          </w:p>
        </w:tc>
      </w:tr>
    </w:tbl>
    <w:p w14:paraId="700A8B46" w14:textId="0E7AF2E2" w:rsidR="004C6F89" w:rsidRPr="007B79B6" w:rsidRDefault="00744408" w:rsidP="00D00642">
      <w:pPr>
        <w:numPr>
          <w:ilvl w:val="0"/>
          <w:numId w:val="10"/>
        </w:numPr>
        <w:tabs>
          <w:tab w:val="clear" w:pos="360"/>
        </w:tabs>
        <w:spacing w:before="480" w:after="240"/>
        <w:ind w:left="567" w:hanging="567"/>
        <w:rPr>
          <w:rFonts w:cs="Arial"/>
          <w:b/>
        </w:rPr>
      </w:pPr>
      <w:r w:rsidRPr="007B79B6">
        <w:rPr>
          <w:rFonts w:cs="Arial"/>
          <w:b/>
          <w:szCs w:val="22"/>
        </w:rPr>
        <w:t xml:space="preserve">Předpokládaný výsledek hospodaření </w:t>
      </w:r>
      <w:r w:rsidR="008F0675" w:rsidRPr="007B79B6">
        <w:rPr>
          <w:rFonts w:cs="Arial"/>
          <w:b/>
          <w:szCs w:val="22"/>
        </w:rPr>
        <w:t xml:space="preserve">Úvěrového fondu </w:t>
      </w:r>
      <w:r w:rsidR="000827DC">
        <w:rPr>
          <w:rFonts w:cs="Arial"/>
          <w:b/>
          <w:szCs w:val="22"/>
        </w:rPr>
        <w:t>SP 2019</w:t>
      </w:r>
      <w:r w:rsidRPr="007B79B6">
        <w:rPr>
          <w:rFonts w:cs="Arial"/>
          <w:b/>
          <w:szCs w:val="22"/>
        </w:rPr>
        <w:t xml:space="preserve"> při jeho </w:t>
      </w:r>
      <w:r w:rsidRPr="00D54794">
        <w:rPr>
          <w:rFonts w:cs="Arial"/>
          <w:b/>
          <w:szCs w:val="22"/>
        </w:rPr>
        <w:t xml:space="preserve">vypořádání </w:t>
      </w:r>
      <w:r w:rsidR="00D54794" w:rsidRPr="005B71FA">
        <w:rPr>
          <w:rFonts w:cs="Arial"/>
          <w:b/>
        </w:rPr>
        <w:t>dle článku XV Dohody</w:t>
      </w:r>
      <w:r w:rsidR="00D54794" w:rsidRPr="007B79B6">
        <w:rPr>
          <w:rFonts w:cs="Arial"/>
        </w:rPr>
        <w:t xml:space="preserve"> </w:t>
      </w:r>
      <w:r w:rsidR="00007F37" w:rsidRPr="007B79B6">
        <w:rPr>
          <w:rFonts w:cs="Arial"/>
        </w:rPr>
        <w:t>(v </w:t>
      </w:r>
      <w:r w:rsidR="00EB22D0" w:rsidRPr="007B79B6">
        <w:rPr>
          <w:rFonts w:cs="Arial"/>
        </w:rPr>
        <w:t xml:space="preserve">mil. </w:t>
      </w:r>
      <w:r w:rsidR="00007F37" w:rsidRPr="007B79B6">
        <w:rPr>
          <w:rFonts w:cs="Arial"/>
        </w:rPr>
        <w:t>Kč)</w:t>
      </w:r>
      <w:r w:rsidR="00766448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7184"/>
        <w:gridCol w:w="1441"/>
      </w:tblGrid>
      <w:tr w:rsidR="00265AE3" w:rsidRPr="007B79B6" w14:paraId="516C0436" w14:textId="77777777" w:rsidTr="00265AE3">
        <w:trPr>
          <w:trHeight w:val="60"/>
        </w:trPr>
        <w:tc>
          <w:tcPr>
            <w:tcW w:w="675" w:type="dxa"/>
          </w:tcPr>
          <w:p w14:paraId="5F8DF0A4" w14:textId="77777777" w:rsidR="00265AE3" w:rsidRPr="007B79B6" w:rsidRDefault="00265AE3" w:rsidP="00D00642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>1</w:t>
            </w:r>
          </w:p>
        </w:tc>
        <w:tc>
          <w:tcPr>
            <w:tcW w:w="7371" w:type="dxa"/>
          </w:tcPr>
          <w:p w14:paraId="6355B94A" w14:textId="77777777" w:rsidR="00265AE3" w:rsidRPr="007B79B6" w:rsidRDefault="00265AE3" w:rsidP="00E1383A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 xml:space="preserve">Vklad </w:t>
            </w:r>
            <w:r w:rsidR="00E1383A">
              <w:rPr>
                <w:sz w:val="20"/>
              </w:rPr>
              <w:t xml:space="preserve">MPSV </w:t>
            </w:r>
            <w:r w:rsidRPr="007B79B6">
              <w:rPr>
                <w:sz w:val="20"/>
              </w:rPr>
              <w:t xml:space="preserve">do Uvěrového fondu </w:t>
            </w:r>
            <w:r w:rsidR="00E1383A">
              <w:rPr>
                <w:sz w:val="20"/>
              </w:rPr>
              <w:t>SP 2019</w:t>
            </w:r>
          </w:p>
        </w:tc>
        <w:tc>
          <w:tcPr>
            <w:tcW w:w="1469" w:type="dxa"/>
          </w:tcPr>
          <w:p w14:paraId="6AB2336E" w14:textId="77777777" w:rsidR="00DA12E2" w:rsidRPr="007B79B6" w:rsidRDefault="001E730C" w:rsidP="00D00642">
            <w:pPr>
              <w:spacing w:before="120"/>
              <w:jc w:val="right"/>
              <w:rPr>
                <w:sz w:val="20"/>
              </w:rPr>
            </w:pPr>
            <w:r w:rsidRPr="007B79B6">
              <w:rPr>
                <w:sz w:val="20"/>
              </w:rPr>
              <w:t>4</w:t>
            </w:r>
            <w:r w:rsidR="00B27966" w:rsidRPr="007B79B6">
              <w:rPr>
                <w:sz w:val="20"/>
              </w:rPr>
              <w:t>00</w:t>
            </w:r>
          </w:p>
        </w:tc>
      </w:tr>
      <w:tr w:rsidR="00265AE3" w:rsidRPr="007B79B6" w14:paraId="55D49127" w14:textId="77777777">
        <w:tc>
          <w:tcPr>
            <w:tcW w:w="675" w:type="dxa"/>
          </w:tcPr>
          <w:p w14:paraId="37EA721F" w14:textId="77777777" w:rsidR="00265AE3" w:rsidRPr="007B79B6" w:rsidRDefault="00265AE3" w:rsidP="00D00642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>2</w:t>
            </w:r>
          </w:p>
        </w:tc>
        <w:tc>
          <w:tcPr>
            <w:tcW w:w="7371" w:type="dxa"/>
          </w:tcPr>
          <w:p w14:paraId="3828D552" w14:textId="77777777" w:rsidR="00265AE3" w:rsidRPr="007B79B6" w:rsidRDefault="00603FC0" w:rsidP="00E1383A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>Celkové u</w:t>
            </w:r>
            <w:r w:rsidR="00265AE3" w:rsidRPr="007B79B6">
              <w:rPr>
                <w:sz w:val="20"/>
              </w:rPr>
              <w:t xml:space="preserve">hrazené Poplatky za správu </w:t>
            </w:r>
            <w:r w:rsidRPr="007B79B6">
              <w:rPr>
                <w:sz w:val="20"/>
              </w:rPr>
              <w:t xml:space="preserve">Úvěrového fondu </w:t>
            </w:r>
            <w:r w:rsidR="00E1383A">
              <w:rPr>
                <w:sz w:val="20"/>
              </w:rPr>
              <w:t>SP 2019</w:t>
            </w:r>
          </w:p>
        </w:tc>
        <w:tc>
          <w:tcPr>
            <w:tcW w:w="1469" w:type="dxa"/>
          </w:tcPr>
          <w:p w14:paraId="118C7E43" w14:textId="77777777" w:rsidR="00B41CB2" w:rsidRPr="007B79B6" w:rsidRDefault="0044064D" w:rsidP="00E1383A">
            <w:pPr>
              <w:spacing w:before="120"/>
              <w:jc w:val="right"/>
              <w:rPr>
                <w:sz w:val="20"/>
              </w:rPr>
            </w:pPr>
            <w:r w:rsidRPr="007B79B6">
              <w:rPr>
                <w:sz w:val="20"/>
              </w:rPr>
              <w:t>4</w:t>
            </w:r>
            <w:r w:rsidR="00E1383A">
              <w:rPr>
                <w:sz w:val="20"/>
              </w:rPr>
              <w:t>0</w:t>
            </w:r>
          </w:p>
        </w:tc>
      </w:tr>
      <w:tr w:rsidR="00A34FF9" w:rsidRPr="007B79B6" w14:paraId="4A52C302" w14:textId="77777777">
        <w:tc>
          <w:tcPr>
            <w:tcW w:w="675" w:type="dxa"/>
          </w:tcPr>
          <w:p w14:paraId="56D16394" w14:textId="77777777" w:rsidR="00A34FF9" w:rsidRPr="007B79B6" w:rsidRDefault="00A34FF9" w:rsidP="00D00642">
            <w:pPr>
              <w:spacing w:before="120"/>
              <w:rPr>
                <w:i/>
                <w:sz w:val="20"/>
              </w:rPr>
            </w:pPr>
          </w:p>
        </w:tc>
        <w:tc>
          <w:tcPr>
            <w:tcW w:w="7371" w:type="dxa"/>
          </w:tcPr>
          <w:p w14:paraId="39E5F983" w14:textId="77777777" w:rsidR="00E81939" w:rsidRPr="007B79B6" w:rsidRDefault="00E81939" w:rsidP="00D00642">
            <w:pPr>
              <w:spacing w:before="120"/>
              <w:rPr>
                <w:i/>
                <w:sz w:val="20"/>
              </w:rPr>
            </w:pPr>
            <w:r w:rsidRPr="007B79B6">
              <w:rPr>
                <w:i/>
                <w:sz w:val="20"/>
              </w:rPr>
              <w:t>z toho: po roce 2023</w:t>
            </w:r>
          </w:p>
        </w:tc>
        <w:tc>
          <w:tcPr>
            <w:tcW w:w="1469" w:type="dxa"/>
          </w:tcPr>
          <w:p w14:paraId="46A1DAC6" w14:textId="77777777" w:rsidR="00A34FF9" w:rsidRPr="007B79B6" w:rsidRDefault="00DA780A" w:rsidP="00304B04">
            <w:pPr>
              <w:spacing w:before="120"/>
              <w:jc w:val="right"/>
              <w:rPr>
                <w:i/>
                <w:sz w:val="20"/>
              </w:rPr>
            </w:pPr>
            <w:r w:rsidRPr="007B79B6">
              <w:rPr>
                <w:i/>
                <w:sz w:val="20"/>
              </w:rPr>
              <w:t>2</w:t>
            </w:r>
            <w:r w:rsidR="00304B04">
              <w:rPr>
                <w:i/>
                <w:sz w:val="20"/>
              </w:rPr>
              <w:t>0</w:t>
            </w:r>
          </w:p>
        </w:tc>
      </w:tr>
      <w:tr w:rsidR="00265AE3" w:rsidRPr="00A569C1" w14:paraId="4B2ACAE1" w14:textId="77777777">
        <w:tc>
          <w:tcPr>
            <w:tcW w:w="675" w:type="dxa"/>
          </w:tcPr>
          <w:p w14:paraId="640FFED6" w14:textId="77777777" w:rsidR="00265AE3" w:rsidRPr="00A569C1" w:rsidRDefault="00265AE3" w:rsidP="00D00642">
            <w:pPr>
              <w:spacing w:before="120"/>
              <w:rPr>
                <w:sz w:val="20"/>
              </w:rPr>
            </w:pPr>
            <w:r w:rsidRPr="00A569C1">
              <w:rPr>
                <w:sz w:val="20"/>
              </w:rPr>
              <w:t>3</w:t>
            </w:r>
          </w:p>
        </w:tc>
        <w:tc>
          <w:tcPr>
            <w:tcW w:w="7371" w:type="dxa"/>
          </w:tcPr>
          <w:p w14:paraId="54B05326" w14:textId="57DCC22B" w:rsidR="00265AE3" w:rsidRPr="00A569C1" w:rsidRDefault="00766448" w:rsidP="00FD22B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Maximální výše z</w:t>
            </w:r>
            <w:r w:rsidR="00265AE3" w:rsidRPr="00A569C1">
              <w:rPr>
                <w:sz w:val="20"/>
              </w:rPr>
              <w:t>tráty na jistinu úvěr</w:t>
            </w:r>
            <w:r>
              <w:rPr>
                <w:sz w:val="20"/>
              </w:rPr>
              <w:t>ů</w:t>
            </w:r>
            <w:r w:rsidR="00265AE3" w:rsidRPr="00A569C1">
              <w:rPr>
                <w:sz w:val="20"/>
              </w:rPr>
              <w:t xml:space="preserve"> odepsané k tíži vkladu </w:t>
            </w:r>
            <w:r w:rsidR="00FD22B0">
              <w:rPr>
                <w:sz w:val="20"/>
              </w:rPr>
              <w:t>Ministerstva</w:t>
            </w:r>
          </w:p>
        </w:tc>
        <w:tc>
          <w:tcPr>
            <w:tcW w:w="1469" w:type="dxa"/>
          </w:tcPr>
          <w:p w14:paraId="0B72B8DE" w14:textId="3461C6A0" w:rsidR="00B41CB2" w:rsidRPr="00A569C1" w:rsidRDefault="00E1383A" w:rsidP="00E1383A">
            <w:pPr>
              <w:spacing w:before="120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265AE3" w:rsidRPr="007B79B6" w14:paraId="7C0A34FD" w14:textId="77777777">
        <w:tc>
          <w:tcPr>
            <w:tcW w:w="675" w:type="dxa"/>
            <w:tcBorders>
              <w:bottom w:val="single" w:sz="4" w:space="0" w:color="auto"/>
            </w:tcBorders>
          </w:tcPr>
          <w:p w14:paraId="43B5F65A" w14:textId="77777777" w:rsidR="00265AE3" w:rsidRPr="00A569C1" w:rsidRDefault="00265AE3" w:rsidP="00D00642">
            <w:pPr>
              <w:spacing w:before="120"/>
              <w:rPr>
                <w:sz w:val="20"/>
              </w:rPr>
            </w:pPr>
            <w:r w:rsidRPr="00A569C1">
              <w:rPr>
                <w:sz w:val="20"/>
              </w:rPr>
              <w:t>4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6B8A1A7" w14:textId="77777777" w:rsidR="00265AE3" w:rsidRPr="00A569C1" w:rsidRDefault="000827DC" w:rsidP="00D00642">
            <w:pPr>
              <w:spacing w:before="120"/>
              <w:rPr>
                <w:i/>
                <w:sz w:val="20"/>
              </w:rPr>
            </w:pPr>
            <w:r>
              <w:rPr>
                <w:sz w:val="20"/>
              </w:rPr>
              <w:t>Platby za poradenství poskytnuté ve prospěch konečných příjemců podpory</w:t>
            </w:r>
          </w:p>
        </w:tc>
        <w:tc>
          <w:tcPr>
            <w:tcW w:w="1469" w:type="dxa"/>
          </w:tcPr>
          <w:p w14:paraId="641E5E08" w14:textId="77777777" w:rsidR="00B41CB2" w:rsidRPr="00A569C1" w:rsidRDefault="00E1383A" w:rsidP="00E1383A">
            <w:pPr>
              <w:spacing w:before="12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265AE3" w:rsidRPr="007B79B6" w14:paraId="654BD2B3" w14:textId="77777777">
        <w:tc>
          <w:tcPr>
            <w:tcW w:w="675" w:type="dxa"/>
          </w:tcPr>
          <w:p w14:paraId="2E9FD72E" w14:textId="77777777" w:rsidR="00265AE3" w:rsidRPr="007B79B6" w:rsidRDefault="00265AE3" w:rsidP="00D00642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>5</w:t>
            </w:r>
          </w:p>
        </w:tc>
        <w:tc>
          <w:tcPr>
            <w:tcW w:w="7371" w:type="dxa"/>
          </w:tcPr>
          <w:p w14:paraId="450ED08F" w14:textId="02C5BD92" w:rsidR="00265AE3" w:rsidRPr="007B79B6" w:rsidRDefault="00265AE3" w:rsidP="00FD22B0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>Zůstatek z</w:t>
            </w:r>
            <w:r w:rsidR="00E1383A">
              <w:rPr>
                <w:sz w:val="20"/>
              </w:rPr>
              <w:t> </w:t>
            </w:r>
            <w:r w:rsidRPr="007B79B6">
              <w:rPr>
                <w:sz w:val="20"/>
              </w:rPr>
              <w:t>vkladu</w:t>
            </w:r>
            <w:r w:rsidR="00E1383A">
              <w:rPr>
                <w:sz w:val="20"/>
              </w:rPr>
              <w:t xml:space="preserve"> </w:t>
            </w:r>
            <w:r w:rsidR="00FD22B0">
              <w:rPr>
                <w:sz w:val="20"/>
              </w:rPr>
              <w:t>Ministerstva</w:t>
            </w:r>
            <w:r w:rsidR="00FD22B0" w:rsidRPr="007B79B6">
              <w:rPr>
                <w:sz w:val="20"/>
              </w:rPr>
              <w:t xml:space="preserve"> </w:t>
            </w:r>
            <w:r w:rsidR="003716D7" w:rsidRPr="007B79B6">
              <w:rPr>
                <w:sz w:val="20"/>
              </w:rPr>
              <w:t>(ř.</w:t>
            </w:r>
            <w:r w:rsidR="00A73D6E" w:rsidRPr="007B79B6">
              <w:rPr>
                <w:sz w:val="20"/>
              </w:rPr>
              <w:t xml:space="preserve"> </w:t>
            </w:r>
            <w:r w:rsidR="003716D7" w:rsidRPr="007B79B6">
              <w:rPr>
                <w:sz w:val="20"/>
              </w:rPr>
              <w:t>1</w:t>
            </w:r>
            <w:r w:rsidR="003870CA" w:rsidRPr="007B79B6">
              <w:rPr>
                <w:sz w:val="20"/>
              </w:rPr>
              <w:t xml:space="preserve"> </w:t>
            </w:r>
            <w:r w:rsidR="003716D7" w:rsidRPr="007B79B6">
              <w:rPr>
                <w:sz w:val="20"/>
              </w:rPr>
              <w:t>-</w:t>
            </w:r>
            <w:r w:rsidR="003870CA" w:rsidRPr="007B79B6">
              <w:rPr>
                <w:sz w:val="20"/>
              </w:rPr>
              <w:t xml:space="preserve"> ř.</w:t>
            </w:r>
            <w:r w:rsidR="00A73D6E" w:rsidRPr="007B79B6">
              <w:rPr>
                <w:sz w:val="20"/>
              </w:rPr>
              <w:t xml:space="preserve"> </w:t>
            </w:r>
            <w:r w:rsidR="003716D7" w:rsidRPr="007B79B6">
              <w:rPr>
                <w:sz w:val="20"/>
              </w:rPr>
              <w:t>2 -</w:t>
            </w:r>
            <w:r w:rsidR="003870CA" w:rsidRPr="007B79B6">
              <w:rPr>
                <w:sz w:val="20"/>
              </w:rPr>
              <w:t xml:space="preserve"> ř.</w:t>
            </w:r>
            <w:r w:rsidR="00A73D6E" w:rsidRPr="007B79B6">
              <w:rPr>
                <w:sz w:val="20"/>
              </w:rPr>
              <w:t xml:space="preserve"> </w:t>
            </w:r>
            <w:r w:rsidR="003870CA" w:rsidRPr="007B79B6">
              <w:rPr>
                <w:sz w:val="20"/>
              </w:rPr>
              <w:t>3 - ř.</w:t>
            </w:r>
            <w:r w:rsidR="00A73D6E" w:rsidRPr="007B79B6">
              <w:rPr>
                <w:sz w:val="20"/>
              </w:rPr>
              <w:t xml:space="preserve"> </w:t>
            </w:r>
            <w:r w:rsidR="003870CA" w:rsidRPr="007B79B6">
              <w:rPr>
                <w:sz w:val="20"/>
              </w:rPr>
              <w:t>4</w:t>
            </w:r>
            <w:r w:rsidR="003716D7" w:rsidRPr="007B79B6">
              <w:rPr>
                <w:sz w:val="20"/>
              </w:rPr>
              <w:t>)</w:t>
            </w:r>
          </w:p>
        </w:tc>
        <w:tc>
          <w:tcPr>
            <w:tcW w:w="1469" w:type="dxa"/>
          </w:tcPr>
          <w:p w14:paraId="6463D769" w14:textId="77777777" w:rsidR="00DA12E2" w:rsidRPr="007B79B6" w:rsidRDefault="00DA780A" w:rsidP="00E1383A">
            <w:pPr>
              <w:spacing w:before="120"/>
              <w:jc w:val="right"/>
              <w:rPr>
                <w:sz w:val="20"/>
              </w:rPr>
            </w:pPr>
            <w:r w:rsidRPr="007B79B6">
              <w:rPr>
                <w:sz w:val="20"/>
              </w:rPr>
              <w:t>2</w:t>
            </w:r>
            <w:r w:rsidR="00E1383A">
              <w:rPr>
                <w:sz w:val="20"/>
              </w:rPr>
              <w:t>52</w:t>
            </w:r>
          </w:p>
        </w:tc>
      </w:tr>
    </w:tbl>
    <w:p w14:paraId="28DF0B06" w14:textId="77063CB0" w:rsidR="00265AE3" w:rsidRPr="007B79B6" w:rsidRDefault="00AE28A9" w:rsidP="00D00642">
      <w:pPr>
        <w:tabs>
          <w:tab w:val="num" w:pos="3905"/>
        </w:tabs>
        <w:spacing w:before="120"/>
        <w:ind w:left="-142"/>
        <w:rPr>
          <w:rFonts w:cs="Arial"/>
          <w:sz w:val="20"/>
        </w:rPr>
      </w:pPr>
      <w:r w:rsidRPr="007B79B6">
        <w:rPr>
          <w:rFonts w:cs="Arial"/>
          <w:sz w:val="20"/>
        </w:rPr>
        <w:t xml:space="preserve">Konečný výsledek hospodaření Úvěrového fondu </w:t>
      </w:r>
      <w:r w:rsidR="00E1383A">
        <w:rPr>
          <w:rFonts w:cs="Arial"/>
          <w:sz w:val="20"/>
        </w:rPr>
        <w:t>SP</w:t>
      </w:r>
      <w:r w:rsidR="001E730C" w:rsidRPr="007B79B6">
        <w:rPr>
          <w:rFonts w:cs="Arial"/>
          <w:sz w:val="20"/>
        </w:rPr>
        <w:t xml:space="preserve"> </w:t>
      </w:r>
      <w:r w:rsidR="0059097D" w:rsidRPr="007B79B6">
        <w:rPr>
          <w:rFonts w:cs="Arial"/>
          <w:sz w:val="20"/>
        </w:rPr>
        <w:t>201</w:t>
      </w:r>
      <w:r w:rsidR="00E1383A">
        <w:rPr>
          <w:rFonts w:cs="Arial"/>
          <w:sz w:val="20"/>
        </w:rPr>
        <w:t>9</w:t>
      </w:r>
      <w:r w:rsidRPr="007B79B6">
        <w:rPr>
          <w:rFonts w:cs="Arial"/>
          <w:sz w:val="20"/>
        </w:rPr>
        <w:t xml:space="preserve"> po jeho uzavření a vypořádání podle pravidel stanovených Dohodou</w:t>
      </w:r>
      <w:r w:rsidR="00D54794">
        <w:rPr>
          <w:rFonts w:cs="Arial"/>
          <w:sz w:val="20"/>
        </w:rPr>
        <w:t xml:space="preserve">, </w:t>
      </w:r>
      <w:r w:rsidR="00C247DF">
        <w:rPr>
          <w:rFonts w:cs="Arial"/>
          <w:sz w:val="20"/>
        </w:rPr>
        <w:t xml:space="preserve">viz Článek </w:t>
      </w:r>
      <w:r w:rsidR="00D54794">
        <w:rPr>
          <w:rFonts w:cs="Arial"/>
          <w:sz w:val="20"/>
        </w:rPr>
        <w:t xml:space="preserve">XV Dohody, </w:t>
      </w:r>
      <w:r w:rsidRPr="007B79B6">
        <w:rPr>
          <w:rFonts w:cs="Arial"/>
          <w:sz w:val="20"/>
        </w:rPr>
        <w:t xml:space="preserve">náleží </w:t>
      </w:r>
      <w:r w:rsidR="000827DC">
        <w:rPr>
          <w:rFonts w:cs="Arial"/>
          <w:sz w:val="20"/>
        </w:rPr>
        <w:t>Ministerstvu</w:t>
      </w:r>
      <w:r w:rsidR="003716D7" w:rsidRPr="007B79B6">
        <w:rPr>
          <w:rFonts w:cs="Arial"/>
          <w:sz w:val="20"/>
        </w:rPr>
        <w:t>.</w:t>
      </w:r>
    </w:p>
    <w:p w14:paraId="0FB6B189" w14:textId="77777777" w:rsidR="00265AE3" w:rsidRPr="007B79B6" w:rsidRDefault="008052A4" w:rsidP="00D00642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  <w:sz w:val="20"/>
        </w:rPr>
      </w:pPr>
      <w:r w:rsidRPr="007B79B6">
        <w:rPr>
          <w:rFonts w:cs="Arial"/>
          <w:b/>
          <w:szCs w:val="22"/>
        </w:rPr>
        <w:lastRenderedPageBreak/>
        <w:t>P</w:t>
      </w:r>
      <w:r w:rsidR="004930ED" w:rsidRPr="007B79B6">
        <w:rPr>
          <w:rFonts w:cs="Arial"/>
          <w:b/>
          <w:szCs w:val="22"/>
        </w:rPr>
        <w:t xml:space="preserve">ákový efekt </w:t>
      </w:r>
    </w:p>
    <w:p w14:paraId="6EC58BC4" w14:textId="77777777" w:rsidR="00705B12" w:rsidRPr="007B79B6" w:rsidRDefault="004930ED" w:rsidP="00D00642">
      <w:pPr>
        <w:spacing w:before="120"/>
        <w:rPr>
          <w:sz w:val="20"/>
        </w:rPr>
      </w:pPr>
      <w:r w:rsidRPr="007B79B6">
        <w:rPr>
          <w:sz w:val="20"/>
        </w:rPr>
        <w:t xml:space="preserve">Plánovaný pákový efekt </w:t>
      </w:r>
      <w:r w:rsidR="00361D80" w:rsidRPr="007B79B6">
        <w:rPr>
          <w:sz w:val="20"/>
        </w:rPr>
        <w:t>se vyčíslí jako</w:t>
      </w:r>
      <w:r w:rsidR="00705B12" w:rsidRPr="007B79B6">
        <w:rPr>
          <w:sz w:val="20"/>
        </w:rPr>
        <w:t>:</w:t>
      </w:r>
    </w:p>
    <w:p w14:paraId="2B8FC47B" w14:textId="77777777" w:rsidR="00681EBC" w:rsidRPr="007B79B6" w:rsidRDefault="00681EBC" w:rsidP="00D00642">
      <w:pPr>
        <w:spacing w:before="120"/>
        <w:rPr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BF1BFE" w:rsidRPr="001E730C" w14:paraId="32F1017C" w14:textId="77777777" w:rsidTr="0025331F">
        <w:tc>
          <w:tcPr>
            <w:tcW w:w="9274" w:type="dxa"/>
          </w:tcPr>
          <w:p w14:paraId="2D6CB63C" w14:textId="2FCE4A9B" w:rsidR="00163BA0" w:rsidRDefault="00163BA0" w:rsidP="00E1383A">
            <w:pPr>
              <w:spacing w:after="200" w:line="276" w:lineRule="auto"/>
              <w:jc w:val="left"/>
              <w:rPr>
                <w:rFonts w:cs="Arial"/>
                <w:sz w:val="16"/>
              </w:rPr>
            </w:pPr>
          </w:p>
          <w:p w14:paraId="3E97D75E" w14:textId="77777777" w:rsidR="00163BA0" w:rsidRPr="003A6551" w:rsidRDefault="00163BA0" w:rsidP="00163BA0">
            <w:pPr>
              <w:spacing w:after="200" w:line="276" w:lineRule="auto"/>
              <w:jc w:val="left"/>
              <w:rPr>
                <w:sz w:val="16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</w:rPr>
                  <m:t>Plánovaný pákový efekt=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</w:rPr>
                      <m:t>Očekávána celková částka prostředků pro způsobilé Příjemce podpory-plánovaný poplatek za správu do 31. 12. 2023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</w:rPr>
                      <m:t xml:space="preserve">Příspěvek ESIF prostředků do ÚF SP 2019 </m:t>
                    </m:r>
                  </m:den>
                </m:f>
              </m:oMath>
            </m:oMathPara>
          </w:p>
          <w:p w14:paraId="622DF422" w14:textId="77777777" w:rsidR="00163BA0" w:rsidRDefault="00163BA0" w:rsidP="003A6551">
            <w:pPr>
              <w:spacing w:after="200" w:line="276" w:lineRule="auto"/>
              <w:jc w:val="left"/>
              <w:rPr>
                <w:sz w:val="16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6"/>
                      </w:rPr>
                      <m:t>310250000+89750000+ 200000-20000000</m:t>
                    </m:r>
                  </m:num>
                  <m:den>
                    <m:r>
                      <w:rPr>
                        <w:rFonts w:ascii="Cambria Math" w:hAnsi="Cambria Math" w:cs="Arial"/>
                        <w:sz w:val="16"/>
                      </w:rPr>
                      <m:t>310250000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</w:rPr>
                  <m:t>=1,23</m:t>
                </m:r>
              </m:oMath>
            </m:oMathPara>
          </w:p>
          <w:p w14:paraId="17FBA507" w14:textId="77777777" w:rsidR="003A6551" w:rsidRDefault="003A6551" w:rsidP="003A6551">
            <w:pPr>
              <w:spacing w:after="200" w:line="276" w:lineRule="auto"/>
              <w:jc w:val="left"/>
              <w:rPr>
                <w:sz w:val="16"/>
              </w:rPr>
            </w:pPr>
          </w:p>
          <w:p w14:paraId="2BF6CDDE" w14:textId="77777777" w:rsidR="003A6551" w:rsidRPr="005B71FA" w:rsidRDefault="0097736D" w:rsidP="003A6551">
            <w:pPr>
              <w:spacing w:after="200" w:line="276" w:lineRule="auto"/>
              <w:jc w:val="left"/>
              <w:rPr>
                <w:sz w:val="20"/>
              </w:rPr>
            </w:pPr>
            <w:r w:rsidRPr="005B71FA">
              <w:rPr>
                <w:sz w:val="20"/>
              </w:rPr>
              <w:t>Očekávána celková částka prostředků pro způsobilé Příjemce podpory je určena na financování zvýhodněných úvěrů a poradenství a zahrnuje následující:</w:t>
            </w:r>
          </w:p>
          <w:p w14:paraId="36448CB3" w14:textId="4553240D" w:rsidR="00204BE6" w:rsidRPr="005B71FA" w:rsidRDefault="0097736D" w:rsidP="005B71FA">
            <w:pPr>
              <w:pStyle w:val="Odstavecseseznamem"/>
              <w:numPr>
                <w:ilvl w:val="0"/>
                <w:numId w:val="31"/>
              </w:numPr>
              <w:spacing w:after="200" w:line="276" w:lineRule="auto"/>
              <w:jc w:val="left"/>
              <w:rPr>
                <w:rFonts w:cs="Arial"/>
                <w:sz w:val="20"/>
              </w:rPr>
            </w:pPr>
            <w:r w:rsidRPr="005B71FA">
              <w:rPr>
                <w:rFonts w:cs="Arial"/>
                <w:sz w:val="20"/>
              </w:rPr>
              <w:t>Příspěvek ESI</w:t>
            </w:r>
            <w:r w:rsidR="00703EFD">
              <w:rPr>
                <w:rFonts w:cs="Arial"/>
                <w:sz w:val="20"/>
              </w:rPr>
              <w:t xml:space="preserve"> fondů</w:t>
            </w:r>
            <w:r w:rsidRPr="005B71FA">
              <w:rPr>
                <w:rFonts w:cs="Arial"/>
                <w:sz w:val="20"/>
              </w:rPr>
              <w:t xml:space="preserve"> do </w:t>
            </w:r>
            <w:r w:rsidR="00703EFD">
              <w:rPr>
                <w:rFonts w:cs="Arial"/>
                <w:sz w:val="20"/>
              </w:rPr>
              <w:t>Úvěrového fondu SP 2019;</w:t>
            </w:r>
          </w:p>
          <w:p w14:paraId="7ED67AB4" w14:textId="77777777" w:rsidR="00204BE6" w:rsidRPr="005B71FA" w:rsidRDefault="0097736D" w:rsidP="005B71FA">
            <w:pPr>
              <w:pStyle w:val="Odstavecseseznamem"/>
              <w:numPr>
                <w:ilvl w:val="0"/>
                <w:numId w:val="31"/>
              </w:numPr>
              <w:spacing w:after="200" w:line="276" w:lineRule="auto"/>
              <w:jc w:val="left"/>
              <w:rPr>
                <w:rFonts w:cs="Arial"/>
                <w:sz w:val="20"/>
              </w:rPr>
            </w:pPr>
            <w:r w:rsidRPr="005B71FA">
              <w:rPr>
                <w:rFonts w:cs="Arial"/>
                <w:sz w:val="20"/>
              </w:rPr>
              <w:t>Národní spolufinancování (veřejné i soukromé)</w:t>
            </w:r>
            <w:r w:rsidR="00703EFD">
              <w:rPr>
                <w:rFonts w:cs="Arial"/>
                <w:sz w:val="20"/>
              </w:rPr>
              <w:t>;</w:t>
            </w:r>
          </w:p>
          <w:p w14:paraId="052E36C4" w14:textId="77777777" w:rsidR="00204BE6" w:rsidRPr="005B71FA" w:rsidRDefault="0097736D" w:rsidP="005B71FA">
            <w:pPr>
              <w:pStyle w:val="Odstavecseseznamem"/>
              <w:numPr>
                <w:ilvl w:val="0"/>
                <w:numId w:val="31"/>
              </w:numPr>
              <w:spacing w:after="200" w:line="276" w:lineRule="auto"/>
              <w:jc w:val="left"/>
              <w:rPr>
                <w:rFonts w:cs="Arial"/>
                <w:sz w:val="20"/>
              </w:rPr>
            </w:pPr>
            <w:r w:rsidRPr="005B71FA">
              <w:rPr>
                <w:rFonts w:cs="Arial"/>
                <w:sz w:val="20"/>
              </w:rPr>
              <w:t>Příspěvky případných dalších investorů</w:t>
            </w:r>
            <w:r w:rsidR="00703EFD">
              <w:rPr>
                <w:rFonts w:cs="Arial"/>
                <w:sz w:val="20"/>
              </w:rPr>
              <w:t>;</w:t>
            </w:r>
          </w:p>
          <w:p w14:paraId="58F7BBEB" w14:textId="77777777" w:rsidR="00204BE6" w:rsidRPr="005B71FA" w:rsidRDefault="0097736D" w:rsidP="005B71FA">
            <w:pPr>
              <w:pStyle w:val="Odstavecseseznamem"/>
              <w:numPr>
                <w:ilvl w:val="0"/>
                <w:numId w:val="31"/>
              </w:numPr>
              <w:spacing w:after="200" w:line="276" w:lineRule="auto"/>
              <w:jc w:val="left"/>
              <w:rPr>
                <w:rFonts w:cs="Arial"/>
                <w:sz w:val="16"/>
              </w:rPr>
            </w:pPr>
            <w:r w:rsidRPr="005B71FA">
              <w:rPr>
                <w:rFonts w:cs="Arial"/>
                <w:sz w:val="20"/>
              </w:rPr>
              <w:t>Očekávané úroky generované příspěvkem do FN (dle čl. 43 Obecného nařízení)</w:t>
            </w:r>
            <w:r w:rsidR="00703EFD">
              <w:rPr>
                <w:rFonts w:cs="Arial"/>
                <w:sz w:val="20"/>
              </w:rPr>
              <w:t>.</w:t>
            </w:r>
          </w:p>
        </w:tc>
      </w:tr>
    </w:tbl>
    <w:p w14:paraId="62D2C717" w14:textId="77777777" w:rsidR="008F0675" w:rsidRPr="001E730C" w:rsidRDefault="008F0675" w:rsidP="00D00642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</w:rPr>
      </w:pPr>
      <w:r w:rsidRPr="001E730C">
        <w:rPr>
          <w:rFonts w:cs="Arial"/>
          <w:b/>
          <w:szCs w:val="22"/>
        </w:rPr>
        <w:t>Interní předpisy Úvěrového fondu</w:t>
      </w:r>
      <w:r w:rsidR="00E1383A">
        <w:rPr>
          <w:rFonts w:cs="Arial"/>
          <w:b/>
          <w:szCs w:val="22"/>
        </w:rPr>
        <w:t xml:space="preserve"> SP</w:t>
      </w:r>
      <w:r w:rsidR="001E730C" w:rsidRPr="001E730C">
        <w:rPr>
          <w:rFonts w:cs="Arial"/>
          <w:b/>
          <w:szCs w:val="22"/>
        </w:rPr>
        <w:t xml:space="preserve"> </w:t>
      </w:r>
      <w:r w:rsidR="00E1383A">
        <w:rPr>
          <w:rFonts w:cs="Arial"/>
          <w:b/>
          <w:szCs w:val="22"/>
        </w:rPr>
        <w:t>2019</w:t>
      </w:r>
    </w:p>
    <w:p w14:paraId="4B2C9D6A" w14:textId="77777777" w:rsidR="008F0675" w:rsidRPr="001E730C" w:rsidRDefault="008F0675" w:rsidP="00D00642">
      <w:pPr>
        <w:spacing w:before="120"/>
        <w:rPr>
          <w:rFonts w:cs="Arial"/>
          <w:sz w:val="20"/>
        </w:rPr>
      </w:pPr>
      <w:r w:rsidRPr="001E730C">
        <w:rPr>
          <w:rFonts w:cs="Arial"/>
          <w:sz w:val="20"/>
        </w:rPr>
        <w:t xml:space="preserve">Postupy </w:t>
      </w:r>
      <w:r w:rsidR="00AB31A2" w:rsidRPr="001E730C">
        <w:rPr>
          <w:rFonts w:cs="Arial"/>
          <w:sz w:val="20"/>
        </w:rPr>
        <w:t xml:space="preserve">správy </w:t>
      </w:r>
      <w:r w:rsidRPr="001E730C">
        <w:rPr>
          <w:rFonts w:cs="Arial"/>
          <w:sz w:val="20"/>
        </w:rPr>
        <w:t xml:space="preserve">Úvěrového fondu </w:t>
      </w:r>
      <w:r w:rsidR="00E1383A">
        <w:rPr>
          <w:rFonts w:cs="Arial"/>
          <w:sz w:val="20"/>
        </w:rPr>
        <w:t>SP</w:t>
      </w:r>
      <w:r w:rsidR="001E730C" w:rsidRPr="001E730C">
        <w:rPr>
          <w:rFonts w:cs="Arial"/>
          <w:sz w:val="20"/>
        </w:rPr>
        <w:t xml:space="preserve"> </w:t>
      </w:r>
      <w:r w:rsidR="00E1383A">
        <w:rPr>
          <w:rFonts w:cs="Arial"/>
          <w:sz w:val="20"/>
        </w:rPr>
        <w:t>2019</w:t>
      </w:r>
      <w:r w:rsidR="00AB31A2" w:rsidRPr="001E730C">
        <w:rPr>
          <w:rFonts w:cs="Arial"/>
          <w:sz w:val="20"/>
        </w:rPr>
        <w:t xml:space="preserve"> zahrnující poskytování </w:t>
      </w:r>
      <w:r w:rsidR="00AB4D9B">
        <w:rPr>
          <w:rFonts w:cs="Arial"/>
          <w:sz w:val="20"/>
        </w:rPr>
        <w:t>z</w:t>
      </w:r>
      <w:r w:rsidR="00AB31A2" w:rsidRPr="001E730C">
        <w:rPr>
          <w:rFonts w:cs="Arial"/>
          <w:sz w:val="20"/>
        </w:rPr>
        <w:t xml:space="preserve">výhodněných úvěrů a </w:t>
      </w:r>
      <w:r w:rsidR="000827DC">
        <w:rPr>
          <w:rFonts w:cs="Arial"/>
          <w:sz w:val="20"/>
        </w:rPr>
        <w:t>poradenství</w:t>
      </w:r>
      <w:r w:rsidR="00AB31A2" w:rsidRPr="001E730C">
        <w:rPr>
          <w:rFonts w:cs="Arial"/>
          <w:sz w:val="20"/>
        </w:rPr>
        <w:t xml:space="preserve"> </w:t>
      </w:r>
      <w:r w:rsidR="00AB4D9B">
        <w:rPr>
          <w:rFonts w:cs="Arial"/>
          <w:sz w:val="20"/>
        </w:rPr>
        <w:t>p</w:t>
      </w:r>
      <w:r w:rsidR="00AB31A2" w:rsidRPr="001E730C">
        <w:rPr>
          <w:rFonts w:cs="Arial"/>
          <w:sz w:val="20"/>
        </w:rPr>
        <w:t xml:space="preserve">říjemcům </w:t>
      </w:r>
      <w:r w:rsidR="008052A4" w:rsidRPr="001E730C">
        <w:rPr>
          <w:rFonts w:cs="Arial"/>
          <w:sz w:val="20"/>
        </w:rPr>
        <w:t xml:space="preserve">podpory </w:t>
      </w:r>
      <w:r w:rsidR="00AB31A2" w:rsidRPr="001E730C">
        <w:rPr>
          <w:rFonts w:cs="Arial"/>
          <w:sz w:val="20"/>
        </w:rPr>
        <w:t xml:space="preserve">budou popsány ve vnitřních předpisech </w:t>
      </w:r>
      <w:r w:rsidR="00007F37" w:rsidRPr="001E730C">
        <w:rPr>
          <w:rFonts w:cs="Arial"/>
          <w:sz w:val="20"/>
        </w:rPr>
        <w:t>Záruční banky</w:t>
      </w:r>
      <w:r w:rsidR="00E1383A">
        <w:rPr>
          <w:rFonts w:cs="Arial"/>
          <w:sz w:val="20"/>
        </w:rPr>
        <w:t>.</w:t>
      </w:r>
    </w:p>
    <w:p w14:paraId="099FC01B" w14:textId="77777777" w:rsidR="008F0675" w:rsidRPr="001E730C" w:rsidRDefault="008F0675" w:rsidP="00D00642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</w:rPr>
      </w:pPr>
      <w:r w:rsidRPr="001E730C">
        <w:rPr>
          <w:rFonts w:cs="Arial"/>
          <w:b/>
          <w:szCs w:val="22"/>
        </w:rPr>
        <w:t xml:space="preserve">Ustanovení o profesionalitě, způsobilosti a nezávislosti vedení - Řízení Úvěrového fondu </w:t>
      </w:r>
      <w:r w:rsidR="00E1383A">
        <w:rPr>
          <w:rFonts w:cs="Arial"/>
          <w:b/>
          <w:szCs w:val="22"/>
        </w:rPr>
        <w:t>SP</w:t>
      </w:r>
      <w:r w:rsidR="001E730C" w:rsidRPr="001E730C">
        <w:rPr>
          <w:rFonts w:cs="Arial"/>
          <w:b/>
          <w:szCs w:val="22"/>
        </w:rPr>
        <w:t xml:space="preserve"> </w:t>
      </w:r>
      <w:r w:rsidR="00E1383A">
        <w:rPr>
          <w:rFonts w:cs="Arial"/>
          <w:b/>
          <w:szCs w:val="22"/>
        </w:rPr>
        <w:t>2019</w:t>
      </w:r>
    </w:p>
    <w:p w14:paraId="5099820E" w14:textId="219AD7B9" w:rsidR="008F0675" w:rsidRPr="001E730C" w:rsidRDefault="008F0675" w:rsidP="00D00642">
      <w:pPr>
        <w:spacing w:before="120"/>
        <w:rPr>
          <w:sz w:val="20"/>
        </w:rPr>
      </w:pPr>
      <w:r w:rsidRPr="001E730C">
        <w:rPr>
          <w:sz w:val="20"/>
        </w:rPr>
        <w:t>Úvěrový fond</w:t>
      </w:r>
      <w:r w:rsidR="00E1383A">
        <w:rPr>
          <w:sz w:val="20"/>
        </w:rPr>
        <w:t xml:space="preserve"> SP 2019 </w:t>
      </w:r>
      <w:r w:rsidRPr="001E730C">
        <w:rPr>
          <w:sz w:val="20"/>
        </w:rPr>
        <w:t>bude spravován a řízen</w:t>
      </w:r>
      <w:r w:rsidR="00703EFD">
        <w:rPr>
          <w:sz w:val="20"/>
        </w:rPr>
        <w:t xml:space="preserve"> </w:t>
      </w:r>
      <w:r w:rsidR="004761DD">
        <w:rPr>
          <w:sz w:val="20"/>
        </w:rPr>
        <w:t>Záruční bankou</w:t>
      </w:r>
      <w:r w:rsidRPr="001E730C">
        <w:rPr>
          <w:sz w:val="20"/>
        </w:rPr>
        <w:t xml:space="preserve">. Při řízení </w:t>
      </w:r>
      <w:r w:rsidR="004761DD">
        <w:rPr>
          <w:sz w:val="20"/>
        </w:rPr>
        <w:t xml:space="preserve">Úvěrového </w:t>
      </w:r>
      <w:r w:rsidRPr="001E730C">
        <w:rPr>
          <w:sz w:val="20"/>
        </w:rPr>
        <w:t>fondu</w:t>
      </w:r>
      <w:r w:rsidR="004761DD">
        <w:rPr>
          <w:sz w:val="20"/>
        </w:rPr>
        <w:t xml:space="preserve"> SP 2019</w:t>
      </w:r>
      <w:r w:rsidRPr="001E730C">
        <w:rPr>
          <w:sz w:val="20"/>
        </w:rPr>
        <w:t xml:space="preserve"> bude</w:t>
      </w:r>
      <w:r w:rsidR="004761DD">
        <w:rPr>
          <w:sz w:val="20"/>
        </w:rPr>
        <w:t xml:space="preserve"> Záruční banka </w:t>
      </w:r>
      <w:r w:rsidRPr="001E730C">
        <w:rPr>
          <w:sz w:val="20"/>
        </w:rPr>
        <w:t>převážně využívat zaměstnance, kteří mají zkušenost s řízením úvěrového fondu v rámci OPPP</w:t>
      </w:r>
      <w:r w:rsidR="0072267C" w:rsidRPr="001E730C">
        <w:rPr>
          <w:sz w:val="20"/>
        </w:rPr>
        <w:t xml:space="preserve">, </w:t>
      </w:r>
      <w:r w:rsidR="006E08D4" w:rsidRPr="001E730C">
        <w:rPr>
          <w:sz w:val="20"/>
        </w:rPr>
        <w:t>OPPI</w:t>
      </w:r>
      <w:r w:rsidR="00E1383A">
        <w:rPr>
          <w:sz w:val="20"/>
        </w:rPr>
        <w:t>,</w:t>
      </w:r>
      <w:r w:rsidR="0072267C" w:rsidRPr="001E730C">
        <w:rPr>
          <w:sz w:val="20"/>
        </w:rPr>
        <w:t xml:space="preserve"> OPPIK</w:t>
      </w:r>
      <w:r w:rsidR="00E1383A">
        <w:rPr>
          <w:sz w:val="20"/>
        </w:rPr>
        <w:t xml:space="preserve"> a OPPPR</w:t>
      </w:r>
      <w:r w:rsidRPr="001E730C">
        <w:rPr>
          <w:sz w:val="20"/>
        </w:rPr>
        <w:t>.</w:t>
      </w:r>
    </w:p>
    <w:p w14:paraId="2C1F4068" w14:textId="17345ED7" w:rsidR="008F0675" w:rsidRPr="001E730C" w:rsidRDefault="008F0675" w:rsidP="00D00642">
      <w:pPr>
        <w:spacing w:before="120"/>
        <w:rPr>
          <w:sz w:val="20"/>
        </w:rPr>
      </w:pPr>
      <w:r w:rsidRPr="001E730C">
        <w:rPr>
          <w:sz w:val="20"/>
        </w:rPr>
        <w:t xml:space="preserve">Obecná způsobilost, profesionalita a nezávislost k vedení a řízení </w:t>
      </w:r>
      <w:r w:rsidR="004761DD">
        <w:rPr>
          <w:sz w:val="20"/>
        </w:rPr>
        <w:t>Ú</w:t>
      </w:r>
      <w:r w:rsidRPr="001E730C">
        <w:rPr>
          <w:sz w:val="20"/>
        </w:rPr>
        <w:t xml:space="preserve">věrového fondu </w:t>
      </w:r>
      <w:r w:rsidR="004761DD">
        <w:rPr>
          <w:sz w:val="20"/>
        </w:rPr>
        <w:t xml:space="preserve">SP 2019 </w:t>
      </w:r>
      <w:r w:rsidRPr="001E730C">
        <w:rPr>
          <w:sz w:val="20"/>
        </w:rPr>
        <w:t>je dána postavením</w:t>
      </w:r>
      <w:r w:rsidR="004761DD">
        <w:rPr>
          <w:sz w:val="20"/>
        </w:rPr>
        <w:t xml:space="preserve"> Záruční banky </w:t>
      </w:r>
      <w:r w:rsidRPr="001E730C">
        <w:rPr>
          <w:sz w:val="20"/>
        </w:rPr>
        <w:t xml:space="preserve">jako banky a s tím souvisejícím dohledem regulátora, tj. České národní banky (dále jen „ČNB“) ve smyslu zákona č. 21/1992 </w:t>
      </w:r>
      <w:r w:rsidR="00465A4F" w:rsidRPr="001E730C">
        <w:rPr>
          <w:sz w:val="20"/>
        </w:rPr>
        <w:t>Sb., o bankách v platném znění.</w:t>
      </w:r>
    </w:p>
    <w:p w14:paraId="45F6B025" w14:textId="79A76414" w:rsidR="008F0675" w:rsidRPr="001E730C" w:rsidRDefault="008F0675" w:rsidP="00D00642">
      <w:pPr>
        <w:spacing w:before="120"/>
        <w:rPr>
          <w:rFonts w:cs="Arial"/>
          <w:sz w:val="20"/>
        </w:rPr>
      </w:pPr>
      <w:r w:rsidRPr="001E730C">
        <w:rPr>
          <w:sz w:val="20"/>
        </w:rPr>
        <w:t xml:space="preserve">O poskytování </w:t>
      </w:r>
      <w:r w:rsidR="004761DD">
        <w:rPr>
          <w:sz w:val="20"/>
        </w:rPr>
        <w:t xml:space="preserve">Zvýhodněných </w:t>
      </w:r>
      <w:r w:rsidRPr="001E730C">
        <w:rPr>
          <w:sz w:val="20"/>
        </w:rPr>
        <w:t>úvěrů bude</w:t>
      </w:r>
      <w:r w:rsidR="00FD22B0">
        <w:rPr>
          <w:sz w:val="20"/>
        </w:rPr>
        <w:t xml:space="preserve"> </w:t>
      </w:r>
      <w:r w:rsidR="004761DD">
        <w:rPr>
          <w:sz w:val="20"/>
        </w:rPr>
        <w:t xml:space="preserve">Záruční banka </w:t>
      </w:r>
      <w:r w:rsidRPr="001E730C">
        <w:rPr>
          <w:sz w:val="20"/>
        </w:rPr>
        <w:t xml:space="preserve">rozhodovat nezávisle. Výběr podpořených projektů bude prováděn na základě výběrových kritérií </w:t>
      </w:r>
      <w:r w:rsidR="006E08D4" w:rsidRPr="001E730C">
        <w:rPr>
          <w:sz w:val="20"/>
        </w:rPr>
        <w:t>Výzev</w:t>
      </w:r>
      <w:r w:rsidRPr="001E730C">
        <w:rPr>
          <w:sz w:val="20"/>
        </w:rPr>
        <w:t xml:space="preserve">. </w:t>
      </w:r>
      <w:r w:rsidRPr="001E730C">
        <w:rPr>
          <w:rFonts w:cs="Arial"/>
          <w:sz w:val="20"/>
        </w:rPr>
        <w:t xml:space="preserve">Při poskytování </w:t>
      </w:r>
      <w:r w:rsidR="004761DD">
        <w:rPr>
          <w:rFonts w:cs="Arial"/>
          <w:sz w:val="20"/>
        </w:rPr>
        <w:t xml:space="preserve">Zvýhodněných </w:t>
      </w:r>
      <w:r w:rsidRPr="001E730C">
        <w:rPr>
          <w:rFonts w:cs="Arial"/>
          <w:sz w:val="20"/>
        </w:rPr>
        <w:t>úvěrů bude</w:t>
      </w:r>
      <w:r w:rsidR="004761DD">
        <w:rPr>
          <w:rFonts w:cs="Arial"/>
          <w:sz w:val="20"/>
        </w:rPr>
        <w:t xml:space="preserve"> Záruční banka </w:t>
      </w:r>
      <w:r w:rsidRPr="001E730C">
        <w:rPr>
          <w:rFonts w:cs="Arial"/>
          <w:sz w:val="20"/>
        </w:rPr>
        <w:t>postupovat podle standardizovaných bankovních procedur podléhajících pravidlům ČNB.</w:t>
      </w:r>
    </w:p>
    <w:p w14:paraId="23D05788" w14:textId="77777777" w:rsidR="008F0675" w:rsidRPr="001E730C" w:rsidRDefault="008F0675" w:rsidP="00D00642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</w:rPr>
      </w:pPr>
      <w:r w:rsidRPr="001E730C">
        <w:rPr>
          <w:rFonts w:cs="Arial"/>
          <w:b/>
          <w:szCs w:val="22"/>
        </w:rPr>
        <w:t xml:space="preserve">Pravidla pro ukončení činnosti Úvěrového fondu </w:t>
      </w:r>
      <w:r w:rsidR="00E1383A">
        <w:rPr>
          <w:rFonts w:cs="Arial"/>
          <w:b/>
          <w:szCs w:val="22"/>
        </w:rPr>
        <w:t>SP</w:t>
      </w:r>
      <w:r w:rsidR="001E730C" w:rsidRPr="001E730C">
        <w:rPr>
          <w:rFonts w:cs="Arial"/>
          <w:b/>
          <w:szCs w:val="22"/>
        </w:rPr>
        <w:t xml:space="preserve"> </w:t>
      </w:r>
      <w:r w:rsidR="0072267C" w:rsidRPr="001E730C">
        <w:rPr>
          <w:rFonts w:cs="Arial"/>
          <w:b/>
          <w:szCs w:val="22"/>
        </w:rPr>
        <w:t>201</w:t>
      </w:r>
      <w:r w:rsidR="00E1383A">
        <w:rPr>
          <w:rFonts w:cs="Arial"/>
          <w:b/>
          <w:szCs w:val="22"/>
        </w:rPr>
        <w:t>9</w:t>
      </w:r>
      <w:r w:rsidR="0028223B" w:rsidRPr="001E730C">
        <w:rPr>
          <w:rFonts w:cs="Arial"/>
          <w:b/>
          <w:szCs w:val="22"/>
        </w:rPr>
        <w:t xml:space="preserve"> a</w:t>
      </w:r>
      <w:r w:rsidRPr="001E730C">
        <w:rPr>
          <w:rFonts w:cs="Arial"/>
          <w:b/>
          <w:szCs w:val="22"/>
        </w:rPr>
        <w:t xml:space="preserve"> opětovné využití zdrojů, které se Úvěrovému fondu </w:t>
      </w:r>
      <w:r w:rsidR="00E1383A">
        <w:rPr>
          <w:rFonts w:cs="Arial"/>
          <w:b/>
          <w:szCs w:val="22"/>
        </w:rPr>
        <w:t>SP</w:t>
      </w:r>
      <w:r w:rsidR="001E730C" w:rsidRPr="001E730C">
        <w:rPr>
          <w:rFonts w:cs="Arial"/>
          <w:b/>
          <w:szCs w:val="22"/>
        </w:rPr>
        <w:t xml:space="preserve"> </w:t>
      </w:r>
      <w:r w:rsidR="00E1383A">
        <w:rPr>
          <w:rFonts w:cs="Arial"/>
          <w:b/>
          <w:szCs w:val="22"/>
        </w:rPr>
        <w:t>2019</w:t>
      </w:r>
      <w:r w:rsidRPr="001E730C">
        <w:rPr>
          <w:rFonts w:cs="Arial"/>
          <w:b/>
          <w:szCs w:val="22"/>
        </w:rPr>
        <w:t xml:space="preserve"> vrátily z</w:t>
      </w:r>
      <w:r w:rsidR="0028223B" w:rsidRPr="001E730C">
        <w:rPr>
          <w:rFonts w:cs="Arial"/>
          <w:b/>
          <w:szCs w:val="22"/>
        </w:rPr>
        <w:t xml:space="preserve"> úvěrů </w:t>
      </w:r>
    </w:p>
    <w:p w14:paraId="0ABAB8F4" w14:textId="77777777" w:rsidR="008F0675" w:rsidRPr="001E730C" w:rsidRDefault="008F0675" w:rsidP="00D00642">
      <w:pPr>
        <w:spacing w:before="120"/>
        <w:rPr>
          <w:rFonts w:cs="Arial"/>
          <w:sz w:val="20"/>
        </w:rPr>
      </w:pPr>
      <w:r w:rsidRPr="001E730C">
        <w:rPr>
          <w:rFonts w:cs="Arial"/>
          <w:sz w:val="20"/>
        </w:rPr>
        <w:t xml:space="preserve">Činnost Úvěrového fondu </w:t>
      </w:r>
      <w:r w:rsidR="00E1383A">
        <w:rPr>
          <w:rFonts w:cs="Arial"/>
          <w:sz w:val="20"/>
        </w:rPr>
        <w:t>SP</w:t>
      </w:r>
      <w:r w:rsidR="00AA1CA8" w:rsidRPr="001E730C">
        <w:rPr>
          <w:rFonts w:cs="Arial"/>
          <w:sz w:val="20"/>
        </w:rPr>
        <w:t xml:space="preserve"> </w:t>
      </w:r>
      <w:r w:rsidR="00AB5045" w:rsidRPr="001E730C">
        <w:rPr>
          <w:rFonts w:cs="Arial"/>
          <w:sz w:val="20"/>
        </w:rPr>
        <w:t>201</w:t>
      </w:r>
      <w:r w:rsidR="00E1383A">
        <w:rPr>
          <w:rFonts w:cs="Arial"/>
          <w:sz w:val="20"/>
        </w:rPr>
        <w:t>9</w:t>
      </w:r>
      <w:r w:rsidR="006E08D4" w:rsidRPr="001E730C">
        <w:rPr>
          <w:rFonts w:cs="Arial"/>
          <w:sz w:val="20"/>
        </w:rPr>
        <w:t xml:space="preserve"> </w:t>
      </w:r>
      <w:r w:rsidRPr="001E730C">
        <w:rPr>
          <w:rFonts w:cs="Arial"/>
          <w:sz w:val="20"/>
        </w:rPr>
        <w:t>bude ukončena jeho vypořádáním podle principů stanovených v Dohodě.</w:t>
      </w:r>
    </w:p>
    <w:p w14:paraId="38561320" w14:textId="25B7544B" w:rsidR="008F0675" w:rsidRPr="001E730C" w:rsidRDefault="00AB5045" w:rsidP="00D00642">
      <w:pPr>
        <w:spacing w:before="120"/>
        <w:rPr>
          <w:rFonts w:cs="Arial"/>
          <w:sz w:val="20"/>
        </w:rPr>
      </w:pPr>
      <w:r w:rsidRPr="001E730C">
        <w:rPr>
          <w:rFonts w:cs="Arial"/>
          <w:sz w:val="20"/>
        </w:rPr>
        <w:t>M</w:t>
      </w:r>
      <w:r w:rsidR="00E1383A">
        <w:rPr>
          <w:rFonts w:cs="Arial"/>
          <w:sz w:val="20"/>
        </w:rPr>
        <w:t xml:space="preserve">inisterstvo </w:t>
      </w:r>
      <w:r w:rsidR="008F0675" w:rsidRPr="001E730C">
        <w:rPr>
          <w:rFonts w:cs="Arial"/>
          <w:sz w:val="20"/>
        </w:rPr>
        <w:t xml:space="preserve">rozhodne o dalším použití prostředků na </w:t>
      </w:r>
      <w:r w:rsidR="004761DD">
        <w:rPr>
          <w:rFonts w:cs="Arial"/>
          <w:sz w:val="20"/>
        </w:rPr>
        <w:t>Ú</w:t>
      </w:r>
      <w:r w:rsidR="008F0675" w:rsidRPr="001E730C">
        <w:rPr>
          <w:rFonts w:cs="Arial"/>
          <w:sz w:val="20"/>
        </w:rPr>
        <w:t xml:space="preserve">čtu vytvořených prostředků </w:t>
      </w:r>
      <w:r w:rsidR="00E1383A">
        <w:rPr>
          <w:rFonts w:cs="Arial"/>
          <w:sz w:val="20"/>
        </w:rPr>
        <w:t>SP</w:t>
      </w:r>
      <w:r w:rsidR="001E730C" w:rsidRPr="001E730C">
        <w:rPr>
          <w:rFonts w:cs="Arial"/>
          <w:sz w:val="20"/>
        </w:rPr>
        <w:t xml:space="preserve"> </w:t>
      </w:r>
      <w:r w:rsidR="00EE1747" w:rsidRPr="001E730C">
        <w:rPr>
          <w:rFonts w:cs="Arial"/>
          <w:sz w:val="20"/>
        </w:rPr>
        <w:t>201</w:t>
      </w:r>
      <w:r w:rsidR="00E1383A">
        <w:rPr>
          <w:rFonts w:cs="Arial"/>
          <w:sz w:val="20"/>
        </w:rPr>
        <w:t>9</w:t>
      </w:r>
      <w:r w:rsidR="00EE1747" w:rsidRPr="001E730C">
        <w:rPr>
          <w:rFonts w:cs="Arial"/>
          <w:sz w:val="20"/>
        </w:rPr>
        <w:t xml:space="preserve"> </w:t>
      </w:r>
      <w:r w:rsidR="008F0675" w:rsidRPr="001E730C">
        <w:rPr>
          <w:rFonts w:cs="Arial"/>
          <w:sz w:val="20"/>
        </w:rPr>
        <w:t>(VPI</w:t>
      </w:r>
      <w:r w:rsidR="00EE1747" w:rsidRPr="001E730C">
        <w:rPr>
          <w:rFonts w:cs="Arial"/>
          <w:sz w:val="20"/>
        </w:rPr>
        <w:t>N</w:t>
      </w:r>
      <w:r w:rsidR="008F0675" w:rsidRPr="001E730C">
        <w:rPr>
          <w:rFonts w:cs="Arial"/>
          <w:sz w:val="20"/>
        </w:rPr>
        <w:t>/4300)</w:t>
      </w:r>
      <w:r w:rsidR="00BE6705" w:rsidRPr="001E730C">
        <w:rPr>
          <w:rFonts w:cs="Arial"/>
          <w:sz w:val="20"/>
        </w:rPr>
        <w:t>, které začnou být vytvářeny počínaje 1.</w:t>
      </w:r>
      <w:r w:rsidR="0081559B" w:rsidRPr="001E730C">
        <w:rPr>
          <w:rFonts w:cs="Arial"/>
          <w:sz w:val="20"/>
        </w:rPr>
        <w:t xml:space="preserve"> </w:t>
      </w:r>
      <w:r w:rsidR="00BE6705" w:rsidRPr="001E730C">
        <w:rPr>
          <w:rFonts w:cs="Arial"/>
          <w:sz w:val="20"/>
        </w:rPr>
        <w:t xml:space="preserve">1. 2024 </w:t>
      </w:r>
      <w:r w:rsidR="008F0675" w:rsidRPr="001E730C">
        <w:rPr>
          <w:rFonts w:cs="Arial"/>
          <w:sz w:val="20"/>
        </w:rPr>
        <w:t xml:space="preserve">v souladu s ustanovením čl. </w:t>
      </w:r>
      <w:r w:rsidR="00BE6705" w:rsidRPr="001E730C">
        <w:rPr>
          <w:rFonts w:cs="Arial"/>
          <w:sz w:val="20"/>
        </w:rPr>
        <w:t>45</w:t>
      </w:r>
      <w:r w:rsidR="008F0675" w:rsidRPr="001E730C">
        <w:rPr>
          <w:rFonts w:cs="Arial"/>
          <w:sz w:val="20"/>
        </w:rPr>
        <w:t xml:space="preserve"> Obecného nařízení za účelem </w:t>
      </w:r>
      <w:r w:rsidR="004761DD">
        <w:rPr>
          <w:rFonts w:cs="Arial"/>
          <w:sz w:val="20"/>
        </w:rPr>
        <w:t xml:space="preserve">sociálních </w:t>
      </w:r>
      <w:r w:rsidR="008F0675" w:rsidRPr="001E730C">
        <w:rPr>
          <w:rFonts w:cs="Arial"/>
          <w:sz w:val="20"/>
        </w:rPr>
        <w:t>podnik</w:t>
      </w:r>
      <w:r w:rsidR="008052A4" w:rsidRPr="001E730C">
        <w:rPr>
          <w:rFonts w:cs="Arial"/>
          <w:sz w:val="20"/>
        </w:rPr>
        <w:t>atelů</w:t>
      </w:r>
      <w:r w:rsidR="008F0675" w:rsidRPr="001E730C">
        <w:rPr>
          <w:rFonts w:cs="Arial"/>
          <w:sz w:val="20"/>
        </w:rPr>
        <w:t xml:space="preserve"> v rámci národních programů. </w:t>
      </w:r>
    </w:p>
    <w:p w14:paraId="59288C17" w14:textId="77777777" w:rsidR="008F0675" w:rsidRPr="001E730C" w:rsidRDefault="008F0675" w:rsidP="00D00642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</w:rPr>
      </w:pPr>
      <w:r w:rsidRPr="001E730C">
        <w:rPr>
          <w:rFonts w:cs="Arial"/>
          <w:b/>
          <w:szCs w:val="22"/>
        </w:rPr>
        <w:t>Doprovodn</w:t>
      </w:r>
      <w:r w:rsidR="007A0516" w:rsidRPr="001E730C">
        <w:rPr>
          <w:rFonts w:cs="Arial"/>
          <w:b/>
          <w:szCs w:val="22"/>
        </w:rPr>
        <w:t>ý</w:t>
      </w:r>
      <w:r w:rsidRPr="001E730C">
        <w:rPr>
          <w:rFonts w:cs="Arial"/>
          <w:b/>
          <w:szCs w:val="22"/>
        </w:rPr>
        <w:t xml:space="preserve"> komentář k Obchodnímu plánu</w:t>
      </w:r>
    </w:p>
    <w:p w14:paraId="3EC79FDB" w14:textId="052992FF" w:rsidR="007A0516" w:rsidRPr="00465A4F" w:rsidRDefault="008F0675" w:rsidP="00886731">
      <w:pPr>
        <w:spacing w:before="120"/>
        <w:rPr>
          <w:rStyle w:val="normlnChar"/>
          <w:sz w:val="20"/>
        </w:rPr>
      </w:pPr>
      <w:r w:rsidRPr="001E730C">
        <w:rPr>
          <w:rStyle w:val="normlnChar"/>
          <w:sz w:val="20"/>
        </w:rPr>
        <w:t>Obchodní plán vychází z</w:t>
      </w:r>
      <w:r w:rsidR="007A0516" w:rsidRPr="001E730C">
        <w:rPr>
          <w:rStyle w:val="normlnChar"/>
          <w:sz w:val="20"/>
        </w:rPr>
        <w:t> částečně zjednodušených předpokladů.</w:t>
      </w:r>
      <w:r w:rsidRPr="001E730C">
        <w:rPr>
          <w:rStyle w:val="normlnChar"/>
          <w:sz w:val="20"/>
        </w:rPr>
        <w:t xml:space="preserve"> </w:t>
      </w:r>
      <w:r w:rsidR="007A0516" w:rsidRPr="001E730C">
        <w:rPr>
          <w:rStyle w:val="normlnChar"/>
          <w:sz w:val="20"/>
        </w:rPr>
        <w:t>N</w:t>
      </w:r>
      <w:r w:rsidRPr="001E730C">
        <w:rPr>
          <w:rStyle w:val="normlnChar"/>
          <w:sz w:val="20"/>
        </w:rPr>
        <w:t xml:space="preserve">egarantuje </w:t>
      </w:r>
      <w:r w:rsidR="007A0516" w:rsidRPr="001E730C">
        <w:rPr>
          <w:rStyle w:val="normlnChar"/>
          <w:sz w:val="20"/>
        </w:rPr>
        <w:t>sám o sobě</w:t>
      </w:r>
      <w:r w:rsidRPr="001E730C">
        <w:rPr>
          <w:rStyle w:val="normlnChar"/>
          <w:sz w:val="20"/>
        </w:rPr>
        <w:t xml:space="preserve"> dosažení</w:t>
      </w:r>
      <w:r w:rsidR="007A0516" w:rsidRPr="001E730C">
        <w:rPr>
          <w:rStyle w:val="normlnChar"/>
          <w:sz w:val="20"/>
        </w:rPr>
        <w:t xml:space="preserve"> v něm uvedených výsledků a skutečný vývoj se v případě </w:t>
      </w:r>
      <w:r w:rsidRPr="001E730C">
        <w:rPr>
          <w:rStyle w:val="normlnChar"/>
          <w:sz w:val="20"/>
        </w:rPr>
        <w:t>změn vnějších podmínek</w:t>
      </w:r>
      <w:r w:rsidR="007A0516" w:rsidRPr="001E730C">
        <w:rPr>
          <w:rStyle w:val="normlnChar"/>
          <w:sz w:val="20"/>
        </w:rPr>
        <w:t xml:space="preserve"> může odchýlit od v </w:t>
      </w:r>
      <w:r w:rsidR="004761DD">
        <w:rPr>
          <w:rStyle w:val="normlnChar"/>
          <w:sz w:val="20"/>
        </w:rPr>
        <w:t>O</w:t>
      </w:r>
      <w:r w:rsidR="007A0516" w:rsidRPr="001E730C">
        <w:rPr>
          <w:rStyle w:val="normlnChar"/>
          <w:sz w:val="20"/>
        </w:rPr>
        <w:t>bchodním plánu uvedených hodnot</w:t>
      </w:r>
      <w:r w:rsidRPr="001E730C">
        <w:rPr>
          <w:rStyle w:val="normlnChar"/>
          <w:sz w:val="20"/>
        </w:rPr>
        <w:t>.</w:t>
      </w:r>
    </w:p>
    <w:sectPr w:rsidR="007A0516" w:rsidRPr="00465A4F" w:rsidSect="0040325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304" w:right="1304" w:bottom="1304" w:left="1304" w:header="1077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7795C" w14:textId="77777777" w:rsidR="00AE4072" w:rsidRDefault="00AE4072">
      <w:r>
        <w:separator/>
      </w:r>
    </w:p>
  </w:endnote>
  <w:endnote w:type="continuationSeparator" w:id="0">
    <w:p w14:paraId="7CCEC518" w14:textId="77777777" w:rsidR="00AE4072" w:rsidRDefault="00AE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38024" w14:textId="77777777" w:rsidR="00677BA1" w:rsidRDefault="009773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77BA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557CEA7" w14:textId="77777777" w:rsidR="00677BA1" w:rsidRDefault="00677B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4CF6D" w14:textId="5013D5DD" w:rsidR="00677BA1" w:rsidRDefault="009773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77BA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2165A">
      <w:rPr>
        <w:rStyle w:val="slostrnky"/>
        <w:noProof/>
      </w:rPr>
      <w:t>1</w:t>
    </w:r>
    <w:r>
      <w:rPr>
        <w:rStyle w:val="slostrnky"/>
      </w:rPr>
      <w:fldChar w:fldCharType="end"/>
    </w:r>
  </w:p>
  <w:p w14:paraId="225658C6" w14:textId="77777777" w:rsidR="00677BA1" w:rsidRDefault="00677B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6" w:type="pct"/>
      <w:tblInd w:w="70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074"/>
      <w:gridCol w:w="3022"/>
      <w:gridCol w:w="3260"/>
    </w:tblGrid>
    <w:tr w:rsidR="00677BA1" w14:paraId="6B8D60F1" w14:textId="77777777">
      <w:trPr>
        <w:trHeight w:val="227"/>
      </w:trPr>
      <w:tc>
        <w:tcPr>
          <w:tcW w:w="1643" w:type="pct"/>
          <w:tcBorders>
            <w:top w:val="single" w:sz="4" w:space="0" w:color="auto"/>
          </w:tcBorders>
          <w:vAlign w:val="bottom"/>
        </w:tcPr>
        <w:p w14:paraId="74379FC2" w14:textId="77777777" w:rsidR="00677BA1" w:rsidRDefault="00677BA1">
          <w:pPr>
            <w:pStyle w:val="Zpat"/>
          </w:pPr>
        </w:p>
      </w:tc>
      <w:tc>
        <w:tcPr>
          <w:tcW w:w="1615" w:type="pct"/>
          <w:tcBorders>
            <w:top w:val="single" w:sz="4" w:space="0" w:color="auto"/>
          </w:tcBorders>
          <w:vAlign w:val="bottom"/>
        </w:tcPr>
        <w:p w14:paraId="14F8D143" w14:textId="77777777" w:rsidR="00677BA1" w:rsidRDefault="00677BA1">
          <w:pPr>
            <w:pStyle w:val="Zpat"/>
          </w:pPr>
        </w:p>
      </w:tc>
      <w:tc>
        <w:tcPr>
          <w:tcW w:w="1742" w:type="pct"/>
          <w:tcBorders>
            <w:top w:val="single" w:sz="4" w:space="0" w:color="auto"/>
          </w:tcBorders>
          <w:vAlign w:val="bottom"/>
        </w:tcPr>
        <w:p w14:paraId="2880AD84" w14:textId="77777777" w:rsidR="00677BA1" w:rsidRDefault="00677BA1">
          <w:pPr>
            <w:pStyle w:val="Zpat"/>
          </w:pPr>
        </w:p>
      </w:tc>
    </w:tr>
    <w:tr w:rsidR="00677BA1" w14:paraId="21A16705" w14:textId="77777777">
      <w:tc>
        <w:tcPr>
          <w:tcW w:w="1643" w:type="pct"/>
        </w:tcPr>
        <w:p w14:paraId="29CCDC09" w14:textId="77777777" w:rsidR="00677BA1" w:rsidRDefault="00677BA1">
          <w:pPr>
            <w:pStyle w:val="Zpat"/>
          </w:pPr>
        </w:p>
      </w:tc>
      <w:tc>
        <w:tcPr>
          <w:tcW w:w="1615" w:type="pct"/>
        </w:tcPr>
        <w:p w14:paraId="3322210F" w14:textId="77777777" w:rsidR="00677BA1" w:rsidRDefault="00677BA1">
          <w:pPr>
            <w:pStyle w:val="Zpat"/>
          </w:pPr>
        </w:p>
      </w:tc>
      <w:tc>
        <w:tcPr>
          <w:tcW w:w="1742" w:type="pct"/>
        </w:tcPr>
        <w:p w14:paraId="3F5B037B" w14:textId="77777777" w:rsidR="00677BA1" w:rsidRDefault="00677BA1">
          <w:pPr>
            <w:pStyle w:val="Zpat"/>
          </w:pPr>
        </w:p>
      </w:tc>
    </w:tr>
  </w:tbl>
  <w:p w14:paraId="47F9DC6B" w14:textId="77777777" w:rsidR="00677BA1" w:rsidRDefault="00677B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5C642" w14:textId="77777777" w:rsidR="00AE4072" w:rsidRDefault="00AE4072">
      <w:r>
        <w:separator/>
      </w:r>
    </w:p>
  </w:footnote>
  <w:footnote w:type="continuationSeparator" w:id="0">
    <w:p w14:paraId="50CF449C" w14:textId="77777777" w:rsidR="00AE4072" w:rsidRDefault="00AE4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A395" w14:textId="7058CADF" w:rsidR="00886731" w:rsidRDefault="00886731" w:rsidP="00886731">
    <w:pPr>
      <w:pStyle w:val="Zhlav"/>
      <w:tabs>
        <w:tab w:val="clear" w:pos="4536"/>
      </w:tabs>
      <w:ind w:left="4536"/>
      <w:jc w:val="left"/>
    </w:pPr>
    <w:r>
      <w:rPr>
        <w:sz w:val="18"/>
        <w:szCs w:val="18"/>
      </w:rPr>
      <w:t>Příloha č. 3</w:t>
    </w:r>
    <w:r>
      <w:rPr>
        <w:sz w:val="18"/>
        <w:szCs w:val="18"/>
      </w:rPr>
      <w:br/>
      <w:t>k Dohodě o vytvoření a správě Úvěrového fondu SP 2019</w:t>
    </w:r>
  </w:p>
  <w:p w14:paraId="510A1D1A" w14:textId="6676E69A" w:rsidR="00886731" w:rsidRDefault="00886731">
    <w:pPr>
      <w:pStyle w:val="Zhlav"/>
    </w:pPr>
  </w:p>
  <w:p w14:paraId="77BEDE52" w14:textId="77777777" w:rsidR="0002329B" w:rsidRDefault="000232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92AEB" w14:textId="77777777" w:rsidR="00677BA1" w:rsidRPr="008E6DCF" w:rsidRDefault="00677BA1" w:rsidP="008E6DCF">
    <w:pPr>
      <w:pStyle w:val="Zhlav"/>
      <w:tabs>
        <w:tab w:val="clear" w:pos="4536"/>
        <w:tab w:val="clear" w:pos="9072"/>
      </w:tabs>
      <w:rPr>
        <w:sz w:val="22"/>
      </w:rPr>
    </w:pPr>
    <w:r w:rsidRPr="008E6DCF">
      <w:rPr>
        <w:sz w:val="22"/>
      </w:rPr>
      <w:t xml:space="preserve">Příloha č. 3 </w:t>
    </w:r>
    <w:r w:rsidR="00DA4A40" w:rsidRPr="008E6DCF">
      <w:rPr>
        <w:sz w:val="22"/>
      </w:rPr>
      <w:t>k</w:t>
    </w:r>
    <w:r w:rsidRPr="008E6DCF">
      <w:rPr>
        <w:sz w:val="22"/>
      </w:rPr>
      <w:t xml:space="preserve"> Dohodě o vytvoření a správě Úvěrového fondu </w:t>
    </w:r>
    <w:r w:rsidR="0021133F" w:rsidRPr="008E6DCF">
      <w:rPr>
        <w:sz w:val="22"/>
      </w:rPr>
      <w:t>IN</w:t>
    </w:r>
    <w:r w:rsidR="00AA1CA8" w:rsidRPr="008E6DCF">
      <w:rPr>
        <w:sz w:val="22"/>
      </w:rPr>
      <w:t xml:space="preserve">FIN </w:t>
    </w:r>
    <w:r w:rsidR="0021133F" w:rsidRPr="008E6DCF">
      <w:rPr>
        <w:sz w:val="22"/>
      </w:rPr>
      <w:t>2018</w:t>
    </w:r>
  </w:p>
  <w:p w14:paraId="37A03DA2" w14:textId="77777777" w:rsidR="00677BA1" w:rsidRDefault="00677B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00A1"/>
    <w:multiLevelType w:val="hybridMultilevel"/>
    <w:tmpl w:val="24124D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F0E"/>
    <w:multiLevelType w:val="hybridMultilevel"/>
    <w:tmpl w:val="34C246E0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471C2C"/>
    <w:multiLevelType w:val="hybridMultilevel"/>
    <w:tmpl w:val="087863F8"/>
    <w:lvl w:ilvl="0" w:tplc="B73E689E">
      <w:start w:val="1"/>
      <w:numFmt w:val="none"/>
      <w:lvlText w:val="I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B4FF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F4E73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80811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5221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4CEC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7DA1F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1A530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B2E4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C74BD6"/>
    <w:multiLevelType w:val="hybridMultilevel"/>
    <w:tmpl w:val="25FCB032"/>
    <w:lvl w:ilvl="0" w:tplc="1C9AA5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94A87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246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56A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E5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41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D25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EC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1E0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74CE9"/>
    <w:multiLevelType w:val="hybridMultilevel"/>
    <w:tmpl w:val="A70C1670"/>
    <w:lvl w:ilvl="0" w:tplc="04050019">
      <w:start w:val="1"/>
      <w:numFmt w:val="lowerLetter"/>
      <w:lvlText w:val="%1."/>
      <w:lvlJc w:val="left"/>
      <w:pPr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3D6341B"/>
    <w:multiLevelType w:val="hybridMultilevel"/>
    <w:tmpl w:val="4C2A4040"/>
    <w:lvl w:ilvl="0" w:tplc="A5E261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048C4"/>
    <w:multiLevelType w:val="hybridMultilevel"/>
    <w:tmpl w:val="104A3B72"/>
    <w:lvl w:ilvl="0" w:tplc="EBBAEF6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)"/>
      <w:lvlJc w:val="left"/>
      <w:pPr>
        <w:tabs>
          <w:tab w:val="num" w:pos="2345"/>
        </w:tabs>
        <w:ind w:left="2345" w:hanging="360"/>
      </w:pPr>
      <w:rPr>
        <w:rFonts w:hint="default"/>
        <w:b w:val="0"/>
        <w:i w:val="0"/>
        <w:u w:val="none"/>
      </w:rPr>
    </w:lvl>
    <w:lvl w:ilvl="2" w:tplc="0405001B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C62B5B"/>
    <w:multiLevelType w:val="hybridMultilevel"/>
    <w:tmpl w:val="D4FEBBA6"/>
    <w:lvl w:ilvl="0" w:tplc="58AC47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D9CE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C85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47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874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803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86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88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6C8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82D0D"/>
    <w:multiLevelType w:val="hybridMultilevel"/>
    <w:tmpl w:val="100E53CC"/>
    <w:lvl w:ilvl="0" w:tplc="E020BB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C7985"/>
    <w:multiLevelType w:val="hybridMultilevel"/>
    <w:tmpl w:val="65B89BFC"/>
    <w:lvl w:ilvl="0" w:tplc="A5E26156">
      <w:start w:val="1"/>
      <w:numFmt w:val="none"/>
      <w:lvlText w:val="(A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0A5FCF"/>
    <w:multiLevelType w:val="hybridMultilevel"/>
    <w:tmpl w:val="D0701636"/>
    <w:lvl w:ilvl="0" w:tplc="27A2F1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23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2A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5AC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325911"/>
    <w:multiLevelType w:val="hybridMultilevel"/>
    <w:tmpl w:val="7988BA3C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4117DF"/>
    <w:multiLevelType w:val="hybridMultilevel"/>
    <w:tmpl w:val="E2BCDF60"/>
    <w:lvl w:ilvl="0" w:tplc="FBF471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64630"/>
    <w:multiLevelType w:val="hybridMultilevel"/>
    <w:tmpl w:val="F4B2F4FC"/>
    <w:lvl w:ilvl="0" w:tplc="C264F4E4">
      <w:start w:val="1"/>
      <w:numFmt w:val="none"/>
      <w:lvlText w:val="(A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 w:hint="default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96624"/>
    <w:multiLevelType w:val="hybridMultilevel"/>
    <w:tmpl w:val="090EE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53369"/>
    <w:multiLevelType w:val="hybridMultilevel"/>
    <w:tmpl w:val="06EAB748"/>
    <w:lvl w:ilvl="0" w:tplc="0409000B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u w:val="none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EB5A5D"/>
    <w:multiLevelType w:val="hybridMultilevel"/>
    <w:tmpl w:val="FC0E53FC"/>
    <w:lvl w:ilvl="0" w:tplc="32EAA400">
      <w:start w:val="1"/>
      <w:numFmt w:val="upperRoman"/>
      <w:lvlText w:val="I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0A37742"/>
    <w:multiLevelType w:val="hybridMultilevel"/>
    <w:tmpl w:val="DE9212EA"/>
    <w:lvl w:ilvl="0" w:tplc="04090017">
      <w:start w:val="1"/>
      <w:numFmt w:val="upperRoman"/>
      <w:lvlText w:val="I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1D0C54"/>
    <w:multiLevelType w:val="multilevel"/>
    <w:tmpl w:val="087863F8"/>
    <w:lvl w:ilvl="0">
      <w:start w:val="1"/>
      <w:numFmt w:val="none"/>
      <w:lvlText w:val="I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726F1F"/>
    <w:multiLevelType w:val="hybridMultilevel"/>
    <w:tmpl w:val="856CF2E4"/>
    <w:lvl w:ilvl="0" w:tplc="FDE844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9DB7DFF"/>
    <w:multiLevelType w:val="hybridMultilevel"/>
    <w:tmpl w:val="074C69D2"/>
    <w:lvl w:ilvl="0" w:tplc="BB6A6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20B89"/>
    <w:multiLevelType w:val="hybridMultilevel"/>
    <w:tmpl w:val="5E24E2CC"/>
    <w:lvl w:ilvl="0" w:tplc="FDE844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color w:val="auto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51080"/>
    <w:multiLevelType w:val="hybridMultilevel"/>
    <w:tmpl w:val="6570CF24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17918D1"/>
    <w:multiLevelType w:val="hybridMultilevel"/>
    <w:tmpl w:val="9C84E39A"/>
    <w:lvl w:ilvl="0" w:tplc="2E363E6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9BC51EC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F380B0E"/>
    <w:multiLevelType w:val="hybridMultilevel"/>
    <w:tmpl w:val="4F0E60F4"/>
    <w:lvl w:ilvl="0" w:tplc="4900F9F6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ascii="Garamond" w:eastAsia="Times New Roman" w:hAnsi="Garamond" w:cs="Times New Roman"/>
      </w:rPr>
    </w:lvl>
    <w:lvl w:ilvl="1" w:tplc="EAC893F0">
      <w:start w:val="1"/>
      <w:numFmt w:val="lowerRoman"/>
      <w:lvlText w:val="(%2)"/>
      <w:lvlJc w:val="left"/>
      <w:pPr>
        <w:tabs>
          <w:tab w:val="num" w:pos="1620"/>
        </w:tabs>
        <w:ind w:left="1620" w:hanging="360"/>
      </w:pPr>
      <w:rPr>
        <w:rFonts w:ascii="Garamond" w:eastAsia="Times New Roman" w:hAnsi="Garamond" w:cs="Times New Roman" w:hint="default"/>
      </w:rPr>
    </w:lvl>
    <w:lvl w:ilvl="2" w:tplc="FA705B3C">
      <w:start w:val="1"/>
      <w:numFmt w:val="lowerRoman"/>
      <w:lvlText w:val="(%3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3" w:tplc="71AA226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7ACB69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35E993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2F41BE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99478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66C86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1367F1E"/>
    <w:multiLevelType w:val="hybridMultilevel"/>
    <w:tmpl w:val="8F0C69D6"/>
    <w:lvl w:ilvl="0" w:tplc="4F9430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color w:val="auto"/>
      </w:rPr>
    </w:lvl>
    <w:lvl w:ilvl="1" w:tplc="04090003">
      <w:start w:val="5"/>
      <w:numFmt w:val="bullet"/>
      <w:lvlText w:val="-"/>
      <w:lvlJc w:val="left"/>
      <w:pPr>
        <w:tabs>
          <w:tab w:val="num" w:pos="191"/>
        </w:tabs>
        <w:ind w:left="191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911"/>
        </w:tabs>
        <w:ind w:left="911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31"/>
        </w:tabs>
        <w:ind w:left="1631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351"/>
        </w:tabs>
        <w:ind w:left="2351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71"/>
        </w:tabs>
        <w:ind w:left="3071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791"/>
        </w:tabs>
        <w:ind w:left="3791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511"/>
        </w:tabs>
        <w:ind w:left="4511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231"/>
        </w:tabs>
        <w:ind w:left="5231" w:hanging="180"/>
      </w:pPr>
    </w:lvl>
  </w:abstractNum>
  <w:abstractNum w:abstractNumId="26" w15:restartNumberingAfterBreak="0">
    <w:nsid w:val="71C15337"/>
    <w:multiLevelType w:val="hybridMultilevel"/>
    <w:tmpl w:val="7BF29994"/>
    <w:lvl w:ilvl="0" w:tplc="E9BC5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EC9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F593A"/>
    <w:multiLevelType w:val="hybridMultilevel"/>
    <w:tmpl w:val="BD062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D391E"/>
    <w:multiLevelType w:val="hybridMultilevel"/>
    <w:tmpl w:val="2C60CF70"/>
    <w:lvl w:ilvl="0" w:tplc="0409000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41C97"/>
    <w:multiLevelType w:val="hybridMultilevel"/>
    <w:tmpl w:val="0B7284C4"/>
    <w:lvl w:ilvl="0" w:tplc="9250ABA2">
      <w:start w:val="1"/>
      <w:numFmt w:val="lowerRoman"/>
      <w:lvlText w:val="(%1)"/>
      <w:lvlJc w:val="left"/>
      <w:pPr>
        <w:tabs>
          <w:tab w:val="num" w:pos="4305"/>
        </w:tabs>
        <w:ind w:left="4305" w:hanging="360"/>
      </w:pPr>
      <w:rPr>
        <w:rFonts w:ascii="Arial" w:eastAsia="Times New Roman" w:hAnsi="Arial" w:cs="Times New Roman"/>
      </w:rPr>
    </w:lvl>
    <w:lvl w:ilvl="1" w:tplc="9250ABA2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7C4C3E6D"/>
    <w:multiLevelType w:val="hybridMultilevel"/>
    <w:tmpl w:val="1368F730"/>
    <w:lvl w:ilvl="0" w:tplc="FFFFFFFF">
      <w:start w:val="1"/>
      <w:numFmt w:val="bullet"/>
      <w:pStyle w:val="odrteck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10"/>
  </w:num>
  <w:num w:numId="5">
    <w:abstractNumId w:val="26"/>
  </w:num>
  <w:num w:numId="6">
    <w:abstractNumId w:val="2"/>
  </w:num>
  <w:num w:numId="7">
    <w:abstractNumId w:val="18"/>
  </w:num>
  <w:num w:numId="8">
    <w:abstractNumId w:val="16"/>
  </w:num>
  <w:num w:numId="9">
    <w:abstractNumId w:val="17"/>
  </w:num>
  <w:num w:numId="10">
    <w:abstractNumId w:val="6"/>
  </w:num>
  <w:num w:numId="11">
    <w:abstractNumId w:val="15"/>
  </w:num>
  <w:num w:numId="12">
    <w:abstractNumId w:val="23"/>
  </w:num>
  <w:num w:numId="13">
    <w:abstractNumId w:val="12"/>
  </w:num>
  <w:num w:numId="14">
    <w:abstractNumId w:val="29"/>
  </w:num>
  <w:num w:numId="15">
    <w:abstractNumId w:val="13"/>
  </w:num>
  <w:num w:numId="16">
    <w:abstractNumId w:val="24"/>
  </w:num>
  <w:num w:numId="17">
    <w:abstractNumId w:val="9"/>
  </w:num>
  <w:num w:numId="18">
    <w:abstractNumId w:val="5"/>
  </w:num>
  <w:num w:numId="19">
    <w:abstractNumId w:val="8"/>
  </w:num>
  <w:num w:numId="20">
    <w:abstractNumId w:val="3"/>
  </w:num>
  <w:num w:numId="21">
    <w:abstractNumId w:val="19"/>
  </w:num>
  <w:num w:numId="22">
    <w:abstractNumId w:val="30"/>
  </w:num>
  <w:num w:numId="23">
    <w:abstractNumId w:val="21"/>
  </w:num>
  <w:num w:numId="24">
    <w:abstractNumId w:val="25"/>
  </w:num>
  <w:num w:numId="25">
    <w:abstractNumId w:val="28"/>
  </w:num>
  <w:num w:numId="26">
    <w:abstractNumId w:val="27"/>
  </w:num>
  <w:num w:numId="27">
    <w:abstractNumId w:val="1"/>
  </w:num>
  <w:num w:numId="28">
    <w:abstractNumId w:val="11"/>
  </w:num>
  <w:num w:numId="29">
    <w:abstractNumId w:val="22"/>
  </w:num>
  <w:num w:numId="30">
    <w:abstractNumId w:val="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5"/>
    <w:rsid w:val="000046AD"/>
    <w:rsid w:val="00007DA0"/>
    <w:rsid w:val="00007F37"/>
    <w:rsid w:val="0002329B"/>
    <w:rsid w:val="00027093"/>
    <w:rsid w:val="00034941"/>
    <w:rsid w:val="00047577"/>
    <w:rsid w:val="00057158"/>
    <w:rsid w:val="00062826"/>
    <w:rsid w:val="0007574C"/>
    <w:rsid w:val="00076D3E"/>
    <w:rsid w:val="000827DC"/>
    <w:rsid w:val="000837C4"/>
    <w:rsid w:val="00086053"/>
    <w:rsid w:val="00091948"/>
    <w:rsid w:val="00097037"/>
    <w:rsid w:val="00097ACF"/>
    <w:rsid w:val="000A3A7D"/>
    <w:rsid w:val="000A7DAA"/>
    <w:rsid w:val="000B0644"/>
    <w:rsid w:val="000B1AD8"/>
    <w:rsid w:val="000B1C05"/>
    <w:rsid w:val="000B502B"/>
    <w:rsid w:val="000B6251"/>
    <w:rsid w:val="000C2CE4"/>
    <w:rsid w:val="000E52CA"/>
    <w:rsid w:val="00106513"/>
    <w:rsid w:val="00106F80"/>
    <w:rsid w:val="00107D55"/>
    <w:rsid w:val="00120320"/>
    <w:rsid w:val="00120D95"/>
    <w:rsid w:val="00125EF5"/>
    <w:rsid w:val="00132320"/>
    <w:rsid w:val="0013792D"/>
    <w:rsid w:val="00147A85"/>
    <w:rsid w:val="00152880"/>
    <w:rsid w:val="00163BA0"/>
    <w:rsid w:val="001648A1"/>
    <w:rsid w:val="001654E4"/>
    <w:rsid w:val="00166404"/>
    <w:rsid w:val="0016743C"/>
    <w:rsid w:val="001707D3"/>
    <w:rsid w:val="00182D7A"/>
    <w:rsid w:val="00190FF9"/>
    <w:rsid w:val="00194F93"/>
    <w:rsid w:val="001A17B7"/>
    <w:rsid w:val="001B1B43"/>
    <w:rsid w:val="001B652F"/>
    <w:rsid w:val="001C25BD"/>
    <w:rsid w:val="001C38F6"/>
    <w:rsid w:val="001C74C7"/>
    <w:rsid w:val="001D0A52"/>
    <w:rsid w:val="001D6467"/>
    <w:rsid w:val="001D6ED6"/>
    <w:rsid w:val="001D7553"/>
    <w:rsid w:val="001E0E7E"/>
    <w:rsid w:val="001E1774"/>
    <w:rsid w:val="001E730C"/>
    <w:rsid w:val="001F4671"/>
    <w:rsid w:val="001F6F91"/>
    <w:rsid w:val="00201155"/>
    <w:rsid w:val="00204007"/>
    <w:rsid w:val="00204BE6"/>
    <w:rsid w:val="00206517"/>
    <w:rsid w:val="00210B4A"/>
    <w:rsid w:val="0021133F"/>
    <w:rsid w:val="002300DC"/>
    <w:rsid w:val="0023080A"/>
    <w:rsid w:val="00233062"/>
    <w:rsid w:val="00240DD4"/>
    <w:rsid w:val="00243B3F"/>
    <w:rsid w:val="0025003B"/>
    <w:rsid w:val="002508A2"/>
    <w:rsid w:val="0025331F"/>
    <w:rsid w:val="00256746"/>
    <w:rsid w:val="002628B4"/>
    <w:rsid w:val="00265550"/>
    <w:rsid w:val="00265AE3"/>
    <w:rsid w:val="00266B73"/>
    <w:rsid w:val="002700F8"/>
    <w:rsid w:val="0027248A"/>
    <w:rsid w:val="002739EB"/>
    <w:rsid w:val="002771FF"/>
    <w:rsid w:val="0028223B"/>
    <w:rsid w:val="002878B8"/>
    <w:rsid w:val="00295496"/>
    <w:rsid w:val="002A64D4"/>
    <w:rsid w:val="002A6969"/>
    <w:rsid w:val="002A6C16"/>
    <w:rsid w:val="002B170F"/>
    <w:rsid w:val="002C2036"/>
    <w:rsid w:val="002C26F0"/>
    <w:rsid w:val="002C2704"/>
    <w:rsid w:val="002E32F2"/>
    <w:rsid w:val="002E504D"/>
    <w:rsid w:val="002E69E0"/>
    <w:rsid w:val="00304B04"/>
    <w:rsid w:val="00316B58"/>
    <w:rsid w:val="00316C8B"/>
    <w:rsid w:val="00317E88"/>
    <w:rsid w:val="00320FFB"/>
    <w:rsid w:val="003218B3"/>
    <w:rsid w:val="003523CD"/>
    <w:rsid w:val="00361D80"/>
    <w:rsid w:val="00361F8E"/>
    <w:rsid w:val="003634DA"/>
    <w:rsid w:val="003716D7"/>
    <w:rsid w:val="00382D45"/>
    <w:rsid w:val="00383B69"/>
    <w:rsid w:val="003870CA"/>
    <w:rsid w:val="0039328D"/>
    <w:rsid w:val="003A1A33"/>
    <w:rsid w:val="003A346A"/>
    <w:rsid w:val="003A4C2E"/>
    <w:rsid w:val="003A6551"/>
    <w:rsid w:val="003A7AC9"/>
    <w:rsid w:val="003A7F98"/>
    <w:rsid w:val="003B52AF"/>
    <w:rsid w:val="003B550B"/>
    <w:rsid w:val="003C01E7"/>
    <w:rsid w:val="003C2A7A"/>
    <w:rsid w:val="003C4F6D"/>
    <w:rsid w:val="003C55FB"/>
    <w:rsid w:val="003D1F43"/>
    <w:rsid w:val="003E3746"/>
    <w:rsid w:val="003E472D"/>
    <w:rsid w:val="004016E2"/>
    <w:rsid w:val="004029A3"/>
    <w:rsid w:val="0040325E"/>
    <w:rsid w:val="0040671F"/>
    <w:rsid w:val="004148FE"/>
    <w:rsid w:val="004170F5"/>
    <w:rsid w:val="0042188C"/>
    <w:rsid w:val="004273BC"/>
    <w:rsid w:val="004315EB"/>
    <w:rsid w:val="0044064D"/>
    <w:rsid w:val="00447965"/>
    <w:rsid w:val="00456912"/>
    <w:rsid w:val="00461FA9"/>
    <w:rsid w:val="00462B5D"/>
    <w:rsid w:val="00465A4F"/>
    <w:rsid w:val="00466245"/>
    <w:rsid w:val="00472997"/>
    <w:rsid w:val="004761DD"/>
    <w:rsid w:val="00480D00"/>
    <w:rsid w:val="00481C41"/>
    <w:rsid w:val="004930ED"/>
    <w:rsid w:val="004A24E3"/>
    <w:rsid w:val="004A2E8F"/>
    <w:rsid w:val="004A748F"/>
    <w:rsid w:val="004B62FB"/>
    <w:rsid w:val="004B6928"/>
    <w:rsid w:val="004B7A68"/>
    <w:rsid w:val="004C6F89"/>
    <w:rsid w:val="004C70E0"/>
    <w:rsid w:val="004C7855"/>
    <w:rsid w:val="004D3617"/>
    <w:rsid w:val="004E2FD0"/>
    <w:rsid w:val="004E4CE9"/>
    <w:rsid w:val="004E5E0E"/>
    <w:rsid w:val="004E63DB"/>
    <w:rsid w:val="004F3B09"/>
    <w:rsid w:val="004F6B31"/>
    <w:rsid w:val="005006CA"/>
    <w:rsid w:val="005009D8"/>
    <w:rsid w:val="005110D2"/>
    <w:rsid w:val="00520793"/>
    <w:rsid w:val="0052779F"/>
    <w:rsid w:val="00536E2C"/>
    <w:rsid w:val="0054333E"/>
    <w:rsid w:val="00555548"/>
    <w:rsid w:val="0055779D"/>
    <w:rsid w:val="00561C99"/>
    <w:rsid w:val="00563423"/>
    <w:rsid w:val="005667B3"/>
    <w:rsid w:val="00570B21"/>
    <w:rsid w:val="005826C0"/>
    <w:rsid w:val="0059097D"/>
    <w:rsid w:val="005A3756"/>
    <w:rsid w:val="005A606C"/>
    <w:rsid w:val="005B71FA"/>
    <w:rsid w:val="005D12CB"/>
    <w:rsid w:val="005D6709"/>
    <w:rsid w:val="005E1B12"/>
    <w:rsid w:val="005E3268"/>
    <w:rsid w:val="005F4C86"/>
    <w:rsid w:val="00600E60"/>
    <w:rsid w:val="00602068"/>
    <w:rsid w:val="00603FC0"/>
    <w:rsid w:val="0061414C"/>
    <w:rsid w:val="00615D91"/>
    <w:rsid w:val="00623474"/>
    <w:rsid w:val="00640F8D"/>
    <w:rsid w:val="00643CC8"/>
    <w:rsid w:val="006442FA"/>
    <w:rsid w:val="00644CB0"/>
    <w:rsid w:val="00645FF8"/>
    <w:rsid w:val="00646C1C"/>
    <w:rsid w:val="00650659"/>
    <w:rsid w:val="00651490"/>
    <w:rsid w:val="00653DCD"/>
    <w:rsid w:val="0065690B"/>
    <w:rsid w:val="00661B63"/>
    <w:rsid w:val="00671789"/>
    <w:rsid w:val="00674B8F"/>
    <w:rsid w:val="00677BA1"/>
    <w:rsid w:val="00681EBC"/>
    <w:rsid w:val="00687DEA"/>
    <w:rsid w:val="0069726E"/>
    <w:rsid w:val="006C2B39"/>
    <w:rsid w:val="006C3969"/>
    <w:rsid w:val="006C7506"/>
    <w:rsid w:val="006C7983"/>
    <w:rsid w:val="006D2447"/>
    <w:rsid w:val="006D717F"/>
    <w:rsid w:val="006E08D4"/>
    <w:rsid w:val="006F4276"/>
    <w:rsid w:val="006F4D5D"/>
    <w:rsid w:val="00703EFD"/>
    <w:rsid w:val="00705B12"/>
    <w:rsid w:val="00710F7B"/>
    <w:rsid w:val="00712280"/>
    <w:rsid w:val="007172EA"/>
    <w:rsid w:val="0072165A"/>
    <w:rsid w:val="0072267C"/>
    <w:rsid w:val="0073057E"/>
    <w:rsid w:val="00743562"/>
    <w:rsid w:val="00744408"/>
    <w:rsid w:val="00750B7E"/>
    <w:rsid w:val="00757166"/>
    <w:rsid w:val="007632A1"/>
    <w:rsid w:val="00766448"/>
    <w:rsid w:val="007907E6"/>
    <w:rsid w:val="007A0516"/>
    <w:rsid w:val="007B0E85"/>
    <w:rsid w:val="007B79B6"/>
    <w:rsid w:val="007C53C1"/>
    <w:rsid w:val="007C70C0"/>
    <w:rsid w:val="007D1CF3"/>
    <w:rsid w:val="007E18D9"/>
    <w:rsid w:val="007E2DF7"/>
    <w:rsid w:val="007F3505"/>
    <w:rsid w:val="007F6D1F"/>
    <w:rsid w:val="007F6F0D"/>
    <w:rsid w:val="008052A4"/>
    <w:rsid w:val="008115AA"/>
    <w:rsid w:val="0081271E"/>
    <w:rsid w:val="00813A5C"/>
    <w:rsid w:val="0081559B"/>
    <w:rsid w:val="008164A2"/>
    <w:rsid w:val="008239D5"/>
    <w:rsid w:val="00824224"/>
    <w:rsid w:val="00832E94"/>
    <w:rsid w:val="00844100"/>
    <w:rsid w:val="008451CB"/>
    <w:rsid w:val="008557C8"/>
    <w:rsid w:val="00873FF6"/>
    <w:rsid w:val="008756DE"/>
    <w:rsid w:val="00875CE7"/>
    <w:rsid w:val="00875FF6"/>
    <w:rsid w:val="00886731"/>
    <w:rsid w:val="00887EDF"/>
    <w:rsid w:val="008947BE"/>
    <w:rsid w:val="008A36CD"/>
    <w:rsid w:val="008A7270"/>
    <w:rsid w:val="008B6A5A"/>
    <w:rsid w:val="008B6EAA"/>
    <w:rsid w:val="008B759E"/>
    <w:rsid w:val="008B7959"/>
    <w:rsid w:val="008C6B6C"/>
    <w:rsid w:val="008E3434"/>
    <w:rsid w:val="008E6DCF"/>
    <w:rsid w:val="008F0675"/>
    <w:rsid w:val="009127C4"/>
    <w:rsid w:val="00915AC8"/>
    <w:rsid w:val="00924C02"/>
    <w:rsid w:val="00924C05"/>
    <w:rsid w:val="0092541F"/>
    <w:rsid w:val="00931435"/>
    <w:rsid w:val="009345EB"/>
    <w:rsid w:val="00937D97"/>
    <w:rsid w:val="009474C7"/>
    <w:rsid w:val="00950D7F"/>
    <w:rsid w:val="00951AD3"/>
    <w:rsid w:val="00957506"/>
    <w:rsid w:val="00957C78"/>
    <w:rsid w:val="00960413"/>
    <w:rsid w:val="009702EA"/>
    <w:rsid w:val="00971D91"/>
    <w:rsid w:val="009749F3"/>
    <w:rsid w:val="0097736D"/>
    <w:rsid w:val="009948A4"/>
    <w:rsid w:val="00994B2A"/>
    <w:rsid w:val="009A5097"/>
    <w:rsid w:val="009A60CB"/>
    <w:rsid w:val="009B13A5"/>
    <w:rsid w:val="009B393A"/>
    <w:rsid w:val="009C08D4"/>
    <w:rsid w:val="009C08F6"/>
    <w:rsid w:val="009C2ADA"/>
    <w:rsid w:val="009C477C"/>
    <w:rsid w:val="009C4D14"/>
    <w:rsid w:val="009C726A"/>
    <w:rsid w:val="009D045C"/>
    <w:rsid w:val="009D616B"/>
    <w:rsid w:val="009E0174"/>
    <w:rsid w:val="009F3E96"/>
    <w:rsid w:val="009F60F2"/>
    <w:rsid w:val="00A00493"/>
    <w:rsid w:val="00A01218"/>
    <w:rsid w:val="00A0459A"/>
    <w:rsid w:val="00A13D89"/>
    <w:rsid w:val="00A25908"/>
    <w:rsid w:val="00A33A2A"/>
    <w:rsid w:val="00A33EDC"/>
    <w:rsid w:val="00A34FF9"/>
    <w:rsid w:val="00A413F6"/>
    <w:rsid w:val="00A4273B"/>
    <w:rsid w:val="00A569C1"/>
    <w:rsid w:val="00A57789"/>
    <w:rsid w:val="00A640E6"/>
    <w:rsid w:val="00A71CB9"/>
    <w:rsid w:val="00A725D8"/>
    <w:rsid w:val="00A73D6E"/>
    <w:rsid w:val="00A75128"/>
    <w:rsid w:val="00A757E2"/>
    <w:rsid w:val="00A7663C"/>
    <w:rsid w:val="00A819C9"/>
    <w:rsid w:val="00A84BD8"/>
    <w:rsid w:val="00A90ED8"/>
    <w:rsid w:val="00A97FFB"/>
    <w:rsid w:val="00AA1CA8"/>
    <w:rsid w:val="00AA3785"/>
    <w:rsid w:val="00AA5C0F"/>
    <w:rsid w:val="00AA6209"/>
    <w:rsid w:val="00AA62DF"/>
    <w:rsid w:val="00AB1CC2"/>
    <w:rsid w:val="00AB31A2"/>
    <w:rsid w:val="00AB3FBB"/>
    <w:rsid w:val="00AB4D9B"/>
    <w:rsid w:val="00AB5045"/>
    <w:rsid w:val="00AD054C"/>
    <w:rsid w:val="00AE0760"/>
    <w:rsid w:val="00AE28A9"/>
    <w:rsid w:val="00AE3938"/>
    <w:rsid w:val="00AE4072"/>
    <w:rsid w:val="00AE64C6"/>
    <w:rsid w:val="00AF0CAA"/>
    <w:rsid w:val="00AF2B10"/>
    <w:rsid w:val="00B008B7"/>
    <w:rsid w:val="00B06C0F"/>
    <w:rsid w:val="00B22EB3"/>
    <w:rsid w:val="00B27966"/>
    <w:rsid w:val="00B30B48"/>
    <w:rsid w:val="00B4034D"/>
    <w:rsid w:val="00B41CB2"/>
    <w:rsid w:val="00B435E0"/>
    <w:rsid w:val="00B54B7D"/>
    <w:rsid w:val="00B62332"/>
    <w:rsid w:val="00B63168"/>
    <w:rsid w:val="00B6416F"/>
    <w:rsid w:val="00B6461E"/>
    <w:rsid w:val="00B72220"/>
    <w:rsid w:val="00B75B29"/>
    <w:rsid w:val="00B75D3C"/>
    <w:rsid w:val="00B90546"/>
    <w:rsid w:val="00B93B41"/>
    <w:rsid w:val="00BA5676"/>
    <w:rsid w:val="00BA5A16"/>
    <w:rsid w:val="00BC2917"/>
    <w:rsid w:val="00BC755B"/>
    <w:rsid w:val="00BD1C21"/>
    <w:rsid w:val="00BD603B"/>
    <w:rsid w:val="00BD7690"/>
    <w:rsid w:val="00BE538E"/>
    <w:rsid w:val="00BE5E3D"/>
    <w:rsid w:val="00BE6705"/>
    <w:rsid w:val="00BF0D26"/>
    <w:rsid w:val="00BF1BFE"/>
    <w:rsid w:val="00BF20F4"/>
    <w:rsid w:val="00C061DE"/>
    <w:rsid w:val="00C23630"/>
    <w:rsid w:val="00C247DF"/>
    <w:rsid w:val="00C270DE"/>
    <w:rsid w:val="00C31726"/>
    <w:rsid w:val="00C3679C"/>
    <w:rsid w:val="00C412C1"/>
    <w:rsid w:val="00C462E4"/>
    <w:rsid w:val="00C53AB0"/>
    <w:rsid w:val="00C53E70"/>
    <w:rsid w:val="00C5705D"/>
    <w:rsid w:val="00C65CA0"/>
    <w:rsid w:val="00C661FC"/>
    <w:rsid w:val="00C66FAA"/>
    <w:rsid w:val="00C670FE"/>
    <w:rsid w:val="00C70951"/>
    <w:rsid w:val="00C80077"/>
    <w:rsid w:val="00C855E1"/>
    <w:rsid w:val="00C94C6A"/>
    <w:rsid w:val="00CA29ED"/>
    <w:rsid w:val="00CA46BD"/>
    <w:rsid w:val="00CA5848"/>
    <w:rsid w:val="00CA7FC9"/>
    <w:rsid w:val="00CB0EE5"/>
    <w:rsid w:val="00CB591D"/>
    <w:rsid w:val="00CC6C5A"/>
    <w:rsid w:val="00CD003A"/>
    <w:rsid w:val="00CD470C"/>
    <w:rsid w:val="00CE1B1B"/>
    <w:rsid w:val="00CE6D24"/>
    <w:rsid w:val="00CE6FB4"/>
    <w:rsid w:val="00CF2FC8"/>
    <w:rsid w:val="00D00642"/>
    <w:rsid w:val="00D02DEE"/>
    <w:rsid w:val="00D04836"/>
    <w:rsid w:val="00D10086"/>
    <w:rsid w:val="00D12D08"/>
    <w:rsid w:val="00D16789"/>
    <w:rsid w:val="00D21FC1"/>
    <w:rsid w:val="00D30A32"/>
    <w:rsid w:val="00D322C9"/>
    <w:rsid w:val="00D520F4"/>
    <w:rsid w:val="00D52F3C"/>
    <w:rsid w:val="00D537EA"/>
    <w:rsid w:val="00D54794"/>
    <w:rsid w:val="00D84D12"/>
    <w:rsid w:val="00D85ABD"/>
    <w:rsid w:val="00D873EA"/>
    <w:rsid w:val="00D97283"/>
    <w:rsid w:val="00D97BA4"/>
    <w:rsid w:val="00D97F1F"/>
    <w:rsid w:val="00DA12E2"/>
    <w:rsid w:val="00DA466E"/>
    <w:rsid w:val="00DA4A40"/>
    <w:rsid w:val="00DA4DEF"/>
    <w:rsid w:val="00DA780A"/>
    <w:rsid w:val="00DB34F5"/>
    <w:rsid w:val="00DC4AF5"/>
    <w:rsid w:val="00DC78BC"/>
    <w:rsid w:val="00DD44BF"/>
    <w:rsid w:val="00DF6C21"/>
    <w:rsid w:val="00E0261D"/>
    <w:rsid w:val="00E07F8D"/>
    <w:rsid w:val="00E11809"/>
    <w:rsid w:val="00E1383A"/>
    <w:rsid w:val="00E14CFD"/>
    <w:rsid w:val="00E24357"/>
    <w:rsid w:val="00E2579C"/>
    <w:rsid w:val="00E31AB9"/>
    <w:rsid w:val="00E335EE"/>
    <w:rsid w:val="00E33F17"/>
    <w:rsid w:val="00E539ED"/>
    <w:rsid w:val="00E53EDE"/>
    <w:rsid w:val="00E55364"/>
    <w:rsid w:val="00E639AF"/>
    <w:rsid w:val="00E66590"/>
    <w:rsid w:val="00E67AD5"/>
    <w:rsid w:val="00E71589"/>
    <w:rsid w:val="00E769C8"/>
    <w:rsid w:val="00E80C4B"/>
    <w:rsid w:val="00E81939"/>
    <w:rsid w:val="00E86723"/>
    <w:rsid w:val="00E92B8F"/>
    <w:rsid w:val="00E943AE"/>
    <w:rsid w:val="00EA1E4E"/>
    <w:rsid w:val="00EA1F72"/>
    <w:rsid w:val="00EA6282"/>
    <w:rsid w:val="00EB22D0"/>
    <w:rsid w:val="00ED778D"/>
    <w:rsid w:val="00EE1747"/>
    <w:rsid w:val="00EE4F7A"/>
    <w:rsid w:val="00EF1589"/>
    <w:rsid w:val="00EF6002"/>
    <w:rsid w:val="00F00B98"/>
    <w:rsid w:val="00F00CC2"/>
    <w:rsid w:val="00F136C9"/>
    <w:rsid w:val="00F1410B"/>
    <w:rsid w:val="00F14485"/>
    <w:rsid w:val="00F156BC"/>
    <w:rsid w:val="00F348A8"/>
    <w:rsid w:val="00F357CF"/>
    <w:rsid w:val="00F3749A"/>
    <w:rsid w:val="00F43C49"/>
    <w:rsid w:val="00F62873"/>
    <w:rsid w:val="00F629E8"/>
    <w:rsid w:val="00F646F7"/>
    <w:rsid w:val="00F64AF7"/>
    <w:rsid w:val="00F67AEF"/>
    <w:rsid w:val="00F67FF8"/>
    <w:rsid w:val="00F71765"/>
    <w:rsid w:val="00F731CF"/>
    <w:rsid w:val="00F8003A"/>
    <w:rsid w:val="00F90E78"/>
    <w:rsid w:val="00F92F58"/>
    <w:rsid w:val="00FA009E"/>
    <w:rsid w:val="00FA29E2"/>
    <w:rsid w:val="00FA305F"/>
    <w:rsid w:val="00FA323C"/>
    <w:rsid w:val="00FB5B38"/>
    <w:rsid w:val="00FC407F"/>
    <w:rsid w:val="00FC69DD"/>
    <w:rsid w:val="00FC747E"/>
    <w:rsid w:val="00FD22B0"/>
    <w:rsid w:val="00FE01F6"/>
    <w:rsid w:val="00FE4654"/>
    <w:rsid w:val="00FE47AB"/>
    <w:rsid w:val="00FF39AD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EDE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69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aliases w:val="h1,H1,Základní kapitola,název smlouvy"/>
    <w:basedOn w:val="Normln"/>
    <w:next w:val="Normln"/>
    <w:qFormat/>
    <w:rsid w:val="00E769C8"/>
    <w:pPr>
      <w:keepNext/>
      <w:tabs>
        <w:tab w:val="num" w:pos="432"/>
      </w:tabs>
      <w:overflowPunct/>
      <w:ind w:left="432" w:hanging="432"/>
      <w:jc w:val="center"/>
      <w:textAlignment w:val="auto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E769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769C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aliases w:val="písmeno"/>
    <w:basedOn w:val="Normln"/>
    <w:next w:val="Normln"/>
    <w:qFormat/>
    <w:rsid w:val="00E769C8"/>
    <w:pPr>
      <w:keepNext/>
      <w:tabs>
        <w:tab w:val="num" w:pos="864"/>
        <w:tab w:val="center" w:pos="4536"/>
      </w:tabs>
      <w:spacing w:before="240" w:after="120"/>
      <w:jc w:val="left"/>
      <w:outlineLvl w:val="3"/>
    </w:pPr>
    <w:rPr>
      <w:rFonts w:cs="Arial"/>
      <w:b/>
      <w:bCs/>
      <w:sz w:val="24"/>
    </w:rPr>
  </w:style>
  <w:style w:type="paragraph" w:styleId="Nadpis5">
    <w:name w:val="heading 5"/>
    <w:aliases w:val="Bod"/>
    <w:basedOn w:val="Normln"/>
    <w:next w:val="Normln"/>
    <w:qFormat/>
    <w:rsid w:val="00E769C8"/>
    <w:pPr>
      <w:keepNext/>
      <w:tabs>
        <w:tab w:val="num" w:pos="1440"/>
      </w:tabs>
      <w:spacing w:before="240" w:after="120"/>
      <w:jc w:val="left"/>
      <w:outlineLvl w:val="4"/>
    </w:pPr>
    <w:rPr>
      <w:rFonts w:cs="Arial"/>
      <w:b/>
      <w:bCs/>
      <w:i/>
      <w:iCs/>
      <w:sz w:val="24"/>
    </w:rPr>
  </w:style>
  <w:style w:type="paragraph" w:styleId="Nadpis6">
    <w:name w:val="heading 6"/>
    <w:basedOn w:val="Normln"/>
    <w:next w:val="Normln"/>
    <w:qFormat/>
    <w:rsid w:val="00E769C8"/>
    <w:pPr>
      <w:keepNext/>
      <w:pageBreakBefore/>
      <w:tabs>
        <w:tab w:val="num" w:pos="1152"/>
      </w:tabs>
      <w:ind w:left="1152" w:hanging="1152"/>
      <w:outlineLvl w:val="5"/>
    </w:pPr>
    <w:rPr>
      <w:rFonts w:cs="Arial"/>
      <w:b/>
      <w:bCs/>
      <w:sz w:val="28"/>
    </w:rPr>
  </w:style>
  <w:style w:type="paragraph" w:styleId="Nadpis7">
    <w:name w:val="heading 7"/>
    <w:basedOn w:val="Normln"/>
    <w:next w:val="Normln"/>
    <w:qFormat/>
    <w:rsid w:val="00E769C8"/>
    <w:pPr>
      <w:keepNext/>
      <w:tabs>
        <w:tab w:val="num" w:pos="1296"/>
      </w:tabs>
      <w:overflowPunct/>
      <w:spacing w:before="3360"/>
      <w:ind w:left="1296" w:hanging="1296"/>
      <w:jc w:val="center"/>
      <w:textAlignment w:val="auto"/>
      <w:outlineLvl w:val="6"/>
    </w:pPr>
    <w:rPr>
      <w:rFonts w:cs="Arial"/>
      <w:b/>
      <w:bCs/>
      <w:i/>
      <w:iCs/>
      <w:szCs w:val="22"/>
    </w:rPr>
  </w:style>
  <w:style w:type="paragraph" w:styleId="Nadpis8">
    <w:name w:val="heading 8"/>
    <w:basedOn w:val="Normln"/>
    <w:next w:val="Normln"/>
    <w:qFormat/>
    <w:rsid w:val="00E769C8"/>
    <w:pPr>
      <w:keepNext/>
      <w:tabs>
        <w:tab w:val="num" w:pos="1440"/>
      </w:tabs>
      <w:ind w:left="1440" w:hanging="1440"/>
      <w:jc w:val="left"/>
      <w:outlineLvl w:val="7"/>
    </w:pPr>
    <w:rPr>
      <w:rFonts w:cs="Arial"/>
      <w:b/>
      <w:bCs/>
      <w:sz w:val="24"/>
    </w:rPr>
  </w:style>
  <w:style w:type="paragraph" w:styleId="Nadpis9">
    <w:name w:val="heading 9"/>
    <w:basedOn w:val="Normln"/>
    <w:next w:val="Normln"/>
    <w:qFormat/>
    <w:rsid w:val="00E769C8"/>
    <w:pPr>
      <w:keepNext/>
      <w:tabs>
        <w:tab w:val="num" w:pos="1584"/>
      </w:tabs>
      <w:overflowPunct/>
      <w:spacing w:after="960"/>
      <w:ind w:left="1584" w:hanging="1584"/>
      <w:jc w:val="center"/>
      <w:textAlignment w:val="auto"/>
      <w:outlineLvl w:val="8"/>
    </w:pPr>
    <w:rPr>
      <w:rFonts w:cs="Arial"/>
      <w:b/>
      <w:bCs/>
      <w:color w:val="0D3D84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769C8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E769C8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rsid w:val="00E769C8"/>
  </w:style>
  <w:style w:type="table" w:styleId="Mkatabulky">
    <w:name w:val="Table Grid"/>
    <w:basedOn w:val="Normlntabulka"/>
    <w:uiPriority w:val="59"/>
    <w:rsid w:val="0017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E769C8"/>
    <w:rPr>
      <w:sz w:val="20"/>
    </w:rPr>
  </w:style>
  <w:style w:type="character" w:styleId="Znakapoznpodarou">
    <w:name w:val="footnote reference"/>
    <w:basedOn w:val="Standardnpsmoodstavce"/>
    <w:semiHidden/>
    <w:rsid w:val="00E769C8"/>
    <w:rPr>
      <w:vertAlign w:val="superscript"/>
    </w:rPr>
  </w:style>
  <w:style w:type="paragraph" w:styleId="Textbubliny">
    <w:name w:val="Balloon Text"/>
    <w:basedOn w:val="Normln"/>
    <w:semiHidden/>
    <w:rsid w:val="00E769C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769C8"/>
    <w:rPr>
      <w:sz w:val="16"/>
      <w:szCs w:val="16"/>
    </w:rPr>
  </w:style>
  <w:style w:type="paragraph" w:styleId="Textkomente">
    <w:name w:val="annotation text"/>
    <w:basedOn w:val="Normln"/>
    <w:semiHidden/>
    <w:rsid w:val="00E769C8"/>
    <w:rPr>
      <w:sz w:val="20"/>
    </w:rPr>
  </w:style>
  <w:style w:type="paragraph" w:styleId="Pedmtkomente">
    <w:name w:val="annotation subject"/>
    <w:basedOn w:val="Textkomente"/>
    <w:next w:val="Textkomente"/>
    <w:semiHidden/>
    <w:rsid w:val="00E769C8"/>
    <w:rPr>
      <w:b/>
      <w:bCs/>
    </w:rPr>
  </w:style>
  <w:style w:type="paragraph" w:styleId="Titulek">
    <w:name w:val="caption"/>
    <w:basedOn w:val="Normln"/>
    <w:next w:val="Normln"/>
    <w:qFormat/>
    <w:rsid w:val="00E769C8"/>
    <w:pPr>
      <w:spacing w:before="1680"/>
      <w:jc w:val="center"/>
    </w:pPr>
    <w:rPr>
      <w:rFonts w:ascii="Times New Roman" w:hAnsi="Times New Roman"/>
      <w:b/>
      <w:bCs/>
      <w:sz w:val="32"/>
    </w:rPr>
  </w:style>
  <w:style w:type="paragraph" w:styleId="Obsah1">
    <w:name w:val="toc 1"/>
    <w:basedOn w:val="Normln"/>
    <w:next w:val="Normln"/>
    <w:autoRedefine/>
    <w:semiHidden/>
    <w:rsid w:val="00E769C8"/>
    <w:pPr>
      <w:spacing w:before="120" w:after="120"/>
      <w:jc w:val="left"/>
    </w:pPr>
    <w:rPr>
      <w:rFonts w:ascii="Times New Roman" w:hAnsi="Times New Roman"/>
      <w:b/>
      <w:bCs/>
      <w:caps/>
      <w:sz w:val="20"/>
      <w:szCs w:val="24"/>
    </w:rPr>
  </w:style>
  <w:style w:type="paragraph" w:styleId="Obsah2">
    <w:name w:val="toc 2"/>
    <w:basedOn w:val="Normln"/>
    <w:next w:val="Normln"/>
    <w:autoRedefine/>
    <w:semiHidden/>
    <w:rsid w:val="00E769C8"/>
    <w:pPr>
      <w:ind w:left="200"/>
      <w:jc w:val="left"/>
    </w:pPr>
    <w:rPr>
      <w:rFonts w:ascii="Times New Roman" w:hAnsi="Times New Roman"/>
      <w:smallCaps/>
      <w:sz w:val="20"/>
      <w:szCs w:val="24"/>
    </w:rPr>
  </w:style>
  <w:style w:type="paragraph" w:styleId="Obsah3">
    <w:name w:val="toc 3"/>
    <w:basedOn w:val="Normln"/>
    <w:next w:val="Normln"/>
    <w:autoRedefine/>
    <w:semiHidden/>
    <w:rsid w:val="00E769C8"/>
    <w:pPr>
      <w:ind w:left="400"/>
      <w:jc w:val="left"/>
    </w:pPr>
    <w:rPr>
      <w:rFonts w:ascii="Times New Roman" w:hAnsi="Times New Roman"/>
      <w:i/>
      <w:iCs/>
      <w:sz w:val="20"/>
      <w:szCs w:val="24"/>
    </w:rPr>
  </w:style>
  <w:style w:type="character" w:styleId="Hypertextovodkaz">
    <w:name w:val="Hyperlink"/>
    <w:basedOn w:val="Standardnpsmoodstavce"/>
    <w:rsid w:val="00E769C8"/>
    <w:rPr>
      <w:color w:val="0000FF"/>
      <w:u w:val="single"/>
    </w:rPr>
  </w:style>
  <w:style w:type="paragraph" w:styleId="Zkladntextodsazen">
    <w:name w:val="Body Text Indent"/>
    <w:basedOn w:val="Normln"/>
    <w:rsid w:val="00E769C8"/>
    <w:pPr>
      <w:overflowPunct/>
      <w:autoSpaceDE/>
      <w:autoSpaceDN/>
      <w:adjustRightInd/>
      <w:spacing w:before="120"/>
      <w:textAlignment w:val="auto"/>
    </w:pPr>
    <w:rPr>
      <w:rFonts w:cs="Arial"/>
      <w:szCs w:val="24"/>
    </w:rPr>
  </w:style>
  <w:style w:type="paragraph" w:customStyle="1" w:styleId="dka">
    <w:name w:val="Řádka"/>
    <w:basedOn w:val="Normln"/>
    <w:rsid w:val="00E769C8"/>
    <w:pPr>
      <w:tabs>
        <w:tab w:val="left" w:pos="851"/>
      </w:tabs>
      <w:overflowPunct/>
      <w:autoSpaceDE/>
      <w:autoSpaceDN/>
      <w:adjustRightInd/>
      <w:spacing w:before="60" w:after="60"/>
      <w:textAlignment w:val="auto"/>
    </w:pPr>
    <w:rPr>
      <w:kern w:val="24"/>
      <w:sz w:val="24"/>
    </w:rPr>
  </w:style>
  <w:style w:type="paragraph" w:customStyle="1" w:styleId="normln0">
    <w:name w:val="normální"/>
    <w:basedOn w:val="Normln"/>
    <w:rsid w:val="00E769C8"/>
    <w:pPr>
      <w:tabs>
        <w:tab w:val="left" w:pos="0"/>
      </w:tabs>
      <w:spacing w:line="360" w:lineRule="auto"/>
    </w:pPr>
    <w:rPr>
      <w:bCs/>
      <w:sz w:val="24"/>
    </w:rPr>
  </w:style>
  <w:style w:type="paragraph" w:styleId="Zkladntextodsazen3">
    <w:name w:val="Body Text Indent 3"/>
    <w:basedOn w:val="Normln"/>
    <w:rsid w:val="00E769C8"/>
    <w:pPr>
      <w:overflowPunct/>
      <w:autoSpaceDE/>
      <w:autoSpaceDN/>
      <w:adjustRightInd/>
      <w:spacing w:before="120"/>
      <w:ind w:left="360"/>
      <w:textAlignment w:val="auto"/>
    </w:pPr>
    <w:rPr>
      <w:szCs w:val="24"/>
    </w:rPr>
  </w:style>
  <w:style w:type="paragraph" w:customStyle="1" w:styleId="odrtecka">
    <w:name w:val="odr_tecka"/>
    <w:basedOn w:val="Normln"/>
    <w:rsid w:val="00E769C8"/>
    <w:pPr>
      <w:numPr>
        <w:numId w:val="22"/>
      </w:numPr>
      <w:tabs>
        <w:tab w:val="left" w:pos="709"/>
      </w:tabs>
      <w:overflowPunct/>
      <w:autoSpaceDE/>
      <w:autoSpaceDN/>
      <w:adjustRightInd/>
      <w:spacing w:before="120"/>
      <w:textAlignment w:val="auto"/>
    </w:pPr>
    <w:rPr>
      <w:sz w:val="24"/>
      <w:szCs w:val="24"/>
    </w:rPr>
  </w:style>
  <w:style w:type="paragraph" w:styleId="Normlnweb">
    <w:name w:val="Normal (Web)"/>
    <w:basedOn w:val="Normln"/>
    <w:rsid w:val="00E769C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3">
    <w:name w:val="Body Text 3"/>
    <w:basedOn w:val="Normln"/>
    <w:rsid w:val="00E769C8"/>
    <w:pPr>
      <w:overflowPunct/>
      <w:autoSpaceDE/>
      <w:autoSpaceDN/>
      <w:adjustRightInd/>
      <w:jc w:val="left"/>
      <w:textAlignment w:val="auto"/>
    </w:pPr>
    <w:rPr>
      <w:rFonts w:cs="Arial"/>
      <w:szCs w:val="24"/>
    </w:rPr>
  </w:style>
  <w:style w:type="paragraph" w:styleId="Zkladntext">
    <w:name w:val="Body Text"/>
    <w:basedOn w:val="Normln"/>
    <w:rsid w:val="00E769C8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76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lnChar">
    <w:name w:val="normální Char"/>
    <w:basedOn w:val="Standardnpsmoodstavce"/>
    <w:rsid w:val="00E769C8"/>
    <w:rPr>
      <w:rFonts w:ascii="Arial" w:hAnsi="Arial"/>
      <w:bCs/>
      <w:sz w:val="24"/>
      <w:lang w:val="cs-CZ" w:eastAsia="cs-CZ" w:bidi="ar-SA"/>
    </w:rPr>
  </w:style>
  <w:style w:type="paragraph" w:styleId="Revize">
    <w:name w:val="Revision"/>
    <w:hidden/>
    <w:uiPriority w:val="99"/>
    <w:semiHidden/>
    <w:rsid w:val="00097ACF"/>
    <w:rPr>
      <w:rFonts w:ascii="Arial" w:hAnsi="Arial"/>
      <w:sz w:val="22"/>
    </w:rPr>
  </w:style>
  <w:style w:type="character" w:styleId="Zstupntext">
    <w:name w:val="Placeholder Text"/>
    <w:basedOn w:val="Standardnpsmoodstavce"/>
    <w:uiPriority w:val="99"/>
    <w:semiHidden/>
    <w:rsid w:val="00BF1BFE"/>
    <w:rPr>
      <w:color w:val="808080"/>
    </w:rPr>
  </w:style>
  <w:style w:type="paragraph" w:styleId="Odstavecseseznamem">
    <w:name w:val="List Paragraph"/>
    <w:basedOn w:val="Normln"/>
    <w:uiPriority w:val="34"/>
    <w:qFormat/>
    <w:rsid w:val="00AD054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88673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A8AE0-5CCE-4578-AFE8-B30696C230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E503615E-9447-4B02-BC13-A5AC569D6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D1FF6-E473-4E84-8F51-E1305BF66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58F1C-2F1F-4C3E-BEB5-41C251A9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2019-06-24T13:53:00Z</dcterms:created>
  <dcterms:modified xsi:type="dcterms:W3CDTF">2019-06-24T13:54:00Z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