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2D6D" w14:textId="77777777" w:rsidR="00155289" w:rsidRPr="00594AA0" w:rsidRDefault="00155289" w:rsidP="008079EE">
      <w:pPr>
        <w:pStyle w:val="Sectiontitle"/>
        <w:jc w:val="both"/>
        <w:rPr>
          <w:lang w:val="cs-CZ"/>
        </w:rPr>
      </w:pPr>
      <w:r w:rsidRPr="00594AA0">
        <w:rPr>
          <w:lang w:val="cs-CZ"/>
        </w:rPr>
        <w:t>Investiční strategie – FN OPZ</w:t>
      </w:r>
    </w:p>
    <w:p w14:paraId="3CB02D6E" w14:textId="77777777" w:rsidR="00155289" w:rsidRPr="00594AA0" w:rsidRDefault="00B61928" w:rsidP="008079EE">
      <w:pPr>
        <w:pStyle w:val="Nadpis2"/>
        <w:jc w:val="both"/>
        <w:rPr>
          <w:lang w:val="cs-CZ"/>
        </w:rPr>
      </w:pPr>
      <w:r w:rsidRPr="00594AA0">
        <w:rPr>
          <w:lang w:val="cs-CZ"/>
        </w:rPr>
        <w:t>T</w:t>
      </w:r>
      <w:r w:rsidR="00155289" w:rsidRPr="00594AA0">
        <w:rPr>
          <w:lang w:val="cs-CZ"/>
        </w:rPr>
        <w:t xml:space="preserve">yp finančního nástroje </w:t>
      </w:r>
    </w:p>
    <w:p w14:paraId="3CB02D6F" w14:textId="77777777" w:rsidR="00155289" w:rsidRPr="00594AA0" w:rsidRDefault="00B61928" w:rsidP="008079EE">
      <w:pPr>
        <w:jc w:val="both"/>
        <w:rPr>
          <w:lang w:val="cs-CZ"/>
        </w:rPr>
      </w:pPr>
      <w:r w:rsidRPr="00594AA0">
        <w:rPr>
          <w:lang w:val="cs-CZ"/>
        </w:rPr>
        <w:t xml:space="preserve">V oblasti sociálního podnikání vznikne finanční nástroj typu </w:t>
      </w:r>
      <w:r w:rsidRPr="00E87F07">
        <w:rPr>
          <w:lang w:val="cs-CZ"/>
        </w:rPr>
        <w:t>zvýhodněný úvěr</w:t>
      </w:r>
      <w:r w:rsidR="00155289" w:rsidRPr="00594AA0">
        <w:rPr>
          <w:lang w:val="cs-CZ"/>
        </w:rPr>
        <w:t xml:space="preserve"> s</w:t>
      </w:r>
      <w:r w:rsidR="005429CD">
        <w:rPr>
          <w:lang w:val="cs-CZ"/>
        </w:rPr>
        <w:t xml:space="preserve">  </w:t>
      </w:r>
      <w:r w:rsidR="00155289" w:rsidRPr="00594AA0">
        <w:rPr>
          <w:lang w:val="cs-CZ"/>
        </w:rPr>
        <w:t>poradenství</w:t>
      </w:r>
      <w:r w:rsidR="003C3AC8">
        <w:rPr>
          <w:lang w:val="cs-CZ"/>
        </w:rPr>
        <w:t>m/</w:t>
      </w:r>
      <w:proofErr w:type="spellStart"/>
      <w:r w:rsidR="00155289" w:rsidRPr="00594AA0">
        <w:rPr>
          <w:lang w:val="cs-CZ"/>
        </w:rPr>
        <w:t>mentoringem</w:t>
      </w:r>
      <w:proofErr w:type="spellEnd"/>
      <w:r w:rsidR="00155289" w:rsidRPr="00594AA0">
        <w:rPr>
          <w:lang w:val="cs-CZ"/>
        </w:rPr>
        <w:t xml:space="preserve">. </w:t>
      </w:r>
      <w:r w:rsidR="00855697" w:rsidRPr="00594AA0">
        <w:rPr>
          <w:lang w:val="cs-CZ"/>
        </w:rPr>
        <w:t>Zvýhodněný úvěr bude reagovat na ex – ante analýzou zjištěnou tržní mezeru. Základní charakteristikou nástroje bude zvýhodněná úrokov</w:t>
      </w:r>
      <w:bookmarkStart w:id="0" w:name="_GoBack"/>
      <w:bookmarkEnd w:id="0"/>
      <w:r w:rsidR="00855697" w:rsidRPr="00594AA0">
        <w:rPr>
          <w:lang w:val="cs-CZ"/>
        </w:rPr>
        <w:t>á sazba, odklad splátek a snížení nároků na ručení úvěru a hodnocení bonity žadatele.</w:t>
      </w:r>
      <w:r w:rsidR="00855697">
        <w:rPr>
          <w:lang w:val="cs-CZ"/>
        </w:rPr>
        <w:t xml:space="preserve"> </w:t>
      </w:r>
    </w:p>
    <w:p w14:paraId="3CB02D70" w14:textId="77777777" w:rsidR="00762AA6" w:rsidRDefault="00B61928" w:rsidP="008079EE">
      <w:pPr>
        <w:jc w:val="both"/>
        <w:rPr>
          <w:lang w:val="cs-CZ"/>
        </w:rPr>
      </w:pPr>
      <w:r w:rsidRPr="00594AA0">
        <w:rPr>
          <w:lang w:val="cs-CZ"/>
        </w:rPr>
        <w:t>P</w:t>
      </w:r>
      <w:r w:rsidR="00155289" w:rsidRPr="00594AA0">
        <w:rPr>
          <w:lang w:val="cs-CZ"/>
        </w:rPr>
        <w:t>oradenství</w:t>
      </w:r>
      <w:r w:rsidRPr="00594AA0">
        <w:rPr>
          <w:lang w:val="cs-CZ"/>
        </w:rPr>
        <w:t xml:space="preserve"> ke zvýhodněnému úvěru bude možné </w:t>
      </w:r>
      <w:r w:rsidR="00155289" w:rsidRPr="00594AA0">
        <w:rPr>
          <w:lang w:val="cs-CZ"/>
        </w:rPr>
        <w:t xml:space="preserve">poskytovat buďto jako pevnou „sumu hodin“ poskytnutého poradenství, nebo jako procentuální poměr z poskytovaného úvěru. </w:t>
      </w:r>
      <w:r w:rsidR="003C3AC8">
        <w:rPr>
          <w:lang w:val="cs-CZ"/>
        </w:rPr>
        <w:t>Pro p</w:t>
      </w:r>
      <w:r w:rsidRPr="00594AA0">
        <w:rPr>
          <w:lang w:val="cs-CZ"/>
        </w:rPr>
        <w:t>oskytnuté poradenství bud</w:t>
      </w:r>
      <w:r w:rsidR="003C3AC8">
        <w:rPr>
          <w:lang w:val="cs-CZ"/>
        </w:rPr>
        <w:t>ou definovány doporučené limity</w:t>
      </w:r>
      <w:r w:rsidRPr="00594AA0">
        <w:rPr>
          <w:lang w:val="cs-CZ"/>
        </w:rPr>
        <w:t>.</w:t>
      </w:r>
      <w:r w:rsidR="006F73F5">
        <w:rPr>
          <w:lang w:val="cs-CZ"/>
        </w:rPr>
        <w:t xml:space="preserve"> Příjemce podpory nebude muset poradenství čerpat.</w:t>
      </w:r>
    </w:p>
    <w:p w14:paraId="3CB02D71" w14:textId="77777777" w:rsidR="001E0FC5" w:rsidRPr="00762AA6" w:rsidRDefault="00B61928" w:rsidP="008079EE">
      <w:pPr>
        <w:jc w:val="both"/>
        <w:rPr>
          <w:b/>
          <w:lang w:val="cs-CZ"/>
        </w:rPr>
      </w:pPr>
      <w:r w:rsidRPr="00594AA0">
        <w:rPr>
          <w:lang w:val="cs-CZ"/>
        </w:rPr>
        <w:t xml:space="preserve"> </w:t>
      </w:r>
      <w:r w:rsidR="00762AA6" w:rsidRPr="00762AA6">
        <w:rPr>
          <w:b/>
          <w:lang w:val="cs-CZ"/>
        </w:rPr>
        <w:t>C</w:t>
      </w:r>
      <w:r w:rsidR="001E0FC5" w:rsidRPr="00762AA6">
        <w:rPr>
          <w:b/>
          <w:lang w:val="cs-CZ"/>
        </w:rPr>
        <w:t>íle finančního nástroje</w:t>
      </w:r>
    </w:p>
    <w:p w14:paraId="3CB02D72" w14:textId="77777777" w:rsidR="006C3999" w:rsidRPr="00594AA0" w:rsidRDefault="001E0FC5" w:rsidP="008079EE">
      <w:pPr>
        <w:jc w:val="both"/>
        <w:rPr>
          <w:lang w:val="cs-CZ"/>
        </w:rPr>
      </w:pPr>
      <w:r w:rsidRPr="00594AA0">
        <w:rPr>
          <w:lang w:val="cs-CZ"/>
        </w:rPr>
        <w:t>V tržním pros</w:t>
      </w:r>
      <w:r w:rsidR="006C3999" w:rsidRPr="00594AA0">
        <w:rPr>
          <w:lang w:val="cs-CZ"/>
        </w:rPr>
        <w:t xml:space="preserve">tředí jsou poskytovány </w:t>
      </w:r>
      <w:r w:rsidRPr="00594AA0">
        <w:rPr>
          <w:lang w:val="cs-CZ"/>
        </w:rPr>
        <w:t xml:space="preserve">úvěry, jejichž úroková sazba a doba splatnosti, popřípadě požadované zástavy a ručení jsou kalkulovány podle ekonomických ukazatelů žadatelova podnikání, dřívější schopnosti splácet a situací na úvěrovém trhu. </w:t>
      </w:r>
    </w:p>
    <w:p w14:paraId="3CB02D73" w14:textId="77777777" w:rsidR="007E0FF5" w:rsidRPr="00594AA0" w:rsidRDefault="001E0FC5" w:rsidP="008079EE">
      <w:pPr>
        <w:jc w:val="both"/>
        <w:rPr>
          <w:lang w:val="cs-CZ"/>
        </w:rPr>
      </w:pPr>
      <w:r w:rsidRPr="00594AA0">
        <w:rPr>
          <w:lang w:val="cs-CZ"/>
        </w:rPr>
        <w:t>Pro sociální podniky</w:t>
      </w:r>
      <w:r w:rsidR="005F7AE4">
        <w:rPr>
          <w:lang w:val="cs-CZ"/>
        </w:rPr>
        <w:t xml:space="preserve"> </w:t>
      </w:r>
      <w:r w:rsidRPr="00594AA0">
        <w:rPr>
          <w:lang w:val="cs-CZ"/>
        </w:rPr>
        <w:t xml:space="preserve">je často velice složité, ne-li nemožné, splnit požadavky finančních institucí na poskytnutí úvěru. Vzniká tak tržní selhání, na jehož řešení je zaměřen </w:t>
      </w:r>
      <w:r w:rsidR="007E0FF5" w:rsidRPr="00594AA0">
        <w:rPr>
          <w:lang w:val="cs-CZ"/>
        </w:rPr>
        <w:t xml:space="preserve">navrhovaný </w:t>
      </w:r>
      <w:r w:rsidRPr="00594AA0">
        <w:rPr>
          <w:lang w:val="cs-CZ"/>
        </w:rPr>
        <w:t>finanční nástroj úvěrového charakteru</w:t>
      </w:r>
      <w:r w:rsidR="007E0FF5" w:rsidRPr="00594AA0">
        <w:rPr>
          <w:lang w:val="cs-CZ"/>
        </w:rPr>
        <w:t xml:space="preserve">. </w:t>
      </w:r>
      <w:r w:rsidRPr="00594AA0">
        <w:rPr>
          <w:lang w:val="cs-CZ"/>
        </w:rPr>
        <w:t xml:space="preserve"> </w:t>
      </w:r>
    </w:p>
    <w:p w14:paraId="3CB02D74" w14:textId="77777777" w:rsidR="001E0FC5" w:rsidRPr="00594AA0" w:rsidRDefault="001E0FC5" w:rsidP="008079EE">
      <w:pPr>
        <w:jc w:val="both"/>
        <w:rPr>
          <w:lang w:val="cs-CZ"/>
        </w:rPr>
      </w:pPr>
      <w:r w:rsidRPr="00594AA0">
        <w:rPr>
          <w:lang w:val="cs-CZ"/>
        </w:rPr>
        <w:t xml:space="preserve">Hlavním cílem finančního nástroje </w:t>
      </w:r>
      <w:r w:rsidR="004E0A3C">
        <w:rPr>
          <w:lang w:val="cs-CZ"/>
        </w:rPr>
        <w:t xml:space="preserve">tak </w:t>
      </w:r>
      <w:r w:rsidRPr="00594AA0">
        <w:rPr>
          <w:lang w:val="cs-CZ"/>
        </w:rPr>
        <w:t xml:space="preserve">je umožnit realizaci projektů, které by pravděpodobně nebyly realizovány z důvodu identifikovaného tržního selhání. Mezi další cíle nástroje lze zařadit potřebu zabezpečit návratnost prostředků, které umožní opakované řešení </w:t>
      </w:r>
      <w:r w:rsidR="003C3AC8">
        <w:rPr>
          <w:lang w:val="cs-CZ"/>
        </w:rPr>
        <w:t>pro projekty</w:t>
      </w:r>
      <w:r w:rsidR="003C3AC8" w:rsidRPr="00594AA0">
        <w:rPr>
          <w:lang w:val="cs-CZ"/>
        </w:rPr>
        <w:t xml:space="preserve"> </w:t>
      </w:r>
      <w:r w:rsidRPr="00594AA0">
        <w:rPr>
          <w:lang w:val="cs-CZ"/>
        </w:rPr>
        <w:t xml:space="preserve">v oblasti sociálního podnikání i po skončení programového období.  </w:t>
      </w:r>
    </w:p>
    <w:p w14:paraId="3CB02D75" w14:textId="77777777" w:rsidR="00322159" w:rsidRPr="00594AA0" w:rsidRDefault="00746476" w:rsidP="008079EE">
      <w:pPr>
        <w:pStyle w:val="Nadpis2"/>
        <w:jc w:val="both"/>
        <w:rPr>
          <w:lang w:val="cs-CZ"/>
        </w:rPr>
      </w:pPr>
      <w:r w:rsidRPr="00594AA0">
        <w:rPr>
          <w:lang w:val="cs-CZ"/>
        </w:rPr>
        <w:t>Charakteristika</w:t>
      </w:r>
      <w:r w:rsidR="00322159" w:rsidRPr="00594AA0">
        <w:rPr>
          <w:lang w:val="cs-CZ"/>
        </w:rPr>
        <w:t xml:space="preserve"> finančního nástroje</w:t>
      </w:r>
    </w:p>
    <w:p w14:paraId="3CB02D76" w14:textId="77777777" w:rsidR="00155289" w:rsidRPr="00594AA0" w:rsidRDefault="00322159" w:rsidP="008079EE">
      <w:pPr>
        <w:jc w:val="both"/>
        <w:rPr>
          <w:lang w:val="cs-CZ"/>
        </w:rPr>
      </w:pPr>
      <w:r w:rsidRPr="00594AA0">
        <w:rPr>
          <w:lang w:val="cs-CZ"/>
        </w:rPr>
        <w:t>P</w:t>
      </w:r>
      <w:r w:rsidR="00155289" w:rsidRPr="00594AA0">
        <w:rPr>
          <w:lang w:val="cs-CZ"/>
        </w:rPr>
        <w:t xml:space="preserve">odpora </w:t>
      </w:r>
      <w:r w:rsidRPr="00594AA0">
        <w:rPr>
          <w:lang w:val="cs-CZ"/>
        </w:rPr>
        <w:t>formou zvýhodněného</w:t>
      </w:r>
      <w:r w:rsidR="00155289" w:rsidRPr="00594AA0">
        <w:rPr>
          <w:lang w:val="cs-CZ"/>
        </w:rPr>
        <w:t xml:space="preserve"> úvěr</w:t>
      </w:r>
      <w:r w:rsidRPr="00594AA0">
        <w:rPr>
          <w:lang w:val="cs-CZ"/>
        </w:rPr>
        <w:t>u</w:t>
      </w:r>
      <w:r w:rsidR="00155289" w:rsidRPr="00594AA0">
        <w:rPr>
          <w:lang w:val="cs-CZ"/>
        </w:rPr>
        <w:t xml:space="preserve"> s poradenstvím </w:t>
      </w:r>
      <w:r w:rsidRPr="00594AA0">
        <w:rPr>
          <w:lang w:val="cs-CZ"/>
        </w:rPr>
        <w:t>z</w:t>
      </w:r>
      <w:r w:rsidR="00155289" w:rsidRPr="00594AA0">
        <w:rPr>
          <w:lang w:val="cs-CZ"/>
        </w:rPr>
        <w:t xml:space="preserve">namená důraz na rychlou transformaci kultury „dotační závislosti“ na fungování formou soběstačnosti, tzn. schopnosti generovat </w:t>
      </w:r>
      <w:r w:rsidR="00855697">
        <w:rPr>
          <w:lang w:val="cs-CZ"/>
        </w:rPr>
        <w:t>výnosy</w:t>
      </w:r>
      <w:r w:rsidR="00855697" w:rsidRPr="00594AA0">
        <w:rPr>
          <w:lang w:val="cs-CZ"/>
        </w:rPr>
        <w:t xml:space="preserve"> </w:t>
      </w:r>
      <w:r w:rsidR="00155289" w:rsidRPr="00594AA0">
        <w:rPr>
          <w:lang w:val="cs-CZ"/>
        </w:rPr>
        <w:t>na pokrytí vlastních výdajů</w:t>
      </w:r>
      <w:r w:rsidR="0002259A" w:rsidRPr="00594AA0">
        <w:rPr>
          <w:lang w:val="cs-CZ"/>
        </w:rPr>
        <w:t xml:space="preserve"> v podnikání</w:t>
      </w:r>
      <w:r w:rsidR="00155289" w:rsidRPr="00594AA0">
        <w:rPr>
          <w:lang w:val="cs-CZ"/>
        </w:rPr>
        <w:t xml:space="preserve">. </w:t>
      </w:r>
      <w:r w:rsidR="0002259A" w:rsidRPr="00594AA0">
        <w:rPr>
          <w:lang w:val="cs-CZ"/>
        </w:rPr>
        <w:t xml:space="preserve">Základ investiční strategie </w:t>
      </w:r>
      <w:r w:rsidR="004E0A3C">
        <w:rPr>
          <w:lang w:val="cs-CZ"/>
        </w:rPr>
        <w:t xml:space="preserve">ve formě definovaných parametrů nástroje </w:t>
      </w:r>
      <w:r w:rsidR="0002259A" w:rsidRPr="00594AA0">
        <w:rPr>
          <w:lang w:val="cs-CZ"/>
        </w:rPr>
        <w:t xml:space="preserve">je podrobně rozpracován v následující přehledové tabulce. </w:t>
      </w:r>
    </w:p>
    <w:tbl>
      <w:tblPr>
        <w:tblW w:w="93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087"/>
        <w:gridCol w:w="161"/>
      </w:tblGrid>
      <w:tr w:rsidR="004E0A3C" w:rsidRPr="00594AA0" w14:paraId="3CB02D79" w14:textId="77777777" w:rsidTr="00893607">
        <w:trPr>
          <w:gridAfter w:val="1"/>
          <w:wAfter w:w="161" w:type="dxa"/>
          <w:trHeight w:val="494"/>
          <w:tblHeader/>
        </w:trPr>
        <w:tc>
          <w:tcPr>
            <w:tcW w:w="2127" w:type="dxa"/>
            <w:tcBorders>
              <w:top w:val="single" w:sz="24" w:space="0" w:color="86BC25"/>
            </w:tcBorders>
            <w:shd w:val="clear" w:color="auto" w:fill="auto"/>
            <w:vAlign w:val="center"/>
          </w:tcPr>
          <w:p w14:paraId="3CB02D77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Parametry nástroje</w:t>
            </w:r>
          </w:p>
        </w:tc>
        <w:tc>
          <w:tcPr>
            <w:tcW w:w="7087" w:type="dxa"/>
            <w:tcBorders>
              <w:top w:val="single" w:sz="24" w:space="0" w:color="86BC25"/>
            </w:tcBorders>
            <w:shd w:val="clear" w:color="auto" w:fill="auto"/>
            <w:vAlign w:val="center"/>
          </w:tcPr>
          <w:p w14:paraId="3CB02D78" w14:textId="77777777" w:rsidR="004E0A3C" w:rsidRPr="00594AA0" w:rsidRDefault="004E0A3C" w:rsidP="008079EE">
            <w:pPr>
              <w:spacing w:after="0" w:line="276" w:lineRule="auto"/>
              <w:ind w:left="-145" w:right="142" w:firstLine="286"/>
              <w:jc w:val="both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Zvýhodněný úvěr s poradenstvím</w:t>
            </w:r>
          </w:p>
        </w:tc>
      </w:tr>
      <w:tr w:rsidR="004E0A3C" w:rsidRPr="00FF2360" w14:paraId="3CB02D7E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7A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Základní popis</w:t>
            </w:r>
          </w:p>
        </w:tc>
        <w:tc>
          <w:tcPr>
            <w:tcW w:w="7087" w:type="dxa"/>
            <w:shd w:val="clear" w:color="auto" w:fill="auto"/>
          </w:tcPr>
          <w:p w14:paraId="3CB02D7B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196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>Podpora ze zdrojů OPZ zaměřená na sociální podniky v rozvojové fázi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 i startovací fázi (nové i stávající sociální podniky)</w:t>
            </w:r>
          </w:p>
          <w:p w14:paraId="3CB02D7C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196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Návratná podpora ve formě 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zvýhodněného 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úvěru </w:t>
            </w:r>
          </w:p>
          <w:p w14:paraId="3CB02D7D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196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>Integrální součástí je bezplatné poradenství ohledně strategických otázek fungování a rozvoje SP</w:t>
            </w:r>
          </w:p>
        </w:tc>
      </w:tr>
      <w:tr w:rsidR="004E0A3C" w:rsidRPr="00FF2360" w14:paraId="3CB02D82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7F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Oblast působnosti finančního nástroje</w:t>
            </w:r>
          </w:p>
        </w:tc>
        <w:tc>
          <w:tcPr>
            <w:tcW w:w="7087" w:type="dxa"/>
            <w:shd w:val="clear" w:color="auto" w:fill="auto"/>
          </w:tcPr>
          <w:p w14:paraId="3CB02D80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196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Rozvoj stávajících 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i nových 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>podnikatelských aktivit v oblasti sociálního podnikání</w:t>
            </w:r>
          </w:p>
          <w:p w14:paraId="3CB02D81" w14:textId="77777777" w:rsidR="004E0A3C" w:rsidRPr="00594AA0" w:rsidRDefault="004E0A3C" w:rsidP="008079EE">
            <w:pPr>
              <w:spacing w:after="0" w:line="276" w:lineRule="auto"/>
              <w:ind w:right="196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</w:p>
        </w:tc>
      </w:tr>
      <w:tr w:rsidR="004E0A3C" w:rsidRPr="00594AA0" w14:paraId="3CB02D85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83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Způsobilé výdaje</w:t>
            </w:r>
          </w:p>
        </w:tc>
        <w:tc>
          <w:tcPr>
            <w:tcW w:w="7087" w:type="dxa"/>
            <w:shd w:val="clear" w:color="auto" w:fill="auto"/>
          </w:tcPr>
          <w:p w14:paraId="3CB02D84" w14:textId="77777777" w:rsidR="004E0A3C" w:rsidRPr="008079EE" w:rsidRDefault="004E0A3C" w:rsidP="008079EE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ind w:left="422" w:right="196" w:hanging="284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8079EE">
              <w:rPr>
                <w:rFonts w:eastAsia="Times New Roman"/>
                <w:sz w:val="17"/>
                <w:szCs w:val="17"/>
                <w:lang w:val="cs-CZ"/>
              </w:rPr>
              <w:t>Investiční výdaje (pořízení dlouhodobého hmotného a nehmotného majetku) a provozní výdaje</w:t>
            </w:r>
          </w:p>
        </w:tc>
      </w:tr>
      <w:tr w:rsidR="004E0A3C" w:rsidRPr="00FF2360" w14:paraId="3CB02D88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86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Maximální výše poskytnuté podpory konečnému příjemci</w:t>
            </w:r>
          </w:p>
        </w:tc>
        <w:tc>
          <w:tcPr>
            <w:tcW w:w="7087" w:type="dxa"/>
            <w:shd w:val="clear" w:color="auto" w:fill="auto"/>
          </w:tcPr>
          <w:p w14:paraId="3CB02D87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196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Výše úvěru max. 2</w:t>
            </w:r>
            <w:r>
              <w:rPr>
                <w:rFonts w:eastAsia="Times New Roman"/>
                <w:b/>
                <w:sz w:val="17"/>
                <w:szCs w:val="17"/>
                <w:lang w:val="cs-CZ"/>
              </w:rPr>
              <w:t>5</w:t>
            </w: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mil. Kč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</w:t>
            </w:r>
          </w:p>
        </w:tc>
      </w:tr>
      <w:tr w:rsidR="004E0A3C" w:rsidRPr="00FF2360" w14:paraId="3CB02D8C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89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Okruh oprávněných žadatelů</w:t>
            </w:r>
          </w:p>
        </w:tc>
        <w:tc>
          <w:tcPr>
            <w:tcW w:w="7087" w:type="dxa"/>
            <w:shd w:val="clear" w:color="auto" w:fill="auto"/>
          </w:tcPr>
          <w:p w14:paraId="3CB02D8A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>
              <w:rPr>
                <w:rFonts w:eastAsia="Times New Roman"/>
                <w:sz w:val="17"/>
                <w:szCs w:val="17"/>
                <w:lang w:val="cs-CZ"/>
              </w:rPr>
              <w:t>S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ociální </w:t>
            </w:r>
            <w:r w:rsidR="001E1C95" w:rsidRPr="00594AA0">
              <w:rPr>
                <w:rFonts w:eastAsia="Times New Roman"/>
                <w:sz w:val="17"/>
                <w:szCs w:val="17"/>
                <w:lang w:val="cs-CZ"/>
              </w:rPr>
              <w:t>podnik</w:t>
            </w:r>
            <w:r w:rsidR="001E1C95">
              <w:rPr>
                <w:rFonts w:eastAsia="Times New Roman"/>
                <w:sz w:val="17"/>
                <w:szCs w:val="17"/>
                <w:lang w:val="cs-CZ"/>
              </w:rPr>
              <w:t>y</w:t>
            </w:r>
          </w:p>
          <w:p w14:paraId="3CB02D8B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>Zacílení podpory na celé území České republiky napříč všemi typy regionů</w:t>
            </w:r>
          </w:p>
        </w:tc>
      </w:tr>
      <w:tr w:rsidR="004E0A3C" w:rsidRPr="00FF2360" w14:paraId="3CB02D90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8D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lastRenderedPageBreak/>
              <w:t>Atribut nástroje – úroková sazba</w:t>
            </w:r>
          </w:p>
        </w:tc>
        <w:tc>
          <w:tcPr>
            <w:tcW w:w="7087" w:type="dxa"/>
            <w:shd w:val="clear" w:color="auto" w:fill="auto"/>
          </w:tcPr>
          <w:p w14:paraId="3CB02D8E" w14:textId="77777777" w:rsidR="004E0A3C" w:rsidRPr="00855697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>
              <w:rPr>
                <w:rFonts w:eastAsia="Times New Roman"/>
                <w:sz w:val="17"/>
                <w:szCs w:val="17"/>
                <w:lang w:val="cs-CZ"/>
              </w:rPr>
              <w:t xml:space="preserve">Úvěr je poskytován se </w:t>
            </w:r>
            <w:r w:rsidR="009043C7">
              <w:rPr>
                <w:rFonts w:eastAsia="Times New Roman"/>
                <w:b/>
                <w:sz w:val="17"/>
                <w:szCs w:val="17"/>
                <w:lang w:val="cs-CZ"/>
              </w:rPr>
              <w:t>zvýhodněnou</w:t>
            </w:r>
            <w:r w:rsidRPr="00855697">
              <w:rPr>
                <w:rFonts w:eastAsia="Times New Roman"/>
                <w:b/>
                <w:sz w:val="17"/>
                <w:szCs w:val="17"/>
                <w:lang w:val="cs-CZ"/>
              </w:rPr>
              <w:t xml:space="preserve"> úrokovou sazbou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 od 0 % p. a.</w:t>
            </w:r>
          </w:p>
          <w:p w14:paraId="3CB02D8F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Žádné dodatečné poplatky </w:t>
            </w:r>
          </w:p>
        </w:tc>
      </w:tr>
      <w:tr w:rsidR="004E0A3C" w:rsidRPr="00FF2360" w14:paraId="3CB02D94" w14:textId="77777777" w:rsidTr="00893607">
        <w:tc>
          <w:tcPr>
            <w:tcW w:w="2127" w:type="dxa"/>
            <w:shd w:val="clear" w:color="auto" w:fill="F2F2F2"/>
            <w:vAlign w:val="center"/>
          </w:tcPr>
          <w:p w14:paraId="3CB02D91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Atribut nástroje – splatnost</w:t>
            </w:r>
          </w:p>
        </w:tc>
        <w:tc>
          <w:tcPr>
            <w:tcW w:w="7248" w:type="dxa"/>
            <w:gridSpan w:val="2"/>
          </w:tcPr>
          <w:p w14:paraId="3CB02D92" w14:textId="77777777" w:rsidR="004E0A3C" w:rsidRPr="00594AA0" w:rsidRDefault="004E0A3C" w:rsidP="008079EE">
            <w:pPr>
              <w:numPr>
                <w:ilvl w:val="0"/>
                <w:numId w:val="36"/>
              </w:numPr>
              <w:spacing w:after="0" w:line="276" w:lineRule="auto"/>
              <w:ind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Délka splatnosti úvěru </w:t>
            </w: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až 10 let</w:t>
            </w:r>
            <w:r w:rsidRPr="0083476C">
              <w:rPr>
                <w:rFonts w:eastAsia="Times New Roman"/>
                <w:sz w:val="17"/>
                <w:szCs w:val="17"/>
                <w:lang w:val="cs-CZ"/>
              </w:rPr>
              <w:t>, v případě nemovitostních projektů až</w:t>
            </w:r>
            <w:r>
              <w:rPr>
                <w:rFonts w:eastAsia="Times New Roman"/>
                <w:b/>
                <w:sz w:val="17"/>
                <w:szCs w:val="17"/>
                <w:lang w:val="cs-CZ"/>
              </w:rPr>
              <w:t xml:space="preserve"> 12 let</w:t>
            </w:r>
          </w:p>
          <w:p w14:paraId="3CB02D93" w14:textId="77777777" w:rsidR="004E0A3C" w:rsidRPr="00594AA0" w:rsidRDefault="004E0A3C" w:rsidP="008079EE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Možnost odkladu první splátky </w:t>
            </w:r>
            <w:r>
              <w:rPr>
                <w:rFonts w:eastAsia="Times New Roman"/>
                <w:b/>
                <w:sz w:val="17"/>
                <w:szCs w:val="17"/>
                <w:lang w:val="cs-CZ"/>
              </w:rPr>
              <w:t>až 36</w:t>
            </w: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 xml:space="preserve"> měsíců</w:t>
            </w:r>
          </w:p>
        </w:tc>
      </w:tr>
      <w:tr w:rsidR="004E0A3C" w:rsidRPr="00FF2360" w14:paraId="3CB02D97" w14:textId="77777777" w:rsidTr="00893607">
        <w:trPr>
          <w:trHeight w:val="318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3CB02D95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Atribut nástroje – požadavky ručení</w:t>
            </w:r>
          </w:p>
        </w:tc>
        <w:tc>
          <w:tcPr>
            <w:tcW w:w="7248" w:type="dxa"/>
            <w:gridSpan w:val="2"/>
          </w:tcPr>
          <w:p w14:paraId="3CB02D96" w14:textId="77777777" w:rsidR="004E0A3C" w:rsidRPr="00594AA0" w:rsidRDefault="004E0A3C" w:rsidP="008079E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17"/>
                <w:szCs w:val="17"/>
                <w:lang w:val="cs-CZ"/>
              </w:rPr>
            </w:pPr>
            <w:r>
              <w:rPr>
                <w:rFonts w:eastAsia="Times New Roman"/>
                <w:sz w:val="17"/>
                <w:szCs w:val="17"/>
                <w:lang w:val="cs-CZ"/>
              </w:rPr>
              <w:t>Zajištění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</w:t>
            </w:r>
            <w:r>
              <w:rPr>
                <w:rFonts w:eastAsia="Times New Roman"/>
                <w:sz w:val="17"/>
                <w:szCs w:val="17"/>
                <w:lang w:val="cs-CZ"/>
              </w:rPr>
              <w:t>dle dohody mezi správcem finančního nástroje a příjemcem podpory</w:t>
            </w:r>
          </w:p>
        </w:tc>
      </w:tr>
      <w:tr w:rsidR="004E0A3C" w:rsidRPr="00FF2360" w14:paraId="3CB02D9A" w14:textId="77777777" w:rsidTr="00893607">
        <w:trPr>
          <w:trHeight w:val="316"/>
        </w:trPr>
        <w:tc>
          <w:tcPr>
            <w:tcW w:w="2127" w:type="dxa"/>
            <w:vMerge/>
            <w:shd w:val="clear" w:color="auto" w:fill="F2F2F2"/>
            <w:vAlign w:val="center"/>
          </w:tcPr>
          <w:p w14:paraId="3CB02D98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</w:p>
        </w:tc>
        <w:tc>
          <w:tcPr>
            <w:tcW w:w="7248" w:type="dxa"/>
            <w:gridSpan w:val="2"/>
          </w:tcPr>
          <w:p w14:paraId="3CB02D99" w14:textId="77777777" w:rsidR="004E0A3C" w:rsidRPr="00594AA0" w:rsidRDefault="004E0A3C" w:rsidP="009043C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Správci finančního nástroje bude plně kryta </w:t>
            </w: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 xml:space="preserve">až </w:t>
            </w:r>
            <w:r>
              <w:rPr>
                <w:rFonts w:eastAsia="Times New Roman"/>
                <w:b/>
                <w:sz w:val="17"/>
                <w:szCs w:val="17"/>
                <w:lang w:val="cs-CZ"/>
              </w:rPr>
              <w:t>2</w:t>
            </w:r>
            <w:r w:rsidR="009043C7">
              <w:rPr>
                <w:rFonts w:eastAsia="Times New Roman"/>
                <w:b/>
                <w:sz w:val="17"/>
                <w:szCs w:val="17"/>
                <w:lang w:val="cs-CZ"/>
              </w:rPr>
              <w:t>0</w:t>
            </w:r>
            <w:r>
              <w:rPr>
                <w:rFonts w:eastAsia="Times New Roman"/>
                <w:b/>
                <w:sz w:val="17"/>
                <w:szCs w:val="17"/>
                <w:lang w:val="cs-CZ"/>
              </w:rPr>
              <w:t xml:space="preserve"> </w:t>
            </w:r>
            <w:r w:rsidRPr="00594AA0" w:rsidDel="002B528B">
              <w:rPr>
                <w:rFonts w:eastAsia="Times New Roman"/>
                <w:b/>
                <w:sz w:val="17"/>
                <w:szCs w:val="17"/>
                <w:lang w:val="cs-CZ"/>
              </w:rPr>
              <w:t>%</w:t>
            </w: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 xml:space="preserve">  default </w:t>
            </w:r>
            <w:proofErr w:type="spellStart"/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rate</w:t>
            </w:r>
            <w:proofErr w:type="spellEnd"/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na portfoliu poskytnutých zdrojů mezi podpořené SP</w:t>
            </w:r>
          </w:p>
        </w:tc>
      </w:tr>
      <w:tr w:rsidR="004E0A3C" w:rsidRPr="00FF2360" w14:paraId="3CB02DA2" w14:textId="77777777" w:rsidTr="00893607">
        <w:trPr>
          <w:trHeight w:val="595"/>
        </w:trPr>
        <w:tc>
          <w:tcPr>
            <w:tcW w:w="2127" w:type="dxa"/>
            <w:shd w:val="clear" w:color="auto" w:fill="F2F2F2"/>
            <w:vAlign w:val="center"/>
          </w:tcPr>
          <w:p w14:paraId="3CB02D9B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Atribut nástroje – poradenství</w:t>
            </w:r>
          </w:p>
        </w:tc>
        <w:tc>
          <w:tcPr>
            <w:tcW w:w="7248" w:type="dxa"/>
            <w:gridSpan w:val="2"/>
          </w:tcPr>
          <w:p w14:paraId="3CB02D9C" w14:textId="77777777" w:rsidR="004E0A3C" w:rsidRPr="00594AA0" w:rsidRDefault="004E0A3C" w:rsidP="008079EE">
            <w:pPr>
              <w:numPr>
                <w:ilvl w:val="0"/>
                <w:numId w:val="37"/>
              </w:numPr>
              <w:spacing w:after="0" w:line="276" w:lineRule="auto"/>
              <w:ind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>Bezplatné, pro žadatele (příprava projektu) i příjemce (realizace)</w:t>
            </w:r>
          </w:p>
          <w:p w14:paraId="3CB02D9D" w14:textId="77777777" w:rsidR="004E0A3C" w:rsidRDefault="004E0A3C" w:rsidP="008079EE">
            <w:pPr>
              <w:numPr>
                <w:ilvl w:val="0"/>
                <w:numId w:val="37"/>
              </w:numPr>
              <w:spacing w:after="0" w:line="276" w:lineRule="auto"/>
              <w:ind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>Strategická povaha – strategické cíle, obchodní strategie, marketing</w:t>
            </w:r>
            <w:r>
              <w:rPr>
                <w:rFonts w:eastAsia="Times New Roman"/>
                <w:sz w:val="17"/>
                <w:szCs w:val="17"/>
                <w:lang w:val="cs-CZ"/>
              </w:rPr>
              <w:t>, právo, IT a personalistika</w:t>
            </w:r>
          </w:p>
          <w:p w14:paraId="3CB02D9E" w14:textId="77777777" w:rsidR="004E0A3C" w:rsidRPr="00594AA0" w:rsidRDefault="004E0A3C" w:rsidP="008079EE">
            <w:pPr>
              <w:numPr>
                <w:ilvl w:val="0"/>
                <w:numId w:val="37"/>
              </w:numPr>
              <w:spacing w:after="0" w:line="276" w:lineRule="auto"/>
              <w:ind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>
              <w:rPr>
                <w:rFonts w:eastAsia="Times New Roman"/>
                <w:sz w:val="17"/>
                <w:szCs w:val="17"/>
                <w:lang w:val="cs-CZ"/>
              </w:rPr>
              <w:t xml:space="preserve">Finanční poradenství, 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>tvorba finančního plánu, dlouhodobě udržitelné financování</w:t>
            </w:r>
          </w:p>
          <w:p w14:paraId="3CB02D9F" w14:textId="77777777" w:rsidR="004E0A3C" w:rsidRPr="00594AA0" w:rsidRDefault="004E0A3C" w:rsidP="008079EE">
            <w:pPr>
              <w:numPr>
                <w:ilvl w:val="0"/>
                <w:numId w:val="37"/>
              </w:numPr>
              <w:spacing w:after="0" w:line="276" w:lineRule="auto"/>
              <w:ind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>Primárně bez omezení intenzity čerpání na jeden subjekt (počet hodin</w:t>
            </w:r>
            <w:r>
              <w:rPr>
                <w:rFonts w:eastAsia="Times New Roman"/>
                <w:sz w:val="17"/>
                <w:szCs w:val="17"/>
                <w:lang w:val="cs-CZ"/>
              </w:rPr>
              <w:t>)</w:t>
            </w:r>
          </w:p>
          <w:p w14:paraId="3CB02DA0" w14:textId="77777777" w:rsidR="004E0A3C" w:rsidRPr="00594AA0" w:rsidRDefault="004E0A3C" w:rsidP="008079EE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Dostupné u správce nástroje podpory, </w:t>
            </w:r>
            <w:r>
              <w:rPr>
                <w:rFonts w:eastAsia="Times New Roman"/>
                <w:sz w:val="17"/>
                <w:szCs w:val="17"/>
                <w:lang w:val="cs-CZ"/>
              </w:rPr>
              <w:t>po domluvě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také v sídle SP</w:t>
            </w:r>
          </w:p>
          <w:p w14:paraId="3CB02DA1" w14:textId="77777777" w:rsidR="004E0A3C" w:rsidRPr="00594AA0" w:rsidRDefault="004E0A3C" w:rsidP="008079EE">
            <w:pPr>
              <w:pStyle w:val="Odstavecseseznamem"/>
              <w:spacing w:after="0" w:line="240" w:lineRule="auto"/>
              <w:ind w:left="360"/>
              <w:jc w:val="both"/>
              <w:rPr>
                <w:sz w:val="17"/>
                <w:szCs w:val="17"/>
                <w:lang w:val="cs-CZ"/>
              </w:rPr>
            </w:pPr>
          </w:p>
        </w:tc>
      </w:tr>
      <w:tr w:rsidR="004E0A3C" w:rsidRPr="00594AA0" w14:paraId="3CB02DA5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A3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 xml:space="preserve">Schválená </w:t>
            </w: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br/>
              <w:t>alokace pilotu</w:t>
            </w:r>
          </w:p>
        </w:tc>
        <w:tc>
          <w:tcPr>
            <w:tcW w:w="7087" w:type="dxa"/>
            <w:shd w:val="clear" w:color="auto" w:fill="auto"/>
          </w:tcPr>
          <w:p w14:paraId="3CB02DA4" w14:textId="77777777" w:rsidR="004E0A3C" w:rsidRPr="00594AA0" w:rsidRDefault="004E0A3C" w:rsidP="002E4148">
            <w:pPr>
              <w:numPr>
                <w:ilvl w:val="0"/>
                <w:numId w:val="28"/>
              </w:numPr>
              <w:spacing w:after="0" w:line="276" w:lineRule="auto"/>
              <w:ind w:left="426"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400 mil. Kč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– 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max. 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>10% alokace bude vyčleněno na poradenství</w:t>
            </w:r>
          </w:p>
        </w:tc>
      </w:tr>
      <w:tr w:rsidR="004E0A3C" w:rsidRPr="00FF2360" w14:paraId="3CB02DA8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A6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Veřejná podpora</w:t>
            </w:r>
          </w:p>
        </w:tc>
        <w:tc>
          <w:tcPr>
            <w:tcW w:w="7087" w:type="dxa"/>
            <w:shd w:val="clear" w:color="auto" w:fill="auto"/>
          </w:tcPr>
          <w:p w14:paraId="3CB02DA7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Dle pravidla DE MINIMIS, </w:t>
            </w:r>
            <w:r w:rsidRPr="00995E49">
              <w:rPr>
                <w:rFonts w:eastAsia="Times New Roman"/>
                <w:sz w:val="17"/>
                <w:szCs w:val="17"/>
                <w:lang w:val="cs-CZ"/>
              </w:rPr>
              <w:t xml:space="preserve">příp. </w:t>
            </w:r>
            <w:r>
              <w:rPr>
                <w:rFonts w:eastAsia="Times New Roman"/>
                <w:sz w:val="17"/>
                <w:szCs w:val="17"/>
                <w:lang w:val="cs-CZ"/>
              </w:rPr>
              <w:t>dle</w:t>
            </w:r>
            <w:r w:rsidRPr="00995E49">
              <w:rPr>
                <w:rFonts w:eastAsia="Times New Roman"/>
                <w:sz w:val="17"/>
                <w:szCs w:val="17"/>
                <w:lang w:val="cs-CZ"/>
              </w:rPr>
              <w:t xml:space="preserve"> další</w:t>
            </w:r>
            <w:r>
              <w:rPr>
                <w:rFonts w:eastAsia="Times New Roman"/>
                <w:sz w:val="17"/>
                <w:szCs w:val="17"/>
                <w:lang w:val="cs-CZ"/>
              </w:rPr>
              <w:t>ch</w:t>
            </w:r>
            <w:r w:rsidRPr="00995E49">
              <w:rPr>
                <w:rFonts w:eastAsia="Times New Roman"/>
                <w:sz w:val="17"/>
                <w:szCs w:val="17"/>
                <w:lang w:val="cs-CZ"/>
              </w:rPr>
              <w:t xml:space="preserve"> relevantní</w:t>
            </w:r>
            <w:r>
              <w:rPr>
                <w:rFonts w:eastAsia="Times New Roman"/>
                <w:sz w:val="17"/>
                <w:szCs w:val="17"/>
                <w:lang w:val="cs-CZ"/>
              </w:rPr>
              <w:t>ch</w:t>
            </w:r>
            <w:r w:rsidRPr="00995E49">
              <w:rPr>
                <w:rFonts w:eastAsia="Times New Roman"/>
                <w:sz w:val="17"/>
                <w:szCs w:val="17"/>
                <w:lang w:val="cs-CZ"/>
              </w:rPr>
              <w:t xml:space="preserve"> režim</w:t>
            </w:r>
            <w:r>
              <w:rPr>
                <w:rFonts w:eastAsia="Times New Roman"/>
                <w:sz w:val="17"/>
                <w:szCs w:val="17"/>
                <w:lang w:val="cs-CZ"/>
              </w:rPr>
              <w:t>ů</w:t>
            </w:r>
            <w:r w:rsidRPr="00995E49">
              <w:rPr>
                <w:rFonts w:eastAsia="Times New Roman"/>
                <w:sz w:val="17"/>
                <w:szCs w:val="17"/>
                <w:lang w:val="cs-CZ"/>
              </w:rPr>
              <w:t xml:space="preserve"> veřejné podpory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 dle příslušných článků GBER</w:t>
            </w:r>
          </w:p>
        </w:tc>
      </w:tr>
      <w:tr w:rsidR="004E0A3C" w:rsidRPr="00FF2360" w14:paraId="3CB02DAC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A9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>Horizont realizace finančního nástroje</w:t>
            </w:r>
          </w:p>
        </w:tc>
        <w:tc>
          <w:tcPr>
            <w:tcW w:w="7087" w:type="dxa"/>
            <w:shd w:val="clear" w:color="auto" w:fill="auto"/>
          </w:tcPr>
          <w:p w14:paraId="3CB02DAA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první kolo 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poskytování úvěrů 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do 12/2023 – převod finančních prostředků na správce ve 4 tranších. </w:t>
            </w:r>
          </w:p>
          <w:p w14:paraId="3CB02DAB" w14:textId="702E4638" w:rsidR="004E0A3C" w:rsidRPr="00594AA0" w:rsidRDefault="004E0A3C" w:rsidP="00C91342">
            <w:pPr>
              <w:numPr>
                <w:ilvl w:val="0"/>
                <w:numId w:val="28"/>
              </w:numPr>
              <w:spacing w:after="0" w:line="276" w:lineRule="auto"/>
              <w:ind w:left="426"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Druhé kolo </w:t>
            </w:r>
            <w:r>
              <w:rPr>
                <w:rFonts w:eastAsia="Times New Roman"/>
                <w:sz w:val="17"/>
                <w:szCs w:val="17"/>
                <w:lang w:val="cs-CZ"/>
              </w:rPr>
              <w:t>poskytování úvěrů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</w:t>
            </w:r>
            <w:r>
              <w:rPr>
                <w:rFonts w:eastAsia="Times New Roman"/>
                <w:sz w:val="17"/>
                <w:szCs w:val="17"/>
                <w:lang w:val="cs-CZ"/>
              </w:rPr>
              <w:t>bude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možné spustit, jakmile bude 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na Účtu splátek jistin úvěrů </w:t>
            </w:r>
            <w:r w:rsidR="00C91342">
              <w:rPr>
                <w:rFonts w:eastAsia="Times New Roman"/>
                <w:sz w:val="17"/>
                <w:szCs w:val="17"/>
                <w:lang w:val="cs-CZ"/>
              </w:rPr>
              <w:t>SJN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/4300 kreditní zůstatek minimálně 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50 mil. Kč, do dalšího kola bude </w:t>
            </w:r>
            <w:r>
              <w:rPr>
                <w:rFonts w:eastAsia="Times New Roman"/>
                <w:sz w:val="17"/>
                <w:szCs w:val="17"/>
                <w:lang w:val="cs-CZ"/>
              </w:rPr>
              <w:t>vhodné zvážit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i </w:t>
            </w:r>
            <w:r>
              <w:rPr>
                <w:rFonts w:eastAsia="Times New Roman"/>
                <w:sz w:val="17"/>
                <w:szCs w:val="17"/>
                <w:lang w:val="cs-CZ"/>
              </w:rPr>
              <w:t xml:space="preserve">zapojení 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>další</w:t>
            </w:r>
            <w:r>
              <w:rPr>
                <w:rFonts w:eastAsia="Times New Roman"/>
                <w:sz w:val="17"/>
                <w:szCs w:val="17"/>
                <w:lang w:val="cs-CZ"/>
              </w:rPr>
              <w:t>ch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investor</w:t>
            </w:r>
            <w:r>
              <w:rPr>
                <w:rFonts w:eastAsia="Times New Roman"/>
                <w:sz w:val="17"/>
                <w:szCs w:val="17"/>
                <w:lang w:val="cs-CZ"/>
              </w:rPr>
              <w:t>ů,</w:t>
            </w: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aby byla naplněna podmínka zapojení dalších zdrojů, nejen zdrojů OPZ. </w:t>
            </w:r>
          </w:p>
        </w:tc>
      </w:tr>
      <w:tr w:rsidR="004E0A3C" w:rsidRPr="00FF2360" w14:paraId="3CB02DAF" w14:textId="77777777" w:rsidTr="00893607">
        <w:trPr>
          <w:gridAfter w:val="1"/>
          <w:wAfter w:w="161" w:type="dxa"/>
        </w:trPr>
        <w:tc>
          <w:tcPr>
            <w:tcW w:w="2127" w:type="dxa"/>
            <w:shd w:val="clear" w:color="auto" w:fill="F2F2F2"/>
            <w:vAlign w:val="center"/>
          </w:tcPr>
          <w:p w14:paraId="3CB02DAD" w14:textId="77777777" w:rsidR="004E0A3C" w:rsidRPr="00594AA0" w:rsidRDefault="004E0A3C" w:rsidP="00E87F07">
            <w:pPr>
              <w:spacing w:after="0" w:line="276" w:lineRule="auto"/>
              <w:rPr>
                <w:rFonts w:eastAsia="Times New Roman"/>
                <w:b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t xml:space="preserve">Zvláštní požadavky </w:t>
            </w:r>
            <w:r w:rsidRPr="00594AA0">
              <w:rPr>
                <w:rFonts w:eastAsia="Times New Roman"/>
                <w:b/>
                <w:sz w:val="17"/>
                <w:szCs w:val="17"/>
                <w:lang w:val="cs-CZ"/>
              </w:rPr>
              <w:br/>
              <w:t>a předpoklady</w:t>
            </w:r>
          </w:p>
        </w:tc>
        <w:tc>
          <w:tcPr>
            <w:tcW w:w="7087" w:type="dxa"/>
            <w:shd w:val="clear" w:color="auto" w:fill="auto"/>
          </w:tcPr>
          <w:p w14:paraId="3CB02DAE" w14:textId="77777777" w:rsidR="004E0A3C" w:rsidRPr="00594AA0" w:rsidRDefault="004E0A3C" w:rsidP="008079EE">
            <w:pPr>
              <w:numPr>
                <w:ilvl w:val="0"/>
                <w:numId w:val="28"/>
              </w:numPr>
              <w:spacing w:after="0" w:line="276" w:lineRule="auto"/>
              <w:ind w:left="426" w:right="338"/>
              <w:jc w:val="both"/>
              <w:rPr>
                <w:rFonts w:eastAsia="Times New Roman"/>
                <w:sz w:val="17"/>
                <w:szCs w:val="17"/>
                <w:lang w:val="cs-CZ"/>
              </w:rPr>
            </w:pPr>
            <w:r w:rsidRPr="00594AA0">
              <w:rPr>
                <w:rFonts w:eastAsia="Times New Roman"/>
                <w:sz w:val="17"/>
                <w:szCs w:val="17"/>
                <w:lang w:val="cs-CZ"/>
              </w:rPr>
              <w:t xml:space="preserve"> Zajištění dostupnosti v území, aktivní marketing ze strany správce</w:t>
            </w:r>
          </w:p>
        </w:tc>
      </w:tr>
    </w:tbl>
    <w:p w14:paraId="3CB02DB0" w14:textId="77777777" w:rsidR="00155289" w:rsidRPr="00594AA0" w:rsidRDefault="00155289" w:rsidP="008079EE">
      <w:pPr>
        <w:jc w:val="both"/>
        <w:rPr>
          <w:lang w:val="cs-CZ"/>
        </w:rPr>
      </w:pPr>
    </w:p>
    <w:p w14:paraId="3CB02DB1" w14:textId="77777777" w:rsidR="007E0FF5" w:rsidRPr="00594AA0" w:rsidRDefault="007E0FF5" w:rsidP="008079EE">
      <w:pPr>
        <w:pStyle w:val="Nadpis2"/>
        <w:jc w:val="both"/>
        <w:rPr>
          <w:lang w:val="cs-CZ"/>
        </w:rPr>
      </w:pPr>
      <w:r w:rsidRPr="00594AA0">
        <w:rPr>
          <w:lang w:val="cs-CZ"/>
        </w:rPr>
        <w:t>Charakteristika navrhované implementační struktury</w:t>
      </w:r>
    </w:p>
    <w:p w14:paraId="3CB02DB2" w14:textId="77777777" w:rsidR="00E23EE3" w:rsidRPr="00594AA0" w:rsidRDefault="0002259A" w:rsidP="008079EE">
      <w:pPr>
        <w:jc w:val="both"/>
        <w:rPr>
          <w:lang w:val="cs-CZ"/>
        </w:rPr>
      </w:pPr>
      <w:r w:rsidRPr="00594AA0">
        <w:rPr>
          <w:lang w:val="cs-CZ"/>
        </w:rPr>
        <w:t xml:space="preserve">MPSV se rozhodlo pověřit realizací finančního nástroje Českomoravskou záruční a rozvojovou banku. Využilo k tomu </w:t>
      </w:r>
      <w:r w:rsidR="00E23EE3" w:rsidRPr="00594AA0">
        <w:rPr>
          <w:lang w:val="cs-CZ"/>
        </w:rPr>
        <w:t xml:space="preserve">novelizaci nařízení Evropského parlamentu a Rady (EU, Euratom) č. 2018/1046, ze dne 18. července 2018, kterým se stanoví finanční pravidla pro souhrnný rozpočet Unie, mění nařízení (EU) č. 1296/2013, (EU) č. 1301/2013, (EU) č. 1303/2013, (EU) č. 1304/2013, (EU) č. 1309/2013, (EU) č. 1316/2013, (EU) č. 223/2014 a (EU) č. 283/2014 a rozhodnutí č. 541/2014/EU a zrušuje nařízení (EU, Euratom) č. 966/2012 (tzv. nařízení Omnibus), které vstoupilo v platnost dnem 2. 8. 2018. Toto nařízení umožňuje přímé zadání ČMZRB. </w:t>
      </w:r>
    </w:p>
    <w:p w14:paraId="3CB02DB3" w14:textId="77777777" w:rsidR="007E0FF5" w:rsidRPr="00594AA0" w:rsidRDefault="007E0FF5" w:rsidP="008079EE">
      <w:pPr>
        <w:jc w:val="both"/>
        <w:rPr>
          <w:lang w:val="cs-CZ"/>
        </w:rPr>
      </w:pPr>
      <w:r w:rsidRPr="00594AA0">
        <w:rPr>
          <w:lang w:val="cs-CZ"/>
        </w:rPr>
        <w:t>Během pilotního ověření finančního nástroje</w:t>
      </w:r>
      <w:r w:rsidR="00E23EE3" w:rsidRPr="00594AA0">
        <w:rPr>
          <w:lang w:val="cs-CZ"/>
        </w:rPr>
        <w:t xml:space="preserve"> (2019 – 2023)</w:t>
      </w:r>
      <w:r w:rsidRPr="00594AA0">
        <w:rPr>
          <w:lang w:val="cs-CZ"/>
        </w:rPr>
        <w:t xml:space="preserve"> v rámci OP Z</w:t>
      </w:r>
      <w:r w:rsidR="00E23EE3" w:rsidRPr="00594AA0">
        <w:rPr>
          <w:lang w:val="cs-CZ"/>
        </w:rPr>
        <w:t> není předpokládáno zapojení</w:t>
      </w:r>
      <w:r w:rsidRPr="00594AA0">
        <w:rPr>
          <w:lang w:val="cs-CZ"/>
        </w:rPr>
        <w:t xml:space="preserve"> dodatečné</w:t>
      </w:r>
      <w:r w:rsidR="00E23EE3" w:rsidRPr="00594AA0">
        <w:rPr>
          <w:lang w:val="cs-CZ"/>
        </w:rPr>
        <w:t>ho</w:t>
      </w:r>
      <w:r w:rsidRPr="00594AA0">
        <w:rPr>
          <w:lang w:val="cs-CZ"/>
        </w:rPr>
        <w:t xml:space="preserve"> financování ze strany dalších veřejných či soukromých zdrojů. </w:t>
      </w:r>
      <w:r w:rsidR="00E23EE3" w:rsidRPr="00594AA0">
        <w:rPr>
          <w:lang w:val="cs-CZ"/>
        </w:rPr>
        <w:t xml:space="preserve">(Tedy ani ČMZRB, bude tak čistě v roli správce). </w:t>
      </w:r>
      <w:r w:rsidRPr="00594AA0">
        <w:rPr>
          <w:lang w:val="cs-CZ"/>
        </w:rPr>
        <w:t>V případě, že se fin</w:t>
      </w:r>
      <w:r w:rsidR="000F1432" w:rsidRPr="00594AA0">
        <w:rPr>
          <w:lang w:val="cs-CZ"/>
        </w:rPr>
        <w:t xml:space="preserve">anční nástroj osvědčí, je </w:t>
      </w:r>
      <w:r w:rsidR="005429CD">
        <w:rPr>
          <w:lang w:val="cs-CZ"/>
        </w:rPr>
        <w:t xml:space="preserve">žádoucí </w:t>
      </w:r>
      <w:r w:rsidRPr="00594AA0">
        <w:rPr>
          <w:lang w:val="cs-CZ"/>
        </w:rPr>
        <w:t>pro další kola investic zvážit i zapojení dalších zdrojů a vytěžení pákového efektu a multiplikace.</w:t>
      </w:r>
    </w:p>
    <w:p w14:paraId="3CB02DB4" w14:textId="77777777" w:rsidR="004E0A3C" w:rsidRDefault="004E0A3C" w:rsidP="008079EE">
      <w:pPr>
        <w:jc w:val="both"/>
        <w:rPr>
          <w:lang w:val="cs-CZ"/>
        </w:rPr>
      </w:pPr>
    </w:p>
    <w:p w14:paraId="3CB02DB5" w14:textId="77777777" w:rsidR="004E0A3C" w:rsidRDefault="004E0A3C" w:rsidP="008079EE">
      <w:pPr>
        <w:jc w:val="both"/>
        <w:rPr>
          <w:lang w:val="cs-CZ"/>
        </w:rPr>
      </w:pPr>
    </w:p>
    <w:p w14:paraId="3CB02DB6" w14:textId="77777777" w:rsidR="004E0A3C" w:rsidRDefault="004E0A3C" w:rsidP="008079EE">
      <w:pPr>
        <w:jc w:val="both"/>
        <w:rPr>
          <w:lang w:val="cs-CZ"/>
        </w:rPr>
      </w:pPr>
    </w:p>
    <w:p w14:paraId="3CB02DB7" w14:textId="77777777" w:rsidR="007E0FF5" w:rsidRPr="00594AA0" w:rsidRDefault="007E0FF5" w:rsidP="008079EE">
      <w:pPr>
        <w:jc w:val="both"/>
        <w:rPr>
          <w:lang w:val="cs-CZ"/>
        </w:rPr>
      </w:pPr>
      <w:r w:rsidRPr="00594AA0">
        <w:rPr>
          <w:lang w:val="cs-CZ"/>
        </w:rPr>
        <w:lastRenderedPageBreak/>
        <w:t>Na grafickém zobrazení níže je přehledným způsobem uvedeno, jak bude implementač</w:t>
      </w:r>
      <w:r w:rsidR="0002259A" w:rsidRPr="00594AA0">
        <w:rPr>
          <w:lang w:val="cs-CZ"/>
        </w:rPr>
        <w:t xml:space="preserve">ní struktura nástroje </w:t>
      </w:r>
      <w:r w:rsidRPr="00594AA0">
        <w:rPr>
          <w:lang w:val="cs-CZ"/>
        </w:rPr>
        <w:t xml:space="preserve">fungovat. </w:t>
      </w:r>
    </w:p>
    <w:p w14:paraId="3CB02DB8" w14:textId="77777777" w:rsidR="0002259A" w:rsidRPr="00594AA0" w:rsidRDefault="00A86A21" w:rsidP="008079EE">
      <w:pPr>
        <w:jc w:val="both"/>
        <w:rPr>
          <w:lang w:val="cs-CZ"/>
        </w:rPr>
      </w:pPr>
      <w:r w:rsidRPr="00A86A21">
        <w:rPr>
          <w:noProof/>
          <w:lang w:val="cs-CZ" w:eastAsia="cs-CZ"/>
        </w:rPr>
        <w:drawing>
          <wp:inline distT="0" distB="0" distL="0" distR="0" wp14:anchorId="3CB02DCF" wp14:editId="3CB02DD0">
            <wp:extent cx="5760720" cy="3055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2DB9" w14:textId="77777777" w:rsidR="00DC2C44" w:rsidRPr="00594AA0" w:rsidRDefault="00DC2C44" w:rsidP="008079EE">
      <w:pPr>
        <w:pStyle w:val="Nadpis2"/>
        <w:jc w:val="both"/>
        <w:rPr>
          <w:lang w:val="cs-CZ"/>
        </w:rPr>
      </w:pPr>
      <w:r w:rsidRPr="00594AA0">
        <w:rPr>
          <w:lang w:val="cs-CZ"/>
        </w:rPr>
        <w:t>Charakteristika poskytovaného poradenství</w:t>
      </w:r>
    </w:p>
    <w:p w14:paraId="3CB02DBA" w14:textId="77777777" w:rsidR="007F2FE1" w:rsidRDefault="003B5D19" w:rsidP="008079EE">
      <w:pPr>
        <w:jc w:val="both"/>
        <w:rPr>
          <w:lang w:val="cs-CZ"/>
        </w:rPr>
      </w:pPr>
      <w:r w:rsidRPr="00E87F07">
        <w:rPr>
          <w:lang w:val="cs-CZ"/>
        </w:rPr>
        <w:t>Poradenství bude poskytovat přímo správce finančního nástroje, nebo jím vybraný dodavatel, který v takovém případě musí být vybrán na základě nediskriminačního, transparentního a otevřeného zadávacího řízení.</w:t>
      </w:r>
      <w:r w:rsidR="0068146B">
        <w:rPr>
          <w:lang w:val="cs-CZ"/>
        </w:rPr>
        <w:t xml:space="preserve"> Poradenství pro příjemce podpory bude zaměřeno </w:t>
      </w:r>
      <w:r w:rsidR="00B23875">
        <w:rPr>
          <w:lang w:val="cs-CZ"/>
        </w:rPr>
        <w:t xml:space="preserve">zejména </w:t>
      </w:r>
      <w:r w:rsidR="0068146B">
        <w:rPr>
          <w:lang w:val="cs-CZ"/>
        </w:rPr>
        <w:t>na následující oblasti</w:t>
      </w:r>
      <w:r w:rsidR="00E23EE3" w:rsidRPr="00594AA0">
        <w:rPr>
          <w:lang w:val="cs-CZ"/>
        </w:rPr>
        <w:t>:</w:t>
      </w:r>
    </w:p>
    <w:tbl>
      <w:tblPr>
        <w:tblStyle w:val="Tabulkasmkou4zvraznn11"/>
        <w:tblW w:w="0" w:type="auto"/>
        <w:tblLook w:val="06A0" w:firstRow="1" w:lastRow="0" w:firstColumn="1" w:lastColumn="0" w:noHBand="1" w:noVBand="1"/>
      </w:tblPr>
      <w:tblGrid>
        <w:gridCol w:w="4530"/>
        <w:gridCol w:w="4532"/>
      </w:tblGrid>
      <w:tr w:rsidR="007F2FE1" w:rsidRPr="00594AA0" w14:paraId="3CB02DBD" w14:textId="77777777" w:rsidTr="00923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CB02DBB" w14:textId="77777777" w:rsidR="007F2FE1" w:rsidRPr="00594AA0" w:rsidRDefault="007F2FE1" w:rsidP="008079EE">
            <w:pPr>
              <w:jc w:val="both"/>
              <w:rPr>
                <w:lang w:val="cs-CZ"/>
              </w:rPr>
            </w:pPr>
            <w:r w:rsidRPr="00594AA0">
              <w:rPr>
                <w:lang w:val="cs-CZ"/>
              </w:rPr>
              <w:t>Aktivita</w:t>
            </w:r>
          </w:p>
        </w:tc>
        <w:tc>
          <w:tcPr>
            <w:tcW w:w="4532" w:type="dxa"/>
          </w:tcPr>
          <w:p w14:paraId="3CB02DBC" w14:textId="77777777" w:rsidR="007F2FE1" w:rsidRPr="00594AA0" w:rsidRDefault="001E1C95" w:rsidP="008079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Komentář</w:t>
            </w:r>
          </w:p>
        </w:tc>
      </w:tr>
      <w:tr w:rsidR="007F2FE1" w:rsidRPr="00FF2360" w14:paraId="3CB02DC0" w14:textId="77777777" w:rsidTr="00CA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14:paraId="3CB02DBE" w14:textId="77777777" w:rsidR="007F2FE1" w:rsidRPr="00594AA0" w:rsidRDefault="007F2FE1" w:rsidP="00E87F07">
            <w:pPr>
              <w:rPr>
                <w:b w:val="0"/>
                <w:lang w:val="cs-CZ"/>
              </w:rPr>
            </w:pPr>
            <w:r w:rsidRPr="00594AA0">
              <w:rPr>
                <w:b w:val="0"/>
                <w:lang w:val="cs-CZ"/>
              </w:rPr>
              <w:t>Poradenství v</w:t>
            </w:r>
            <w:r w:rsidR="001E1C95">
              <w:rPr>
                <w:b w:val="0"/>
                <w:lang w:val="cs-CZ"/>
              </w:rPr>
              <w:t> </w:t>
            </w:r>
            <w:r w:rsidRPr="00594AA0">
              <w:rPr>
                <w:b w:val="0"/>
                <w:lang w:val="cs-CZ"/>
              </w:rPr>
              <w:t>oblasti</w:t>
            </w:r>
            <w:r w:rsidR="001E1C95">
              <w:rPr>
                <w:b w:val="0"/>
                <w:lang w:val="cs-CZ"/>
              </w:rPr>
              <w:t xml:space="preserve"> marketingu,</w:t>
            </w:r>
            <w:r w:rsidRPr="00594AA0">
              <w:rPr>
                <w:b w:val="0"/>
                <w:lang w:val="cs-CZ"/>
              </w:rPr>
              <w:t xml:space="preserve"> nastavování kampaní a jejich následném vyhodnocování, ad hoc poradenství v oblasti digitálního marketingu</w:t>
            </w:r>
          </w:p>
        </w:tc>
        <w:tc>
          <w:tcPr>
            <w:tcW w:w="4532" w:type="dxa"/>
            <w:shd w:val="clear" w:color="auto" w:fill="auto"/>
          </w:tcPr>
          <w:p w14:paraId="3CB02DBF" w14:textId="77777777" w:rsidR="007F2FE1" w:rsidRPr="00594AA0" w:rsidRDefault="001E1C95" w:rsidP="00E87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AF1C6D" w:rsidRPr="00594AA0">
              <w:rPr>
                <w:lang w:val="cs-CZ"/>
              </w:rPr>
              <w:t xml:space="preserve">ro </w:t>
            </w:r>
            <w:r>
              <w:rPr>
                <w:lang w:val="cs-CZ"/>
              </w:rPr>
              <w:t>sociální</w:t>
            </w:r>
            <w:r w:rsidR="00AF1C6D" w:rsidRPr="00594AA0">
              <w:rPr>
                <w:lang w:val="cs-CZ"/>
              </w:rPr>
              <w:t xml:space="preserve"> podnikatele</w:t>
            </w:r>
            <w:r w:rsidR="007F2FE1" w:rsidRPr="00594AA0">
              <w:rPr>
                <w:lang w:val="cs-CZ"/>
              </w:rPr>
              <w:t xml:space="preserve"> je důležitý </w:t>
            </w:r>
            <w:proofErr w:type="spellStart"/>
            <w:r w:rsidR="007F2FE1" w:rsidRPr="00594AA0">
              <w:rPr>
                <w:lang w:val="cs-CZ"/>
              </w:rPr>
              <w:t>coaching</w:t>
            </w:r>
            <w:proofErr w:type="spellEnd"/>
            <w:r w:rsidR="007F2FE1" w:rsidRPr="00594AA0">
              <w:rPr>
                <w:lang w:val="cs-CZ"/>
              </w:rPr>
              <w:t xml:space="preserve"> při nastavování kampaní, analýza jejich dopadu a další poradenství při opti</w:t>
            </w:r>
            <w:r w:rsidR="00AF1C6D" w:rsidRPr="00594AA0">
              <w:rPr>
                <w:lang w:val="cs-CZ"/>
              </w:rPr>
              <w:t>malizaci</w:t>
            </w:r>
            <w:r>
              <w:rPr>
                <w:lang w:val="cs-CZ"/>
              </w:rPr>
              <w:t xml:space="preserve"> marketingové/obchodní strategie</w:t>
            </w:r>
            <w:r w:rsidR="00AF1C6D" w:rsidRPr="00594AA0">
              <w:rPr>
                <w:lang w:val="cs-CZ"/>
              </w:rPr>
              <w:t xml:space="preserve">. </w:t>
            </w:r>
          </w:p>
        </w:tc>
      </w:tr>
      <w:tr w:rsidR="007F2FE1" w:rsidRPr="00FF2360" w14:paraId="3CB02DC3" w14:textId="77777777" w:rsidTr="00CA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14:paraId="3CB02DC1" w14:textId="77777777" w:rsidR="007F2FE1" w:rsidRPr="00594AA0" w:rsidRDefault="007F2FE1" w:rsidP="00E87F07">
            <w:pPr>
              <w:rPr>
                <w:b w:val="0"/>
                <w:lang w:val="cs-CZ"/>
              </w:rPr>
            </w:pPr>
            <w:r w:rsidRPr="00594AA0">
              <w:rPr>
                <w:b w:val="0"/>
                <w:lang w:val="cs-CZ"/>
              </w:rPr>
              <w:t xml:space="preserve">Poradenství v oblasti </w:t>
            </w:r>
            <w:r w:rsidR="00197CEB" w:rsidRPr="00594AA0">
              <w:rPr>
                <w:b w:val="0"/>
                <w:lang w:val="cs-CZ"/>
              </w:rPr>
              <w:t xml:space="preserve">výběru, </w:t>
            </w:r>
            <w:r w:rsidRPr="00594AA0">
              <w:rPr>
                <w:b w:val="0"/>
                <w:lang w:val="cs-CZ"/>
              </w:rPr>
              <w:t xml:space="preserve">nastavení </w:t>
            </w:r>
            <w:r w:rsidR="00197CEB" w:rsidRPr="00594AA0">
              <w:rPr>
                <w:b w:val="0"/>
                <w:lang w:val="cs-CZ"/>
              </w:rPr>
              <w:t>a práce s </w:t>
            </w:r>
            <w:r w:rsidRPr="00594AA0">
              <w:rPr>
                <w:b w:val="0"/>
                <w:lang w:val="cs-CZ"/>
              </w:rPr>
              <w:t>vh</w:t>
            </w:r>
            <w:r w:rsidR="00197CEB" w:rsidRPr="00594AA0">
              <w:rPr>
                <w:b w:val="0"/>
                <w:lang w:val="cs-CZ"/>
              </w:rPr>
              <w:t xml:space="preserve">odným </w:t>
            </w:r>
            <w:r w:rsidRPr="00594AA0">
              <w:rPr>
                <w:b w:val="0"/>
                <w:lang w:val="cs-CZ"/>
              </w:rPr>
              <w:t>CRM nástroje</w:t>
            </w:r>
            <w:r w:rsidR="00197CEB" w:rsidRPr="00594AA0">
              <w:rPr>
                <w:b w:val="0"/>
                <w:lang w:val="cs-CZ"/>
              </w:rPr>
              <w:t>m</w:t>
            </w:r>
            <w:r w:rsidRPr="00594AA0">
              <w:rPr>
                <w:b w:val="0"/>
                <w:lang w:val="cs-CZ"/>
              </w:rPr>
              <w:t xml:space="preserve"> (např. </w:t>
            </w:r>
            <w:proofErr w:type="spellStart"/>
            <w:r w:rsidRPr="00594AA0">
              <w:rPr>
                <w:b w:val="0"/>
                <w:lang w:val="cs-CZ"/>
              </w:rPr>
              <w:t>Salesforce</w:t>
            </w:r>
            <w:proofErr w:type="spellEnd"/>
            <w:r w:rsidRPr="00594AA0">
              <w:rPr>
                <w:b w:val="0"/>
                <w:lang w:val="cs-CZ"/>
              </w:rPr>
              <w:t>)</w:t>
            </w:r>
          </w:p>
        </w:tc>
        <w:tc>
          <w:tcPr>
            <w:tcW w:w="4532" w:type="dxa"/>
            <w:shd w:val="clear" w:color="auto" w:fill="auto"/>
          </w:tcPr>
          <w:p w14:paraId="3CB02DC2" w14:textId="77777777" w:rsidR="007F2FE1" w:rsidRPr="00594AA0" w:rsidRDefault="00E57648" w:rsidP="00E87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594AA0">
              <w:rPr>
                <w:lang w:val="cs-CZ"/>
              </w:rPr>
              <w:t>Customer</w:t>
            </w:r>
            <w:proofErr w:type="spellEnd"/>
            <w:r w:rsidRPr="00594AA0">
              <w:rPr>
                <w:lang w:val="cs-CZ"/>
              </w:rPr>
              <w:t xml:space="preserve"> </w:t>
            </w:r>
            <w:proofErr w:type="spellStart"/>
            <w:r w:rsidRPr="00594AA0">
              <w:rPr>
                <w:lang w:val="cs-CZ"/>
              </w:rPr>
              <w:t>relationship</w:t>
            </w:r>
            <w:proofErr w:type="spellEnd"/>
            <w:r w:rsidRPr="00594AA0">
              <w:rPr>
                <w:lang w:val="cs-CZ"/>
              </w:rPr>
              <w:t xml:space="preserve"> management systémy významně přispívají k zefektivnění prodeje a komunikace se zákazníky. Pro začínající podnikatele nebo podnikatele s omezenou zkušeností může být toto poradenství zásadní. </w:t>
            </w:r>
          </w:p>
        </w:tc>
      </w:tr>
      <w:tr w:rsidR="007F2FE1" w:rsidRPr="00FF2360" w14:paraId="3CB02DC7" w14:textId="77777777" w:rsidTr="00CA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14:paraId="3CB02DC4" w14:textId="77777777" w:rsidR="007F2FE1" w:rsidRPr="00594AA0" w:rsidRDefault="00E57648" w:rsidP="00E87F07">
            <w:pPr>
              <w:rPr>
                <w:b w:val="0"/>
                <w:lang w:val="cs-CZ"/>
              </w:rPr>
            </w:pPr>
            <w:r w:rsidRPr="00594AA0">
              <w:rPr>
                <w:b w:val="0"/>
                <w:lang w:val="cs-CZ"/>
              </w:rPr>
              <w:t>Poradenství v oblasti nastavení a naplňování podnikatelského plánu</w:t>
            </w:r>
          </w:p>
          <w:p w14:paraId="3CB02DC5" w14:textId="77777777" w:rsidR="00AF4507" w:rsidRPr="00594AA0" w:rsidRDefault="00AF4507" w:rsidP="00E87F07">
            <w:pPr>
              <w:rPr>
                <w:b w:val="0"/>
                <w:lang w:val="cs-CZ"/>
              </w:rPr>
            </w:pPr>
          </w:p>
        </w:tc>
        <w:tc>
          <w:tcPr>
            <w:tcW w:w="4532" w:type="dxa"/>
            <w:shd w:val="clear" w:color="auto" w:fill="auto"/>
          </w:tcPr>
          <w:p w14:paraId="3CB02DC6" w14:textId="77777777" w:rsidR="00D752BF" w:rsidRPr="00594AA0" w:rsidRDefault="00D752BF" w:rsidP="00E87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94AA0">
              <w:rPr>
                <w:lang w:val="cs-CZ"/>
              </w:rPr>
              <w:t>Poradenství v oblasti rozvoje podnikatelských dovedností (prezentace modelů myšlení, rozhodovacích a motivačních strategií, porozumění vlastním zdrojům, jejich efektivní využívání, řízení vlastní práce i práce týmu, předávání zpětné vazby apod.)</w:t>
            </w:r>
            <w:r>
              <w:rPr>
                <w:lang w:val="cs-CZ"/>
              </w:rPr>
              <w:t>, krizové řízení.</w:t>
            </w:r>
          </w:p>
        </w:tc>
      </w:tr>
      <w:tr w:rsidR="004E0A3C" w:rsidRPr="00FF2360" w14:paraId="3CB02DCA" w14:textId="77777777" w:rsidTr="00CA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14:paraId="3CB02DC8" w14:textId="77777777" w:rsidR="004E0A3C" w:rsidRPr="004E0A3C" w:rsidRDefault="004E0A3C" w:rsidP="00E87F07">
            <w:pPr>
              <w:rPr>
                <w:b w:val="0"/>
                <w:lang w:val="cs-CZ"/>
              </w:rPr>
            </w:pPr>
            <w:r w:rsidRPr="004E0A3C">
              <w:rPr>
                <w:b w:val="0"/>
                <w:lang w:val="cs-CZ"/>
              </w:rPr>
              <w:t xml:space="preserve">Poradenství v oblasti práva, IT a personalistiky </w:t>
            </w:r>
          </w:p>
        </w:tc>
        <w:tc>
          <w:tcPr>
            <w:tcW w:w="4532" w:type="dxa"/>
            <w:shd w:val="clear" w:color="auto" w:fill="auto"/>
          </w:tcPr>
          <w:p w14:paraId="3CB02DC9" w14:textId="77777777" w:rsidR="004E0A3C" w:rsidRPr="00594AA0" w:rsidRDefault="004E0A3C" w:rsidP="00E87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Poradenství bude poskytováno dle specifických potřeb segmentu sociálního podnikání </w:t>
            </w:r>
          </w:p>
        </w:tc>
      </w:tr>
      <w:tr w:rsidR="0068146B" w:rsidRPr="00594AA0" w14:paraId="3CB02DCD" w14:textId="77777777" w:rsidTr="00CA66A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14:paraId="3CB02DCB" w14:textId="77777777" w:rsidR="0068146B" w:rsidRPr="00CA66A4" w:rsidRDefault="0068146B" w:rsidP="00E87F07">
            <w:pPr>
              <w:rPr>
                <w:b w:val="0"/>
                <w:lang w:val="cs-CZ"/>
              </w:rPr>
            </w:pPr>
            <w:r w:rsidRPr="00CA66A4">
              <w:rPr>
                <w:b w:val="0"/>
                <w:lang w:val="cs-CZ"/>
              </w:rPr>
              <w:t>Finanční poradenství</w:t>
            </w:r>
          </w:p>
        </w:tc>
        <w:tc>
          <w:tcPr>
            <w:tcW w:w="4532" w:type="dxa"/>
            <w:shd w:val="clear" w:color="auto" w:fill="auto"/>
          </w:tcPr>
          <w:p w14:paraId="3CB02DCC" w14:textId="77777777" w:rsidR="0068146B" w:rsidRPr="00594AA0" w:rsidRDefault="0068146B" w:rsidP="00E87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A66A4">
              <w:rPr>
                <w:lang w:val="cs-CZ"/>
              </w:rPr>
              <w:t xml:space="preserve">Dostupnost finančních produktů pro sociálního podnikatele, pomoc při získávání úvěru, konzultace </w:t>
            </w:r>
            <w:r w:rsidR="001E1C95">
              <w:rPr>
                <w:lang w:val="cs-CZ"/>
              </w:rPr>
              <w:t xml:space="preserve">finanční části </w:t>
            </w:r>
            <w:r w:rsidRPr="00CA66A4">
              <w:rPr>
                <w:lang w:val="cs-CZ"/>
              </w:rPr>
              <w:t>business plánu, poradenství související s veřejnou podporou</w:t>
            </w:r>
          </w:p>
        </w:tc>
      </w:tr>
    </w:tbl>
    <w:p w14:paraId="3CB02DCE" w14:textId="77777777" w:rsidR="001B4D09" w:rsidRDefault="001B4D09" w:rsidP="00E87F07">
      <w:pPr>
        <w:jc w:val="both"/>
        <w:rPr>
          <w:lang w:val="cs-CZ"/>
        </w:rPr>
      </w:pPr>
    </w:p>
    <w:sectPr w:rsidR="001B4D09" w:rsidSect="00C67491"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2B255" w14:textId="77777777" w:rsidR="00234A2B" w:rsidRDefault="00234A2B" w:rsidP="00C702C7">
      <w:pPr>
        <w:spacing w:after="0" w:line="240" w:lineRule="auto"/>
      </w:pPr>
      <w:r>
        <w:separator/>
      </w:r>
    </w:p>
  </w:endnote>
  <w:endnote w:type="continuationSeparator" w:id="0">
    <w:p w14:paraId="45FF8FB6" w14:textId="77777777" w:rsidR="00234A2B" w:rsidRDefault="00234A2B" w:rsidP="00C702C7">
      <w:pPr>
        <w:spacing w:after="0" w:line="240" w:lineRule="auto"/>
      </w:pPr>
      <w:r>
        <w:continuationSeparator/>
      </w:r>
    </w:p>
  </w:endnote>
  <w:endnote w:type="continuationNotice" w:id="1">
    <w:p w14:paraId="3FD59B78" w14:textId="77777777" w:rsidR="00234A2B" w:rsidRDefault="00234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6C04F2" w:rsidRPr="00D6230E" w14:paraId="3CB02DD9" w14:textId="77777777" w:rsidTr="00D6230E">
      <w:tc>
        <w:tcPr>
          <w:tcW w:w="354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3CB02DD7" w14:textId="13F690B1" w:rsidR="006C04F2" w:rsidRPr="00D6230E" w:rsidRDefault="003B5D19" w:rsidP="00BC0047">
          <w:pPr>
            <w:pStyle w:val="Zpat"/>
          </w:pPr>
          <w:r w:rsidRPr="00D6230E">
            <w:fldChar w:fldCharType="begin"/>
          </w:r>
          <w:r w:rsidR="006C04F2" w:rsidRPr="00D6230E">
            <w:instrText xml:space="preserve"> IF </w:instrText>
          </w:r>
          <w:r w:rsidRPr="00D6230E">
            <w:fldChar w:fldCharType="begin"/>
          </w:r>
          <w:r w:rsidR="006C04F2" w:rsidRPr="00D6230E">
            <w:instrText xml:space="preserve"> PAGE  \* Arabic  \* MERGEFORMAT </w:instrText>
          </w:r>
          <w:r w:rsidRPr="00D6230E">
            <w:fldChar w:fldCharType="separate"/>
          </w:r>
          <w:r w:rsidR="00F87FC7">
            <w:rPr>
              <w:noProof/>
            </w:rPr>
            <w:instrText>3</w:instrText>
          </w:r>
          <w:r w:rsidRPr="00D6230E">
            <w:fldChar w:fldCharType="end"/>
          </w:r>
          <w:r w:rsidR="006C04F2" w:rsidRPr="00D6230E">
            <w:instrText xml:space="preserve"> &lt; 10 </w:instrText>
          </w:r>
          <w:r w:rsidRPr="00D6230E">
            <w:fldChar w:fldCharType="begin"/>
          </w:r>
          <w:r w:rsidR="006C04F2" w:rsidRPr="00D6230E">
            <w:instrText xml:space="preserve"> IF </w:instrText>
          </w:r>
          <w:r w:rsidRPr="00D6230E">
            <w:fldChar w:fldCharType="begin"/>
          </w:r>
          <w:r w:rsidR="006C04F2" w:rsidRPr="00D6230E">
            <w:instrText xml:space="preserve"> PAGE  \* Arabic  \* MERGEFORMAT </w:instrText>
          </w:r>
          <w:r w:rsidRPr="00D6230E">
            <w:fldChar w:fldCharType="separate"/>
          </w:r>
          <w:r w:rsidR="00F87FC7">
            <w:rPr>
              <w:noProof/>
            </w:rPr>
            <w:instrText>3</w:instrText>
          </w:r>
          <w:r w:rsidRPr="00D6230E">
            <w:fldChar w:fldCharType="end"/>
          </w:r>
          <w:r w:rsidR="006C04F2" w:rsidRPr="00D6230E">
            <w:instrText xml:space="preserve"> &lt; "10" "0</w:instrText>
          </w:r>
          <w:r w:rsidRPr="00D6230E">
            <w:fldChar w:fldCharType="begin"/>
          </w:r>
          <w:r w:rsidR="006C04F2" w:rsidRPr="00D6230E">
            <w:instrText xml:space="preserve"> PAGE  \* Arabic  \* MERGEFORMAT </w:instrText>
          </w:r>
          <w:r w:rsidRPr="00D6230E">
            <w:fldChar w:fldCharType="separate"/>
          </w:r>
          <w:r w:rsidR="00F87FC7">
            <w:rPr>
              <w:noProof/>
            </w:rPr>
            <w:instrText>3</w:instrText>
          </w:r>
          <w:r w:rsidRPr="00D6230E">
            <w:fldChar w:fldCharType="end"/>
          </w:r>
          <w:r w:rsidR="006C04F2" w:rsidRPr="00D6230E">
            <w:instrText xml:space="preserve">" \* MERGEFORMAT </w:instrText>
          </w:r>
          <w:r w:rsidRPr="00D6230E">
            <w:fldChar w:fldCharType="separate"/>
          </w:r>
          <w:r w:rsidR="00F87FC7" w:rsidRPr="00D6230E">
            <w:rPr>
              <w:noProof/>
            </w:rPr>
            <w:instrText>0</w:instrText>
          </w:r>
          <w:r w:rsidR="00F87FC7">
            <w:rPr>
              <w:noProof/>
            </w:rPr>
            <w:instrText>3</w:instrText>
          </w:r>
          <w:r w:rsidRPr="00D6230E">
            <w:fldChar w:fldCharType="end"/>
          </w:r>
          <w:r w:rsidR="006C04F2" w:rsidRPr="00D6230E">
            <w:instrText xml:space="preserve"> </w:instrText>
          </w:r>
          <w:r w:rsidRPr="00D6230E">
            <w:fldChar w:fldCharType="begin"/>
          </w:r>
          <w:r w:rsidR="006C04F2" w:rsidRPr="00D6230E">
            <w:instrText xml:space="preserve"> PAGE  \* Arabic  \* MERGEFORMAT </w:instrText>
          </w:r>
          <w:r w:rsidRPr="00D6230E">
            <w:fldChar w:fldCharType="separate"/>
          </w:r>
          <w:r w:rsidR="004E0A3C">
            <w:rPr>
              <w:noProof/>
            </w:rPr>
            <w:instrText>14</w:instrText>
          </w:r>
          <w:r w:rsidRPr="00D6230E">
            <w:fldChar w:fldCharType="end"/>
          </w:r>
          <w:r w:rsidR="006C04F2" w:rsidRPr="00D6230E">
            <w:instrText xml:space="preserve"> \* MERGEFORMAT </w:instrText>
          </w:r>
          <w:r w:rsidRPr="00D6230E">
            <w:fldChar w:fldCharType="separate"/>
          </w:r>
          <w:r w:rsidR="00F87FC7" w:rsidRPr="00D6230E">
            <w:rPr>
              <w:noProof/>
            </w:rPr>
            <w:t>0</w:t>
          </w:r>
          <w:r w:rsidR="00F87FC7">
            <w:rPr>
              <w:noProof/>
            </w:rPr>
            <w:t>3</w:t>
          </w:r>
          <w:r w:rsidRPr="00D6230E">
            <w:fldChar w:fldCharType="end"/>
          </w:r>
        </w:p>
      </w:tc>
      <w:tc>
        <w:tcPr>
          <w:tcW w:w="700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3CB02DD8" w14:textId="77777777" w:rsidR="006C04F2" w:rsidRPr="00D6230E" w:rsidRDefault="006C04F2" w:rsidP="00D6230E">
          <w:pPr>
            <w:pStyle w:val="Zpat"/>
            <w:spacing w:line="180" w:lineRule="atLeast"/>
            <w:rPr>
              <w:sz w:val="14"/>
              <w:szCs w:val="14"/>
            </w:rPr>
          </w:pPr>
        </w:p>
      </w:tc>
    </w:tr>
  </w:tbl>
  <w:p w14:paraId="3CB02DDA" w14:textId="77777777" w:rsidR="006C04F2" w:rsidRPr="00335CF3" w:rsidRDefault="006C04F2" w:rsidP="00335C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2DDB" w14:textId="77777777" w:rsidR="006C04F2" w:rsidRDefault="006C04F2">
    <w:pPr>
      <w:pStyle w:val="Zpat"/>
    </w:pPr>
  </w:p>
  <w:p w14:paraId="3CB02DDC" w14:textId="3191ACBD" w:rsidR="006C04F2" w:rsidRDefault="003B5D19" w:rsidP="004C5D1B">
    <w:pPr>
      <w:pStyle w:val="Zpat"/>
    </w:pPr>
    <w:r>
      <w:fldChar w:fldCharType="begin"/>
    </w:r>
    <w:r w:rsidR="006C04F2">
      <w:instrText xml:space="preserve"> IF </w:instrText>
    </w:r>
    <w:r>
      <w:fldChar w:fldCharType="begin"/>
    </w:r>
    <w:r w:rsidR="006C04F2">
      <w:instrText xml:space="preserve"> PAGE  \* Arabic  \* MERGEFORMAT </w:instrText>
    </w:r>
    <w:r>
      <w:fldChar w:fldCharType="separate"/>
    </w:r>
    <w:r w:rsidR="00F87FC7">
      <w:rPr>
        <w:noProof/>
      </w:rPr>
      <w:instrText>1</w:instrText>
    </w:r>
    <w:r>
      <w:fldChar w:fldCharType="end"/>
    </w:r>
    <w:r w:rsidR="006C04F2">
      <w:instrText xml:space="preserve"> &lt; "10" "0</w:instrText>
    </w:r>
    <w:r>
      <w:fldChar w:fldCharType="begin"/>
    </w:r>
    <w:r w:rsidR="006C04F2">
      <w:instrText xml:space="preserve"> PAGE  \* Arabic  \* MERGEFORMAT </w:instrText>
    </w:r>
    <w:r>
      <w:fldChar w:fldCharType="separate"/>
    </w:r>
    <w:r w:rsidR="00F87FC7">
      <w:rPr>
        <w:noProof/>
      </w:rPr>
      <w:instrText>1</w:instrText>
    </w:r>
    <w:r>
      <w:fldChar w:fldCharType="end"/>
    </w:r>
    <w:r w:rsidR="006C04F2">
      <w:instrText xml:space="preserve">" \* MERGEFORMAT </w:instrText>
    </w:r>
    <w:r>
      <w:fldChar w:fldCharType="separate"/>
    </w:r>
    <w:r w:rsidR="00F87FC7">
      <w:rPr>
        <w:noProof/>
      </w:rPr>
      <w:t>01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E1F87" w14:textId="77777777" w:rsidR="00234A2B" w:rsidRDefault="00234A2B" w:rsidP="00C702C7">
      <w:pPr>
        <w:spacing w:after="0" w:line="240" w:lineRule="auto"/>
      </w:pPr>
      <w:r>
        <w:separator/>
      </w:r>
    </w:p>
  </w:footnote>
  <w:footnote w:type="continuationSeparator" w:id="0">
    <w:p w14:paraId="5481DCE1" w14:textId="77777777" w:rsidR="00234A2B" w:rsidRDefault="00234A2B" w:rsidP="00C702C7">
      <w:pPr>
        <w:spacing w:after="0" w:line="240" w:lineRule="auto"/>
      </w:pPr>
      <w:r>
        <w:continuationSeparator/>
      </w:r>
    </w:p>
  </w:footnote>
  <w:footnote w:type="continuationNotice" w:id="1">
    <w:p w14:paraId="421DA6A1" w14:textId="77777777" w:rsidR="00234A2B" w:rsidRDefault="00234A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3804A" w14:textId="7919252E" w:rsidR="001E10DE" w:rsidRPr="001E10DE" w:rsidRDefault="001E10DE" w:rsidP="001E10DE">
    <w:pPr>
      <w:pStyle w:val="Zhlav"/>
      <w:tabs>
        <w:tab w:val="clear" w:pos="4513"/>
      </w:tabs>
      <w:ind w:left="4536"/>
      <w:rPr>
        <w:rFonts w:ascii="Arial" w:hAnsi="Arial" w:cs="Arial"/>
        <w:b w:val="0"/>
      </w:rPr>
    </w:pPr>
    <w:proofErr w:type="spellStart"/>
    <w:r w:rsidRPr="001E10DE">
      <w:rPr>
        <w:rFonts w:ascii="Arial" w:hAnsi="Arial" w:cs="Arial"/>
        <w:b w:val="0"/>
        <w:sz w:val="18"/>
        <w:szCs w:val="18"/>
      </w:rPr>
      <w:t>Příloha</w:t>
    </w:r>
    <w:proofErr w:type="spellEnd"/>
    <w:r w:rsidRPr="001E10DE">
      <w:rPr>
        <w:rFonts w:ascii="Arial" w:hAnsi="Arial" w:cs="Arial"/>
        <w:b w:val="0"/>
        <w:sz w:val="18"/>
        <w:szCs w:val="18"/>
      </w:rPr>
      <w:t xml:space="preserve"> č. 1</w:t>
    </w:r>
    <w:r w:rsidRPr="001E10DE">
      <w:rPr>
        <w:rFonts w:ascii="Arial" w:hAnsi="Arial" w:cs="Arial"/>
        <w:b w:val="0"/>
        <w:sz w:val="18"/>
        <w:szCs w:val="18"/>
      </w:rPr>
      <w:br/>
      <w:t xml:space="preserve">k </w:t>
    </w:r>
    <w:proofErr w:type="spellStart"/>
    <w:r w:rsidRPr="001E10DE">
      <w:rPr>
        <w:rFonts w:ascii="Arial" w:hAnsi="Arial" w:cs="Arial"/>
        <w:b w:val="0"/>
        <w:sz w:val="18"/>
        <w:szCs w:val="18"/>
      </w:rPr>
      <w:t>Dohodě</w:t>
    </w:r>
    <w:proofErr w:type="spellEnd"/>
    <w:r w:rsidRPr="001E10DE">
      <w:rPr>
        <w:rFonts w:ascii="Arial" w:hAnsi="Arial" w:cs="Arial"/>
        <w:b w:val="0"/>
        <w:sz w:val="18"/>
        <w:szCs w:val="18"/>
      </w:rPr>
      <w:t xml:space="preserve"> o </w:t>
    </w:r>
    <w:proofErr w:type="spellStart"/>
    <w:r w:rsidRPr="001E10DE">
      <w:rPr>
        <w:rFonts w:ascii="Arial" w:hAnsi="Arial" w:cs="Arial"/>
        <w:b w:val="0"/>
        <w:sz w:val="18"/>
        <w:szCs w:val="18"/>
      </w:rPr>
      <w:t>vytvoření</w:t>
    </w:r>
    <w:proofErr w:type="spellEnd"/>
    <w:r w:rsidRPr="001E10DE">
      <w:rPr>
        <w:rFonts w:ascii="Arial" w:hAnsi="Arial" w:cs="Arial"/>
        <w:b w:val="0"/>
        <w:sz w:val="18"/>
        <w:szCs w:val="18"/>
      </w:rPr>
      <w:t xml:space="preserve"> a </w:t>
    </w:r>
    <w:proofErr w:type="spellStart"/>
    <w:r w:rsidRPr="001E10DE">
      <w:rPr>
        <w:rFonts w:ascii="Arial" w:hAnsi="Arial" w:cs="Arial"/>
        <w:b w:val="0"/>
        <w:sz w:val="18"/>
        <w:szCs w:val="18"/>
      </w:rPr>
      <w:t>správě</w:t>
    </w:r>
    <w:proofErr w:type="spellEnd"/>
    <w:r w:rsidRPr="001E10DE">
      <w:rPr>
        <w:rFonts w:ascii="Arial" w:hAnsi="Arial" w:cs="Arial"/>
        <w:b w:val="0"/>
        <w:sz w:val="18"/>
        <w:szCs w:val="18"/>
      </w:rPr>
      <w:t xml:space="preserve"> </w:t>
    </w:r>
    <w:proofErr w:type="spellStart"/>
    <w:r w:rsidRPr="001E10DE">
      <w:rPr>
        <w:rFonts w:ascii="Arial" w:hAnsi="Arial" w:cs="Arial"/>
        <w:b w:val="0"/>
        <w:sz w:val="18"/>
        <w:szCs w:val="18"/>
      </w:rPr>
      <w:t>Úvěrového</w:t>
    </w:r>
    <w:proofErr w:type="spellEnd"/>
    <w:r w:rsidRPr="001E10DE">
      <w:rPr>
        <w:rFonts w:ascii="Arial" w:hAnsi="Arial" w:cs="Arial"/>
        <w:b w:val="0"/>
        <w:sz w:val="18"/>
        <w:szCs w:val="18"/>
      </w:rPr>
      <w:t xml:space="preserve"> </w:t>
    </w:r>
    <w:proofErr w:type="spellStart"/>
    <w:r w:rsidRPr="001E10DE">
      <w:rPr>
        <w:rFonts w:ascii="Arial" w:hAnsi="Arial" w:cs="Arial"/>
        <w:b w:val="0"/>
        <w:sz w:val="18"/>
        <w:szCs w:val="18"/>
      </w:rPr>
      <w:t>fondu</w:t>
    </w:r>
    <w:proofErr w:type="spellEnd"/>
    <w:r w:rsidRPr="001E10DE">
      <w:rPr>
        <w:rFonts w:ascii="Arial" w:hAnsi="Arial" w:cs="Arial"/>
        <w:b w:val="0"/>
        <w:sz w:val="18"/>
        <w:szCs w:val="18"/>
      </w:rPr>
      <w:t xml:space="preserve"> SP 2019</w:t>
    </w:r>
  </w:p>
  <w:p w14:paraId="7BF739E2" w14:textId="2E896BE2" w:rsidR="001E10DE" w:rsidRDefault="001E10DE">
    <w:pPr>
      <w:pStyle w:val="Zhlav"/>
    </w:pPr>
  </w:p>
  <w:p w14:paraId="427E6741" w14:textId="77777777" w:rsidR="001E10DE" w:rsidRDefault="001E10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19C28B1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729EC"/>
    <w:multiLevelType w:val="hybridMultilevel"/>
    <w:tmpl w:val="79BC9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4B31695"/>
    <w:multiLevelType w:val="hybridMultilevel"/>
    <w:tmpl w:val="FEFC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D1328"/>
    <w:multiLevelType w:val="hybridMultilevel"/>
    <w:tmpl w:val="26C83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A16E5"/>
    <w:multiLevelType w:val="hybridMultilevel"/>
    <w:tmpl w:val="044AD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D49D5"/>
    <w:multiLevelType w:val="hybridMultilevel"/>
    <w:tmpl w:val="7EE6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7726C"/>
    <w:multiLevelType w:val="hybridMultilevel"/>
    <w:tmpl w:val="DB3C33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BC376A"/>
    <w:multiLevelType w:val="hybridMultilevel"/>
    <w:tmpl w:val="21A65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52111E14"/>
    <w:multiLevelType w:val="hybridMultilevel"/>
    <w:tmpl w:val="493E3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5386E"/>
    <w:multiLevelType w:val="multilevel"/>
    <w:tmpl w:val="22DCB8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20D617A"/>
    <w:multiLevelType w:val="hybridMultilevel"/>
    <w:tmpl w:val="F26E1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A4196"/>
    <w:multiLevelType w:val="multilevel"/>
    <w:tmpl w:val="22DCB8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9CC0A3A"/>
    <w:multiLevelType w:val="hybridMultilevel"/>
    <w:tmpl w:val="15A83C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DD2753"/>
    <w:multiLevelType w:val="hybridMultilevel"/>
    <w:tmpl w:val="B84EFF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3D4A9C"/>
    <w:multiLevelType w:val="hybridMultilevel"/>
    <w:tmpl w:val="2ADE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FB468A5"/>
    <w:multiLevelType w:val="hybridMultilevel"/>
    <w:tmpl w:val="B82E2D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24"/>
  </w:num>
  <w:num w:numId="7">
    <w:abstractNumId w:val="24"/>
    <w:lvlOverride w:ilvl="0">
      <w:startOverride w:val="1"/>
    </w:lvlOverride>
  </w:num>
  <w:num w:numId="8">
    <w:abstractNumId w:val="20"/>
  </w:num>
  <w:num w:numId="9">
    <w:abstractNumId w:val="23"/>
  </w:num>
  <w:num w:numId="10">
    <w:abstractNumId w:val="8"/>
  </w:num>
  <w:num w:numId="11">
    <w:abstractNumId w:val="9"/>
  </w:num>
  <w:num w:numId="12">
    <w:abstractNumId w:val="2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</w:num>
  <w:num w:numId="17">
    <w:abstractNumId w:val="19"/>
  </w:num>
  <w:num w:numId="18">
    <w:abstractNumId w:val="7"/>
  </w:num>
  <w:num w:numId="19">
    <w:abstractNumId w:val="15"/>
  </w:num>
  <w:num w:numId="20">
    <w:abstractNumId w:val="4"/>
  </w:num>
  <w:num w:numId="21">
    <w:abstractNumId w:val="32"/>
  </w:num>
  <w:num w:numId="22">
    <w:abstractNumId w:val="32"/>
  </w:num>
  <w:num w:numId="23">
    <w:abstractNumId w:val="32"/>
  </w:num>
  <w:num w:numId="24">
    <w:abstractNumId w:val="32"/>
  </w:num>
  <w:num w:numId="25">
    <w:abstractNumId w:val="27"/>
  </w:num>
  <w:num w:numId="26">
    <w:abstractNumId w:val="21"/>
  </w:num>
  <w:num w:numId="27">
    <w:abstractNumId w:val="10"/>
  </w:num>
  <w:num w:numId="28">
    <w:abstractNumId w:val="26"/>
  </w:num>
  <w:num w:numId="29">
    <w:abstractNumId w:val="31"/>
  </w:num>
  <w:num w:numId="30">
    <w:abstractNumId w:val="16"/>
  </w:num>
  <w:num w:numId="31">
    <w:abstractNumId w:val="33"/>
  </w:num>
  <w:num w:numId="32">
    <w:abstractNumId w:val="18"/>
  </w:num>
  <w:num w:numId="33">
    <w:abstractNumId w:val="14"/>
  </w:num>
  <w:num w:numId="34">
    <w:abstractNumId w:val="5"/>
  </w:num>
  <w:num w:numId="35">
    <w:abstractNumId w:val="17"/>
  </w:num>
  <w:num w:numId="36">
    <w:abstractNumId w:val="11"/>
  </w:num>
  <w:num w:numId="37">
    <w:abstractNumId w:val="28"/>
  </w:num>
  <w:num w:numId="38">
    <w:abstractNumId w:val="2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72"/>
    <w:rsid w:val="000005FE"/>
    <w:rsid w:val="000131A3"/>
    <w:rsid w:val="00013C0A"/>
    <w:rsid w:val="00014B89"/>
    <w:rsid w:val="000173B3"/>
    <w:rsid w:val="00020D44"/>
    <w:rsid w:val="00021A39"/>
    <w:rsid w:val="0002259A"/>
    <w:rsid w:val="00023073"/>
    <w:rsid w:val="00025E7D"/>
    <w:rsid w:val="00035DBA"/>
    <w:rsid w:val="00037C17"/>
    <w:rsid w:val="00041DB4"/>
    <w:rsid w:val="000429AC"/>
    <w:rsid w:val="00042B6A"/>
    <w:rsid w:val="00042B99"/>
    <w:rsid w:val="0004657A"/>
    <w:rsid w:val="000516C4"/>
    <w:rsid w:val="000517C0"/>
    <w:rsid w:val="00061444"/>
    <w:rsid w:val="000637A6"/>
    <w:rsid w:val="00066BBA"/>
    <w:rsid w:val="00071509"/>
    <w:rsid w:val="0008137C"/>
    <w:rsid w:val="00083DD5"/>
    <w:rsid w:val="00092341"/>
    <w:rsid w:val="000A7F05"/>
    <w:rsid w:val="000B6C05"/>
    <w:rsid w:val="000C0213"/>
    <w:rsid w:val="000C20BD"/>
    <w:rsid w:val="000C2B24"/>
    <w:rsid w:val="000C5EA5"/>
    <w:rsid w:val="000D2DE0"/>
    <w:rsid w:val="000E2C94"/>
    <w:rsid w:val="000E4AA4"/>
    <w:rsid w:val="000E7BAA"/>
    <w:rsid w:val="000F1432"/>
    <w:rsid w:val="000F37BD"/>
    <w:rsid w:val="000F5C22"/>
    <w:rsid w:val="0010113D"/>
    <w:rsid w:val="00101298"/>
    <w:rsid w:val="0010462B"/>
    <w:rsid w:val="00110604"/>
    <w:rsid w:val="00111011"/>
    <w:rsid w:val="00123AD3"/>
    <w:rsid w:val="001262DC"/>
    <w:rsid w:val="001263BF"/>
    <w:rsid w:val="001265CF"/>
    <w:rsid w:val="00130191"/>
    <w:rsid w:val="00130F2C"/>
    <w:rsid w:val="00135844"/>
    <w:rsid w:val="00136294"/>
    <w:rsid w:val="00140513"/>
    <w:rsid w:val="00143484"/>
    <w:rsid w:val="001457BC"/>
    <w:rsid w:val="00154A5D"/>
    <w:rsid w:val="00155289"/>
    <w:rsid w:val="00157BD7"/>
    <w:rsid w:val="00163881"/>
    <w:rsid w:val="001657F9"/>
    <w:rsid w:val="001659E4"/>
    <w:rsid w:val="001708B9"/>
    <w:rsid w:val="0017280D"/>
    <w:rsid w:val="001757CE"/>
    <w:rsid w:val="00180BDA"/>
    <w:rsid w:val="0018108F"/>
    <w:rsid w:val="00186FC8"/>
    <w:rsid w:val="00192D16"/>
    <w:rsid w:val="00192F03"/>
    <w:rsid w:val="00193BE3"/>
    <w:rsid w:val="001975EF"/>
    <w:rsid w:val="0019765A"/>
    <w:rsid w:val="00197CEB"/>
    <w:rsid w:val="001A45CF"/>
    <w:rsid w:val="001B0F94"/>
    <w:rsid w:val="001B4653"/>
    <w:rsid w:val="001B4871"/>
    <w:rsid w:val="001B4D09"/>
    <w:rsid w:val="001B5C19"/>
    <w:rsid w:val="001D03A7"/>
    <w:rsid w:val="001D21E5"/>
    <w:rsid w:val="001E016B"/>
    <w:rsid w:val="001E0FC5"/>
    <w:rsid w:val="001E10DE"/>
    <w:rsid w:val="001E1C95"/>
    <w:rsid w:val="001E7D3E"/>
    <w:rsid w:val="001F38BE"/>
    <w:rsid w:val="001F61B8"/>
    <w:rsid w:val="001F6839"/>
    <w:rsid w:val="00204CBA"/>
    <w:rsid w:val="00211AB1"/>
    <w:rsid w:val="00212852"/>
    <w:rsid w:val="00216CF6"/>
    <w:rsid w:val="00220CCF"/>
    <w:rsid w:val="00227F1F"/>
    <w:rsid w:val="00231B44"/>
    <w:rsid w:val="00232887"/>
    <w:rsid w:val="002340B6"/>
    <w:rsid w:val="00234A2B"/>
    <w:rsid w:val="00234BA2"/>
    <w:rsid w:val="00235582"/>
    <w:rsid w:val="00237008"/>
    <w:rsid w:val="002370AB"/>
    <w:rsid w:val="00237872"/>
    <w:rsid w:val="0024202F"/>
    <w:rsid w:val="00244010"/>
    <w:rsid w:val="00253D2A"/>
    <w:rsid w:val="00255D53"/>
    <w:rsid w:val="00277DBB"/>
    <w:rsid w:val="002876A6"/>
    <w:rsid w:val="002930B2"/>
    <w:rsid w:val="00294BBA"/>
    <w:rsid w:val="00295B52"/>
    <w:rsid w:val="00297214"/>
    <w:rsid w:val="002A1F3C"/>
    <w:rsid w:val="002A4227"/>
    <w:rsid w:val="002A7772"/>
    <w:rsid w:val="002B2376"/>
    <w:rsid w:val="002B2607"/>
    <w:rsid w:val="002B4054"/>
    <w:rsid w:val="002B4D02"/>
    <w:rsid w:val="002B6D2E"/>
    <w:rsid w:val="002B79A9"/>
    <w:rsid w:val="002C2184"/>
    <w:rsid w:val="002C4301"/>
    <w:rsid w:val="002C5FEA"/>
    <w:rsid w:val="002C690A"/>
    <w:rsid w:val="002C6F50"/>
    <w:rsid w:val="002D0A3C"/>
    <w:rsid w:val="002D41F7"/>
    <w:rsid w:val="002E1C00"/>
    <w:rsid w:val="002E4148"/>
    <w:rsid w:val="002E7099"/>
    <w:rsid w:val="002F027D"/>
    <w:rsid w:val="002F0615"/>
    <w:rsid w:val="002F0680"/>
    <w:rsid w:val="002F2771"/>
    <w:rsid w:val="002F279A"/>
    <w:rsid w:val="003121C1"/>
    <w:rsid w:val="00322159"/>
    <w:rsid w:val="0032373B"/>
    <w:rsid w:val="00326B71"/>
    <w:rsid w:val="00331D1F"/>
    <w:rsid w:val="00334401"/>
    <w:rsid w:val="003351A8"/>
    <w:rsid w:val="00335CF3"/>
    <w:rsid w:val="00337680"/>
    <w:rsid w:val="00340E4C"/>
    <w:rsid w:val="00350886"/>
    <w:rsid w:val="00357E4F"/>
    <w:rsid w:val="00367B44"/>
    <w:rsid w:val="00375EB8"/>
    <w:rsid w:val="00377AE4"/>
    <w:rsid w:val="003863C7"/>
    <w:rsid w:val="0039181B"/>
    <w:rsid w:val="003923FD"/>
    <w:rsid w:val="003A3976"/>
    <w:rsid w:val="003A494E"/>
    <w:rsid w:val="003B3379"/>
    <w:rsid w:val="003B3C47"/>
    <w:rsid w:val="003B3F96"/>
    <w:rsid w:val="003B5D19"/>
    <w:rsid w:val="003C12AF"/>
    <w:rsid w:val="003C3AC8"/>
    <w:rsid w:val="003C4BE4"/>
    <w:rsid w:val="003C4DE4"/>
    <w:rsid w:val="003D0767"/>
    <w:rsid w:val="003D1A80"/>
    <w:rsid w:val="003E138D"/>
    <w:rsid w:val="003E1820"/>
    <w:rsid w:val="003E49BA"/>
    <w:rsid w:val="003E52DB"/>
    <w:rsid w:val="003F0E7F"/>
    <w:rsid w:val="003F1106"/>
    <w:rsid w:val="003F2224"/>
    <w:rsid w:val="00404297"/>
    <w:rsid w:val="004052BC"/>
    <w:rsid w:val="004066C3"/>
    <w:rsid w:val="00412EA0"/>
    <w:rsid w:val="00413084"/>
    <w:rsid w:val="00415B5C"/>
    <w:rsid w:val="004278C9"/>
    <w:rsid w:val="004314E1"/>
    <w:rsid w:val="00432002"/>
    <w:rsid w:val="0044117C"/>
    <w:rsid w:val="00442784"/>
    <w:rsid w:val="0044558B"/>
    <w:rsid w:val="004509E3"/>
    <w:rsid w:val="00451AD9"/>
    <w:rsid w:val="00464469"/>
    <w:rsid w:val="004668C6"/>
    <w:rsid w:val="00473614"/>
    <w:rsid w:val="00473B65"/>
    <w:rsid w:val="00481774"/>
    <w:rsid w:val="0048369A"/>
    <w:rsid w:val="004860A3"/>
    <w:rsid w:val="00486736"/>
    <w:rsid w:val="00490BB7"/>
    <w:rsid w:val="004A0DCC"/>
    <w:rsid w:val="004A6C6D"/>
    <w:rsid w:val="004B003C"/>
    <w:rsid w:val="004B4C50"/>
    <w:rsid w:val="004C2616"/>
    <w:rsid w:val="004C5D1B"/>
    <w:rsid w:val="004D159E"/>
    <w:rsid w:val="004D1F57"/>
    <w:rsid w:val="004D49FC"/>
    <w:rsid w:val="004E0A3C"/>
    <w:rsid w:val="004F0651"/>
    <w:rsid w:val="004F47B4"/>
    <w:rsid w:val="004F4A4B"/>
    <w:rsid w:val="004F4E52"/>
    <w:rsid w:val="00501EFF"/>
    <w:rsid w:val="00526863"/>
    <w:rsid w:val="005270F9"/>
    <w:rsid w:val="00542505"/>
    <w:rsid w:val="005429CD"/>
    <w:rsid w:val="00543BA8"/>
    <w:rsid w:val="00544D24"/>
    <w:rsid w:val="0055353E"/>
    <w:rsid w:val="00563C6F"/>
    <w:rsid w:val="00564F21"/>
    <w:rsid w:val="00573556"/>
    <w:rsid w:val="00573D2F"/>
    <w:rsid w:val="00580D4E"/>
    <w:rsid w:val="005843DE"/>
    <w:rsid w:val="00585334"/>
    <w:rsid w:val="00585761"/>
    <w:rsid w:val="00593BF7"/>
    <w:rsid w:val="00594AA0"/>
    <w:rsid w:val="005967D7"/>
    <w:rsid w:val="0059682F"/>
    <w:rsid w:val="005969FB"/>
    <w:rsid w:val="005A2809"/>
    <w:rsid w:val="005A2F04"/>
    <w:rsid w:val="005A6392"/>
    <w:rsid w:val="005B6B53"/>
    <w:rsid w:val="005C23D6"/>
    <w:rsid w:val="005C29F8"/>
    <w:rsid w:val="005C39FE"/>
    <w:rsid w:val="005D5512"/>
    <w:rsid w:val="005E3501"/>
    <w:rsid w:val="005E5415"/>
    <w:rsid w:val="005F042A"/>
    <w:rsid w:val="005F3D7B"/>
    <w:rsid w:val="005F3E66"/>
    <w:rsid w:val="005F525A"/>
    <w:rsid w:val="005F54F5"/>
    <w:rsid w:val="005F68FD"/>
    <w:rsid w:val="005F74C0"/>
    <w:rsid w:val="005F7AE4"/>
    <w:rsid w:val="00605199"/>
    <w:rsid w:val="00605E74"/>
    <w:rsid w:val="0062423C"/>
    <w:rsid w:val="00624C5E"/>
    <w:rsid w:val="00626FD8"/>
    <w:rsid w:val="006464CD"/>
    <w:rsid w:val="00650D85"/>
    <w:rsid w:val="006528C9"/>
    <w:rsid w:val="00654F0A"/>
    <w:rsid w:val="00656274"/>
    <w:rsid w:val="006673E8"/>
    <w:rsid w:val="00671EC0"/>
    <w:rsid w:val="00676F48"/>
    <w:rsid w:val="0067770B"/>
    <w:rsid w:val="0068146B"/>
    <w:rsid w:val="00686056"/>
    <w:rsid w:val="00691C32"/>
    <w:rsid w:val="00691C98"/>
    <w:rsid w:val="006A473D"/>
    <w:rsid w:val="006B0513"/>
    <w:rsid w:val="006B16E0"/>
    <w:rsid w:val="006B24BB"/>
    <w:rsid w:val="006B30D1"/>
    <w:rsid w:val="006B3411"/>
    <w:rsid w:val="006B34D3"/>
    <w:rsid w:val="006B4816"/>
    <w:rsid w:val="006B593B"/>
    <w:rsid w:val="006C0354"/>
    <w:rsid w:val="006C04F2"/>
    <w:rsid w:val="006C3999"/>
    <w:rsid w:val="006C4B90"/>
    <w:rsid w:val="006C5AD3"/>
    <w:rsid w:val="006C617F"/>
    <w:rsid w:val="006D6A17"/>
    <w:rsid w:val="006E1F29"/>
    <w:rsid w:val="006E3221"/>
    <w:rsid w:val="006F0782"/>
    <w:rsid w:val="006F62F8"/>
    <w:rsid w:val="006F73F5"/>
    <w:rsid w:val="00705766"/>
    <w:rsid w:val="00710D1F"/>
    <w:rsid w:val="007172D9"/>
    <w:rsid w:val="00720888"/>
    <w:rsid w:val="0072138D"/>
    <w:rsid w:val="007252AF"/>
    <w:rsid w:val="0072746D"/>
    <w:rsid w:val="007302D4"/>
    <w:rsid w:val="007312AA"/>
    <w:rsid w:val="007342AA"/>
    <w:rsid w:val="00734C1B"/>
    <w:rsid w:val="007460A4"/>
    <w:rsid w:val="00746476"/>
    <w:rsid w:val="00750D3B"/>
    <w:rsid w:val="00750F80"/>
    <w:rsid w:val="007516F0"/>
    <w:rsid w:val="00753A99"/>
    <w:rsid w:val="007550AB"/>
    <w:rsid w:val="007604FB"/>
    <w:rsid w:val="00762AA6"/>
    <w:rsid w:val="007653DA"/>
    <w:rsid w:val="0076614E"/>
    <w:rsid w:val="00773725"/>
    <w:rsid w:val="00784EB7"/>
    <w:rsid w:val="0079305A"/>
    <w:rsid w:val="007975D0"/>
    <w:rsid w:val="007A1421"/>
    <w:rsid w:val="007B29C4"/>
    <w:rsid w:val="007B2FB1"/>
    <w:rsid w:val="007B4F3E"/>
    <w:rsid w:val="007C008A"/>
    <w:rsid w:val="007C0C20"/>
    <w:rsid w:val="007C2A5C"/>
    <w:rsid w:val="007C495B"/>
    <w:rsid w:val="007C7944"/>
    <w:rsid w:val="007C7C55"/>
    <w:rsid w:val="007E03C0"/>
    <w:rsid w:val="007E0F37"/>
    <w:rsid w:val="007E0FF5"/>
    <w:rsid w:val="007E2034"/>
    <w:rsid w:val="007E2836"/>
    <w:rsid w:val="007E568A"/>
    <w:rsid w:val="007F0D03"/>
    <w:rsid w:val="007F2605"/>
    <w:rsid w:val="007F2FE1"/>
    <w:rsid w:val="007F4828"/>
    <w:rsid w:val="008005C8"/>
    <w:rsid w:val="008006BE"/>
    <w:rsid w:val="00801666"/>
    <w:rsid w:val="00802289"/>
    <w:rsid w:val="0080397A"/>
    <w:rsid w:val="00807054"/>
    <w:rsid w:val="0080728A"/>
    <w:rsid w:val="008079EE"/>
    <w:rsid w:val="00813DBC"/>
    <w:rsid w:val="00813F7A"/>
    <w:rsid w:val="00821F18"/>
    <w:rsid w:val="00822995"/>
    <w:rsid w:val="00822FC7"/>
    <w:rsid w:val="00825CB7"/>
    <w:rsid w:val="008301B4"/>
    <w:rsid w:val="0083476C"/>
    <w:rsid w:val="00855697"/>
    <w:rsid w:val="00855A9A"/>
    <w:rsid w:val="00856A0E"/>
    <w:rsid w:val="008631CE"/>
    <w:rsid w:val="0086443E"/>
    <w:rsid w:val="00872FD2"/>
    <w:rsid w:val="00873D35"/>
    <w:rsid w:val="00876869"/>
    <w:rsid w:val="008851DE"/>
    <w:rsid w:val="00894F9A"/>
    <w:rsid w:val="00896BD0"/>
    <w:rsid w:val="008B26FD"/>
    <w:rsid w:val="008B2E86"/>
    <w:rsid w:val="008B2F37"/>
    <w:rsid w:val="008C0EAA"/>
    <w:rsid w:val="008C5A91"/>
    <w:rsid w:val="008D3510"/>
    <w:rsid w:val="008E2830"/>
    <w:rsid w:val="008E3008"/>
    <w:rsid w:val="008E7B8E"/>
    <w:rsid w:val="008E7ED3"/>
    <w:rsid w:val="008F31BA"/>
    <w:rsid w:val="009013F9"/>
    <w:rsid w:val="00904097"/>
    <w:rsid w:val="009043C7"/>
    <w:rsid w:val="009053F7"/>
    <w:rsid w:val="00905422"/>
    <w:rsid w:val="00923E09"/>
    <w:rsid w:val="00930258"/>
    <w:rsid w:val="00930A39"/>
    <w:rsid w:val="00934055"/>
    <w:rsid w:val="009350F0"/>
    <w:rsid w:val="009419A4"/>
    <w:rsid w:val="00952D32"/>
    <w:rsid w:val="00957BA0"/>
    <w:rsid w:val="00971261"/>
    <w:rsid w:val="00973F1C"/>
    <w:rsid w:val="00977BEA"/>
    <w:rsid w:val="0098690E"/>
    <w:rsid w:val="00991538"/>
    <w:rsid w:val="0099372E"/>
    <w:rsid w:val="00994C96"/>
    <w:rsid w:val="00995104"/>
    <w:rsid w:val="00995E49"/>
    <w:rsid w:val="009A0464"/>
    <w:rsid w:val="009A44A5"/>
    <w:rsid w:val="009B058D"/>
    <w:rsid w:val="009B139F"/>
    <w:rsid w:val="009B2D95"/>
    <w:rsid w:val="009B60B8"/>
    <w:rsid w:val="009C403B"/>
    <w:rsid w:val="009D06E9"/>
    <w:rsid w:val="009D233E"/>
    <w:rsid w:val="009D3564"/>
    <w:rsid w:val="009D5174"/>
    <w:rsid w:val="009D57E3"/>
    <w:rsid w:val="009D68EF"/>
    <w:rsid w:val="009E006D"/>
    <w:rsid w:val="009E0A65"/>
    <w:rsid w:val="009E2A1A"/>
    <w:rsid w:val="009E2C53"/>
    <w:rsid w:val="009E2FCC"/>
    <w:rsid w:val="009E5122"/>
    <w:rsid w:val="009E5C8F"/>
    <w:rsid w:val="009E7FC7"/>
    <w:rsid w:val="00A043CA"/>
    <w:rsid w:val="00A063EE"/>
    <w:rsid w:val="00A161A4"/>
    <w:rsid w:val="00A17957"/>
    <w:rsid w:val="00A22C63"/>
    <w:rsid w:val="00A253B8"/>
    <w:rsid w:val="00A31E80"/>
    <w:rsid w:val="00A32258"/>
    <w:rsid w:val="00A33333"/>
    <w:rsid w:val="00A347C7"/>
    <w:rsid w:val="00A37554"/>
    <w:rsid w:val="00A41302"/>
    <w:rsid w:val="00A43B3E"/>
    <w:rsid w:val="00A659E1"/>
    <w:rsid w:val="00A7281A"/>
    <w:rsid w:val="00A80E26"/>
    <w:rsid w:val="00A811B2"/>
    <w:rsid w:val="00A837CD"/>
    <w:rsid w:val="00A85445"/>
    <w:rsid w:val="00A86A21"/>
    <w:rsid w:val="00A900CC"/>
    <w:rsid w:val="00A9095F"/>
    <w:rsid w:val="00A97EDE"/>
    <w:rsid w:val="00AA34E3"/>
    <w:rsid w:val="00AA4905"/>
    <w:rsid w:val="00AB32A9"/>
    <w:rsid w:val="00AB3DD5"/>
    <w:rsid w:val="00AC02AA"/>
    <w:rsid w:val="00AC1D94"/>
    <w:rsid w:val="00AC2081"/>
    <w:rsid w:val="00AC599A"/>
    <w:rsid w:val="00AD1749"/>
    <w:rsid w:val="00AD4F22"/>
    <w:rsid w:val="00AD6475"/>
    <w:rsid w:val="00AE0FC7"/>
    <w:rsid w:val="00AE6C40"/>
    <w:rsid w:val="00AE710A"/>
    <w:rsid w:val="00AF1C6D"/>
    <w:rsid w:val="00AF4507"/>
    <w:rsid w:val="00B020E4"/>
    <w:rsid w:val="00B055B1"/>
    <w:rsid w:val="00B0660D"/>
    <w:rsid w:val="00B06697"/>
    <w:rsid w:val="00B176C3"/>
    <w:rsid w:val="00B20E03"/>
    <w:rsid w:val="00B23875"/>
    <w:rsid w:val="00B253A1"/>
    <w:rsid w:val="00B262AB"/>
    <w:rsid w:val="00B33CB7"/>
    <w:rsid w:val="00B352FA"/>
    <w:rsid w:val="00B36B5C"/>
    <w:rsid w:val="00B36D31"/>
    <w:rsid w:val="00B43146"/>
    <w:rsid w:val="00B46969"/>
    <w:rsid w:val="00B47A1D"/>
    <w:rsid w:val="00B47B44"/>
    <w:rsid w:val="00B615EA"/>
    <w:rsid w:val="00B617CD"/>
    <w:rsid w:val="00B61928"/>
    <w:rsid w:val="00B66FC9"/>
    <w:rsid w:val="00B72FD6"/>
    <w:rsid w:val="00B76AF5"/>
    <w:rsid w:val="00B805E0"/>
    <w:rsid w:val="00B82DE1"/>
    <w:rsid w:val="00B85139"/>
    <w:rsid w:val="00B955FF"/>
    <w:rsid w:val="00B962CB"/>
    <w:rsid w:val="00B979CB"/>
    <w:rsid w:val="00BB179F"/>
    <w:rsid w:val="00BB4A7A"/>
    <w:rsid w:val="00BB6CB3"/>
    <w:rsid w:val="00BC0047"/>
    <w:rsid w:val="00BC055B"/>
    <w:rsid w:val="00BC266F"/>
    <w:rsid w:val="00BD2206"/>
    <w:rsid w:val="00BD7477"/>
    <w:rsid w:val="00BE48D2"/>
    <w:rsid w:val="00BE77B1"/>
    <w:rsid w:val="00BF083A"/>
    <w:rsid w:val="00BF67EE"/>
    <w:rsid w:val="00BF6F8B"/>
    <w:rsid w:val="00C04DCF"/>
    <w:rsid w:val="00C04F0F"/>
    <w:rsid w:val="00C06177"/>
    <w:rsid w:val="00C063D3"/>
    <w:rsid w:val="00C075EA"/>
    <w:rsid w:val="00C110CD"/>
    <w:rsid w:val="00C14C5A"/>
    <w:rsid w:val="00C158DA"/>
    <w:rsid w:val="00C23990"/>
    <w:rsid w:val="00C25EC1"/>
    <w:rsid w:val="00C33BD4"/>
    <w:rsid w:val="00C34C43"/>
    <w:rsid w:val="00C41717"/>
    <w:rsid w:val="00C41BEB"/>
    <w:rsid w:val="00C436EB"/>
    <w:rsid w:val="00C50A26"/>
    <w:rsid w:val="00C61AC6"/>
    <w:rsid w:val="00C63D11"/>
    <w:rsid w:val="00C67491"/>
    <w:rsid w:val="00C702C7"/>
    <w:rsid w:val="00C7429C"/>
    <w:rsid w:val="00C762EB"/>
    <w:rsid w:val="00C81837"/>
    <w:rsid w:val="00C822BB"/>
    <w:rsid w:val="00C8703B"/>
    <w:rsid w:val="00C91342"/>
    <w:rsid w:val="00C96E3A"/>
    <w:rsid w:val="00CA1292"/>
    <w:rsid w:val="00CA3E1E"/>
    <w:rsid w:val="00CA4E63"/>
    <w:rsid w:val="00CA5B05"/>
    <w:rsid w:val="00CA66A4"/>
    <w:rsid w:val="00CB4C1C"/>
    <w:rsid w:val="00CC1CB8"/>
    <w:rsid w:val="00CC2A1A"/>
    <w:rsid w:val="00CC5E8F"/>
    <w:rsid w:val="00CC69B1"/>
    <w:rsid w:val="00CD5842"/>
    <w:rsid w:val="00CE176A"/>
    <w:rsid w:val="00CE1D9F"/>
    <w:rsid w:val="00CF3CA4"/>
    <w:rsid w:val="00CF546E"/>
    <w:rsid w:val="00CF7F7F"/>
    <w:rsid w:val="00D0023B"/>
    <w:rsid w:val="00D01239"/>
    <w:rsid w:val="00D01DBF"/>
    <w:rsid w:val="00D149B4"/>
    <w:rsid w:val="00D236E8"/>
    <w:rsid w:val="00D256E6"/>
    <w:rsid w:val="00D27B73"/>
    <w:rsid w:val="00D329DF"/>
    <w:rsid w:val="00D33A2B"/>
    <w:rsid w:val="00D35C72"/>
    <w:rsid w:val="00D36E73"/>
    <w:rsid w:val="00D37BA2"/>
    <w:rsid w:val="00D4280C"/>
    <w:rsid w:val="00D47BA9"/>
    <w:rsid w:val="00D5297D"/>
    <w:rsid w:val="00D52A6A"/>
    <w:rsid w:val="00D5674C"/>
    <w:rsid w:val="00D61DFC"/>
    <w:rsid w:val="00D6230E"/>
    <w:rsid w:val="00D752BF"/>
    <w:rsid w:val="00D768FD"/>
    <w:rsid w:val="00D7732D"/>
    <w:rsid w:val="00D77643"/>
    <w:rsid w:val="00D815D0"/>
    <w:rsid w:val="00D81BC7"/>
    <w:rsid w:val="00D85BD6"/>
    <w:rsid w:val="00DA1962"/>
    <w:rsid w:val="00DB0CB1"/>
    <w:rsid w:val="00DB5D79"/>
    <w:rsid w:val="00DC2C44"/>
    <w:rsid w:val="00DC4D91"/>
    <w:rsid w:val="00DC65D0"/>
    <w:rsid w:val="00DD5A1B"/>
    <w:rsid w:val="00DD715C"/>
    <w:rsid w:val="00DE18BC"/>
    <w:rsid w:val="00DF0B73"/>
    <w:rsid w:val="00DF4B62"/>
    <w:rsid w:val="00DF78B9"/>
    <w:rsid w:val="00E0517E"/>
    <w:rsid w:val="00E1460A"/>
    <w:rsid w:val="00E15DEF"/>
    <w:rsid w:val="00E15E9E"/>
    <w:rsid w:val="00E22E2C"/>
    <w:rsid w:val="00E23EE3"/>
    <w:rsid w:val="00E26113"/>
    <w:rsid w:val="00E266A4"/>
    <w:rsid w:val="00E307B8"/>
    <w:rsid w:val="00E35306"/>
    <w:rsid w:val="00E35847"/>
    <w:rsid w:val="00E36C7A"/>
    <w:rsid w:val="00E4362E"/>
    <w:rsid w:val="00E51605"/>
    <w:rsid w:val="00E54BEF"/>
    <w:rsid w:val="00E56993"/>
    <w:rsid w:val="00E56F4A"/>
    <w:rsid w:val="00E57648"/>
    <w:rsid w:val="00E66D56"/>
    <w:rsid w:val="00E71C4E"/>
    <w:rsid w:val="00E721AB"/>
    <w:rsid w:val="00E7654E"/>
    <w:rsid w:val="00E7797E"/>
    <w:rsid w:val="00E82807"/>
    <w:rsid w:val="00E87432"/>
    <w:rsid w:val="00E87F07"/>
    <w:rsid w:val="00E943B8"/>
    <w:rsid w:val="00E94C20"/>
    <w:rsid w:val="00EA300D"/>
    <w:rsid w:val="00EB209E"/>
    <w:rsid w:val="00EB5CD1"/>
    <w:rsid w:val="00EC6CC9"/>
    <w:rsid w:val="00ED5DBC"/>
    <w:rsid w:val="00EE16D4"/>
    <w:rsid w:val="00EE18D8"/>
    <w:rsid w:val="00EE2485"/>
    <w:rsid w:val="00EE2C87"/>
    <w:rsid w:val="00EE61A2"/>
    <w:rsid w:val="00EF0925"/>
    <w:rsid w:val="00EF35EF"/>
    <w:rsid w:val="00EF4086"/>
    <w:rsid w:val="00EF5153"/>
    <w:rsid w:val="00F039B8"/>
    <w:rsid w:val="00F045B9"/>
    <w:rsid w:val="00F1518C"/>
    <w:rsid w:val="00F15F5C"/>
    <w:rsid w:val="00F23266"/>
    <w:rsid w:val="00F30144"/>
    <w:rsid w:val="00F3081C"/>
    <w:rsid w:val="00F41779"/>
    <w:rsid w:val="00F4437F"/>
    <w:rsid w:val="00F448EC"/>
    <w:rsid w:val="00F506EF"/>
    <w:rsid w:val="00F51000"/>
    <w:rsid w:val="00F5140D"/>
    <w:rsid w:val="00F51D65"/>
    <w:rsid w:val="00F565A3"/>
    <w:rsid w:val="00F600EA"/>
    <w:rsid w:val="00F64334"/>
    <w:rsid w:val="00F7435C"/>
    <w:rsid w:val="00F87FC7"/>
    <w:rsid w:val="00F9119D"/>
    <w:rsid w:val="00F973D7"/>
    <w:rsid w:val="00FA3BA2"/>
    <w:rsid w:val="00FA6EC4"/>
    <w:rsid w:val="00FB0CB7"/>
    <w:rsid w:val="00FB25C1"/>
    <w:rsid w:val="00FB2E0F"/>
    <w:rsid w:val="00FB6C38"/>
    <w:rsid w:val="00FC1E31"/>
    <w:rsid w:val="00FC2104"/>
    <w:rsid w:val="00FC2B0D"/>
    <w:rsid w:val="00FC3A87"/>
    <w:rsid w:val="00FC5C06"/>
    <w:rsid w:val="00FD0A32"/>
    <w:rsid w:val="00FD1789"/>
    <w:rsid w:val="00FD505C"/>
    <w:rsid w:val="00FD5421"/>
    <w:rsid w:val="00FE4335"/>
    <w:rsid w:val="00FE7E6F"/>
    <w:rsid w:val="00FF0F52"/>
    <w:rsid w:val="00FF1BB3"/>
    <w:rsid w:val="00FF1E8D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02D6D"/>
  <w15:docId w15:val="{B3A8A9AF-B966-4B7C-9813-417C7EC3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289"/>
    <w:pPr>
      <w:spacing w:after="240" w:line="240" w:lineRule="atLeast"/>
    </w:pPr>
    <w:rPr>
      <w:sz w:val="18"/>
      <w:szCs w:val="22"/>
      <w:lang w:val="en-US" w:eastAsia="en-US"/>
    </w:rPr>
  </w:style>
  <w:style w:type="paragraph" w:styleId="Nadpis1">
    <w:name w:val="heading 1"/>
    <w:aliases w:val="Deloitte Heading 1,Heading 1 Char1 Char,Heading 1 Char Char Char,h1 Char Char Char,H1 Char Char Char,1 Char1 Char Char,Naglówek 1 Char Char Char,Naglówek 11 Char Char Char,Heading 1 Char1 Char Char Char,Heading 1 Char Char Char Char Char,1 gho"/>
    <w:basedOn w:val="Normln"/>
    <w:next w:val="Normln"/>
    <w:link w:val="Nadpis1Char"/>
    <w:qFormat/>
    <w:rsid w:val="007550AB"/>
    <w:pPr>
      <w:keepNext/>
      <w:keepLines/>
      <w:spacing w:after="0"/>
      <w:outlineLvl w:val="0"/>
    </w:pPr>
    <w:rPr>
      <w:rFonts w:eastAsia="MingLiU"/>
      <w:b/>
      <w:bCs/>
      <w:color w:val="62B5E5"/>
      <w:szCs w:val="28"/>
    </w:rPr>
  </w:style>
  <w:style w:type="paragraph" w:styleId="Nadpis2">
    <w:name w:val="heading 2"/>
    <w:aliases w:val="h2,Normal Heading 2,LetHead2,- 1,2,3,H2,Heading_eng 2,Main header,Outline2 Char,HAA-Section Char,Sub Heading Char,ignorer2 Char,Nadpis_2 Char,adpis 2 Char,Nadpis 2 úroveň Char,Outline2,HAA-Section,Sub Heading,ignorer2,Nadpis_2,2m,Nadpis 2 Char"/>
    <w:basedOn w:val="Normln"/>
    <w:next w:val="Normln"/>
    <w:link w:val="Nadpis2Char1"/>
    <w:qFormat/>
    <w:rsid w:val="007550AB"/>
    <w:pPr>
      <w:keepNext/>
      <w:keepLines/>
      <w:spacing w:after="0"/>
      <w:outlineLvl w:val="1"/>
    </w:pPr>
    <w:rPr>
      <w:rFonts w:eastAsia="MingLiU"/>
      <w:b/>
      <w:bCs/>
      <w:color w:val="000000"/>
      <w:szCs w:val="26"/>
    </w:rPr>
  </w:style>
  <w:style w:type="paragraph" w:styleId="Nadpis3">
    <w:name w:val="heading 3"/>
    <w:aliases w:val="h3,- 1),2),3),- 1.,2.,3.,H3,Heading,List 1,Nadpis_3_úroveň,Záhlaví 3,V_Head3,V_Head31,V_Head32,Podkapitola2,ASAPHeading 3,Sub Paragraph,Podkapitola21,Podkapitola podkapitoly základní kapitoly,PA Minor Section,Nadpis_3_úroveo,TRM 12 3,TRM 12 I"/>
    <w:basedOn w:val="Normln"/>
    <w:next w:val="Normln"/>
    <w:link w:val="Nadpis3Char"/>
    <w:qFormat/>
    <w:rsid w:val="00CC2A1A"/>
    <w:pPr>
      <w:keepNext/>
      <w:keepLines/>
      <w:spacing w:after="0"/>
      <w:outlineLvl w:val="2"/>
    </w:pPr>
    <w:rPr>
      <w:rFonts w:eastAsia="MingLiU"/>
      <w:b/>
      <w:bCs/>
      <w:color w:val="75787B"/>
    </w:rPr>
  </w:style>
  <w:style w:type="paragraph" w:styleId="Nadpis4">
    <w:name w:val="heading 4"/>
    <w:basedOn w:val="Normln"/>
    <w:next w:val="Normln"/>
    <w:link w:val="Nadpis4Char"/>
    <w:uiPriority w:val="9"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eastAsia="MingLiU"/>
      <w:b/>
      <w:bCs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"/>
    <w:qFormat/>
    <w:rsid w:val="004C5D1B"/>
    <w:pPr>
      <w:keepNext/>
      <w:keepLines/>
      <w:spacing w:before="40" w:after="0"/>
      <w:outlineLvl w:val="4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Deloitte Heading 1 Char,Heading 1 Char1 Char Char,Heading 1 Char Char Char Char,h1 Char Char Char Char,H1 Char Char Char Char,1 Char1 Char Char Char,Naglówek 1 Char Char Char Char,Naglówek 11 Char Char Char Char,1 gho Char"/>
    <w:link w:val="Nadpis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Nadpis2Char1">
    <w:name w:val="Nadpis 2 Char1"/>
    <w:aliases w:val="h2 Char,Normal Heading 2 Char,LetHead2 Char,- 1 Char,2 Char,3 Char,H2 Char,Heading_eng 2 Char,Main header Char,Outline2 Char Char,HAA-Section Char Char,Sub Heading Char Char,ignorer2 Char Char,Nadpis_2 Char Char,adpis 2 Char Char,2m Char"/>
    <w:link w:val="Nadpis2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Mkatabulky">
    <w:name w:val="Table Grid"/>
    <w:basedOn w:val="Normlntabulka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Zhlav">
    <w:name w:val="header"/>
    <w:link w:val="ZhlavChar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ZhlavChar">
    <w:name w:val="Záhlaví Char"/>
    <w:link w:val="Zhlav"/>
    <w:rsid w:val="008631CE"/>
    <w:rPr>
      <w:b/>
      <w:sz w:val="14"/>
      <w:lang w:val="en-US"/>
    </w:rPr>
  </w:style>
  <w:style w:type="paragraph" w:styleId="Zpat">
    <w:name w:val="footer"/>
    <w:basedOn w:val="Normln"/>
    <w:link w:val="Zpat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ZpatChar">
    <w:name w:val="Zápatí Char"/>
    <w:link w:val="Zpat"/>
    <w:uiPriority w:val="99"/>
    <w:rsid w:val="007550AB"/>
    <w:rPr>
      <w:sz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C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ln"/>
    <w:semiHidden/>
    <w:qFormat/>
    <w:rsid w:val="00A43B3E"/>
    <w:rPr>
      <w:b/>
    </w:rPr>
  </w:style>
  <w:style w:type="character" w:styleId="Zstupntext">
    <w:name w:val="Placeholder Text"/>
    <w:uiPriority w:val="99"/>
    <w:semiHidden/>
    <w:rsid w:val="001975EF"/>
    <w:rPr>
      <w:color w:val="808080"/>
    </w:rPr>
  </w:style>
  <w:style w:type="paragraph" w:styleId="Seznamsodrkami">
    <w:name w:val="List Bullet"/>
    <w:basedOn w:val="Normln"/>
    <w:uiPriority w:val="99"/>
    <w:qFormat/>
    <w:rsid w:val="00973F1C"/>
    <w:pPr>
      <w:spacing w:after="0"/>
      <w:ind w:left="284" w:hanging="284"/>
      <w:contextualSpacing/>
    </w:pPr>
  </w:style>
  <w:style w:type="paragraph" w:styleId="Seznamsodrkami2">
    <w:name w:val="List Bullet 2"/>
    <w:basedOn w:val="Normln"/>
    <w:uiPriority w:val="99"/>
    <w:qFormat/>
    <w:rsid w:val="00973F1C"/>
    <w:pPr>
      <w:ind w:left="568" w:hanging="284"/>
      <w:contextualSpacing/>
    </w:pPr>
  </w:style>
  <w:style w:type="paragraph" w:styleId="slovanseznam">
    <w:name w:val="List Number"/>
    <w:basedOn w:val="Normln"/>
    <w:uiPriority w:val="99"/>
    <w:qFormat/>
    <w:rsid w:val="00544D24"/>
    <w:pPr>
      <w:numPr>
        <w:numId w:val="3"/>
      </w:numPr>
      <w:tabs>
        <w:tab w:val="clear" w:pos="360"/>
      </w:tabs>
      <w:spacing w:after="0"/>
      <w:ind w:left="284" w:hanging="284"/>
      <w:contextualSpacing/>
    </w:pPr>
  </w:style>
  <w:style w:type="paragraph" w:styleId="slovanseznam2">
    <w:name w:val="List Number 2"/>
    <w:basedOn w:val="Normln"/>
    <w:uiPriority w:val="99"/>
    <w:qFormat/>
    <w:rsid w:val="00973F1C"/>
    <w:pPr>
      <w:ind w:left="568" w:hanging="284"/>
      <w:contextualSpacing/>
    </w:pPr>
  </w:style>
  <w:style w:type="character" w:customStyle="1" w:styleId="Nadpis3Char">
    <w:name w:val="Nadpis 3 Char"/>
    <w:aliases w:val="h3 Char,- 1) Char,2) Char,3) Char,- 1. Char,2. Char,3. Char,H3 Char,Heading Char,List 1 Char,Nadpis_3_úroveň Char,Záhlaví 3 Char,V_Head3 Char,V_Head31 Char,V_Head32 Char,Podkapitola2 Char,ASAPHeading 3 Char,Sub Paragraph Char,TRM 12 3 Char"/>
    <w:link w:val="Nadpis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Nadpis4Char">
    <w:name w:val="Nadpis 4 Char"/>
    <w:link w:val="Nadpis4"/>
    <w:uiPriority w:val="9"/>
    <w:rsid w:val="00C67491"/>
    <w:rPr>
      <w:rFonts w:eastAsia="MingLiU"/>
      <w:b/>
      <w:bCs/>
      <w:iCs/>
      <w:color w:val="000000"/>
      <w:sz w:val="18"/>
      <w:szCs w:val="22"/>
      <w:lang w:val="en-US" w:eastAsia="en-US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 Char1,fn"/>
    <w:basedOn w:val="Normln"/>
    <w:link w:val="TextpoznpodarouChar"/>
    <w:uiPriority w:val="99"/>
    <w:qFormat/>
    <w:rsid w:val="00F3081C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ln"/>
    <w:next w:val="Normln"/>
    <w:semiHidden/>
    <w:qFormat/>
    <w:rsid w:val="00D236E8"/>
    <w:pPr>
      <w:spacing w:after="0"/>
    </w:pPr>
    <w:rPr>
      <w:rFonts w:eastAsia="MingLiU"/>
      <w:b/>
      <w:bCs/>
      <w:iCs/>
      <w:color w:val="000000"/>
    </w:rPr>
  </w:style>
  <w:style w:type="character" w:styleId="Znakapoznpodarou">
    <w:name w:val="footnote reference"/>
    <w:aliases w:val="Überschrift 4 Zchn1,Título 4 Car Zchn,Heading 4 Char1 Car Zchn,no vale 2 Zchn,no vale 2 Car Zchn,PGI Fußnote Ziffer,BVI fnr,Footnote symbol,Footnote Reference Superscript,Appel note de bas de p,Appel note de bas de page,Légende,4_"/>
    <w:uiPriority w:val="99"/>
    <w:rsid w:val="00412EA0"/>
    <w:rPr>
      <w:vertAlign w:val="superscript"/>
    </w:rPr>
  </w:style>
  <w:style w:type="paragraph" w:customStyle="1" w:styleId="Sectionintro">
    <w:name w:val="Section intro"/>
    <w:basedOn w:val="Normln"/>
    <w:next w:val="Normln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ln"/>
    <w:next w:val="Normln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ln"/>
    <w:next w:val="Normln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ln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Titulek">
    <w:name w:val="caption"/>
    <w:basedOn w:val="Normln"/>
    <w:next w:val="Normln"/>
    <w:uiPriority w:val="35"/>
    <w:qFormat/>
    <w:rsid w:val="00B46969"/>
    <w:pPr>
      <w:keepNext/>
      <w:spacing w:line="240" w:lineRule="auto"/>
    </w:pPr>
    <w:rPr>
      <w:iCs/>
      <w:color w:val="75787B"/>
      <w:sz w:val="17"/>
      <w:szCs w:val="18"/>
    </w:rPr>
  </w:style>
  <w:style w:type="character" w:styleId="Hypertextovodkaz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ln"/>
    <w:qFormat/>
    <w:rsid w:val="00822995"/>
    <w:rPr>
      <w:color w:val="86BC25"/>
    </w:rPr>
  </w:style>
  <w:style w:type="paragraph" w:customStyle="1" w:styleId="QuotesourceBlue">
    <w:name w:val="Quote source Blue"/>
    <w:basedOn w:val="Normln"/>
    <w:next w:val="Normln"/>
    <w:qFormat/>
    <w:rsid w:val="004C5D1B"/>
    <w:pPr>
      <w:spacing w:line="200" w:lineRule="atLeast"/>
      <w:contextualSpacing/>
    </w:pPr>
    <w:rPr>
      <w:b/>
      <w:color w:val="62B5E5"/>
    </w:rPr>
  </w:style>
  <w:style w:type="paragraph" w:customStyle="1" w:styleId="QuotesourceGreen">
    <w:name w:val="Quote source Green"/>
    <w:basedOn w:val="QuotesourceBlue"/>
    <w:next w:val="Normln"/>
    <w:qFormat/>
    <w:rsid w:val="000516C4"/>
    <w:rPr>
      <w:color w:val="86BC25"/>
    </w:rPr>
  </w:style>
  <w:style w:type="paragraph" w:customStyle="1" w:styleId="Paneltext">
    <w:name w:val="Panel text"/>
    <w:basedOn w:val="Normln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ln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ln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ln"/>
    <w:qFormat/>
    <w:rsid w:val="00244010"/>
  </w:style>
  <w:style w:type="paragraph" w:styleId="Obsah1">
    <w:name w:val="toc 1"/>
    <w:basedOn w:val="Normln"/>
    <w:next w:val="Normln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after="0" w:line="720" w:lineRule="atLeast"/>
    </w:pPr>
    <w:rPr>
      <w:color w:val="FFFFFF"/>
      <w:sz w:val="60"/>
    </w:rPr>
  </w:style>
  <w:style w:type="paragraph" w:customStyle="1" w:styleId="Legaltext">
    <w:name w:val="Legal text"/>
    <w:basedOn w:val="Normln"/>
    <w:qFormat/>
    <w:rsid w:val="00BF6F8B"/>
    <w:pPr>
      <w:spacing w:after="0" w:line="180" w:lineRule="atLeast"/>
      <w:ind w:right="5387"/>
    </w:pPr>
    <w:rPr>
      <w:sz w:val="14"/>
    </w:rPr>
  </w:style>
  <w:style w:type="table" w:customStyle="1" w:styleId="Deloittetable">
    <w:name w:val="Deloitte table"/>
    <w:basedOn w:val="Normlntabulka"/>
    <w:uiPriority w:val="99"/>
    <w:rsid w:val="00335CF3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ln"/>
    <w:qFormat/>
    <w:rsid w:val="004D1F57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Titulek"/>
    <w:next w:val="Normln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Nadpis2"/>
    <w:qFormat/>
    <w:rsid w:val="00B66FC9"/>
  </w:style>
  <w:style w:type="paragraph" w:customStyle="1" w:styleId="Smlouvaheading1">
    <w:name w:val="Smlouva heading 1"/>
    <w:basedOn w:val="Normln"/>
    <w:link w:val="Smlouvaheading1Char"/>
    <w:qFormat/>
    <w:rsid w:val="00277DBB"/>
    <w:pPr>
      <w:numPr>
        <w:numId w:val="24"/>
      </w:numPr>
      <w:spacing w:before="240" w:after="120"/>
      <w:jc w:val="both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b/>
      <w:sz w:val="18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24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24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numPr>
        <w:ilvl w:val="3"/>
        <w:numId w:val="24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Nadpis5Char">
    <w:name w:val="Nadpis 5 Char"/>
    <w:link w:val="Nadpis5"/>
    <w:uiPriority w:val="9"/>
    <w:rsid w:val="004C5D1B"/>
    <w:rPr>
      <w:rFonts w:ascii="Verdana" w:eastAsia="Times New Roman" w:hAnsi="Verdana" w:cs="Times New Roman"/>
      <w:sz w:val="18"/>
      <w:szCs w:val="22"/>
      <w:lang w:val="en-US" w:eastAsia="en-US"/>
    </w:rPr>
  </w:style>
  <w:style w:type="table" w:customStyle="1" w:styleId="Deloittetable2">
    <w:name w:val="Deloitte table 2"/>
    <w:basedOn w:val="Normlntabulka"/>
    <w:uiPriority w:val="99"/>
    <w:rsid w:val="004C5D1B"/>
    <w:rPr>
      <w:sz w:val="17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table" w:customStyle="1" w:styleId="Deloittetable3">
    <w:name w:val="Deloitte table 3"/>
    <w:basedOn w:val="Prosttabulka41"/>
    <w:uiPriority w:val="99"/>
    <w:rsid w:val="00110604"/>
    <w:rPr>
      <w:sz w:val="17"/>
    </w:rPr>
    <w:tblPr>
      <w:tblBorders>
        <w:bottom w:val="single" w:sz="4" w:space="0" w:color="E7E6E6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b/>
        <w:bCs/>
        <w:color w:val="86BC25"/>
        <w:sz w:val="18"/>
      </w:rPr>
      <w:tblPr/>
      <w:tcPr>
        <w:tcBorders>
          <w:top w:val="single" w:sz="24" w:space="0" w:color="86BC25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bottom w:val="single" w:sz="4" w:space="0" w:color="E7E6E6"/>
        </w:tcBorders>
        <w:shd w:val="clear" w:color="auto" w:fill="auto"/>
      </w:tcPr>
    </w:tblStylePr>
    <w:tblStylePr w:type="firstCol">
      <w:rPr>
        <w:b w:val="0"/>
        <w:bCs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41">
    <w:name w:val="Prostá tabulka 41"/>
    <w:basedOn w:val="Normlntabulka"/>
    <w:uiPriority w:val="44"/>
    <w:rsid w:val="006562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Highlight2">
    <w:name w:val="Highlight 2"/>
    <w:basedOn w:val="Normln"/>
    <w:qFormat/>
    <w:rsid w:val="00155289"/>
    <w:pPr>
      <w:spacing w:after="120" w:line="240" w:lineRule="auto"/>
      <w:jc w:val="both"/>
    </w:pPr>
    <w:rPr>
      <w:rFonts w:ascii="Arial" w:eastAsia="Times New Roman" w:hAnsi="Arial"/>
      <w:b/>
      <w:color w:val="81BC00"/>
      <w:sz w:val="20"/>
      <w:szCs w:val="24"/>
      <w:lang w:val="cs-CZ"/>
    </w:rPr>
  </w:style>
  <w:style w:type="paragraph" w:styleId="Odstavecseseznamem">
    <w:name w:val="List Paragraph"/>
    <w:aliases w:val="Odstavec cíl se seznamem,Odstavec se seznamem1,Nad,Odstavec se seznamem5,List Paragraph1,Odstavec_muj,_Odstavec se seznamem,Název grafu,nad 1,Odstavec se seznamem2,A-Odrážky1,Odstavec_muj1,Odstavec_muj2,Odstavec_muj3,Nad1,Na"/>
    <w:basedOn w:val="Normln"/>
    <w:link w:val="OdstavecseseznamemChar"/>
    <w:uiPriority w:val="34"/>
    <w:qFormat/>
    <w:rsid w:val="002C2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DC2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C2C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C44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C2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C44"/>
    <w:rPr>
      <w:b/>
      <w:bCs/>
      <w:lang w:val="en-US" w:eastAsia="en-US"/>
    </w:rPr>
  </w:style>
  <w:style w:type="table" w:customStyle="1" w:styleId="Tabulkasmkou4zvraznn11">
    <w:name w:val="Tabulka s mřížkou 4 – zvýraznění 11"/>
    <w:basedOn w:val="Normlntabulka"/>
    <w:uiPriority w:val="49"/>
    <w:rsid w:val="007F2FE1"/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C25" w:themeColor="accent1"/>
          <w:left w:val="single" w:sz="4" w:space="0" w:color="86BC25" w:themeColor="accent1"/>
          <w:bottom w:val="single" w:sz="4" w:space="0" w:color="86BC25" w:themeColor="accent1"/>
          <w:right w:val="single" w:sz="4" w:space="0" w:color="86BC25" w:themeColor="accent1"/>
          <w:insideH w:val="nil"/>
          <w:insideV w:val="nil"/>
        </w:tcBorders>
        <w:shd w:val="clear" w:color="auto" w:fill="86BC25" w:themeFill="accent1"/>
      </w:tcPr>
    </w:tblStylePr>
    <w:tblStylePr w:type="lastRow">
      <w:rPr>
        <w:b/>
        <w:bCs/>
      </w:rPr>
      <w:tblPr/>
      <w:tcPr>
        <w:tcBorders>
          <w:top w:val="double" w:sz="4" w:space="0" w:color="86BC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paragraph" w:styleId="Revize">
    <w:name w:val="Revision"/>
    <w:hidden/>
    <w:uiPriority w:val="99"/>
    <w:semiHidden/>
    <w:rsid w:val="00D81BC7"/>
    <w:rPr>
      <w:sz w:val="18"/>
      <w:szCs w:val="22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rsid w:val="00D256E6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Odstavec cíl se seznamem Char,Odstavec se seznamem1 Char,Nad Char,Odstavec se seznamem5 Char,List Paragraph1 Char,Odstavec_muj Char,_Odstavec se seznamem Char,Název grafu Char,nad 1 Char,Odstavec se seznamem2 Char,Nad1 Char"/>
    <w:link w:val="Odstavecseseznamem"/>
    <w:uiPriority w:val="34"/>
    <w:locked/>
    <w:rsid w:val="004E0A3C"/>
    <w:rPr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loitte_US_Letter_Print Theme">
  <a:themeElements>
    <a:clrScheme name="Custom 1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8F8C-186A-4714-952B-23DDB4F1736F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CEF2083F-F557-4E2A-B602-6F1206A3C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F37B-A637-48D1-B81F-F1B66AAFA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5C8D6-95AE-4F25-85AC-90233634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1028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creator>Wygrysova, Dominika (CZ - Prague)</dc:creator>
  <cp:lastModifiedBy>Pluta Michal Ing.</cp:lastModifiedBy>
  <cp:revision>4</cp:revision>
  <cp:lastPrinted>2016-04-04T15:14:00Z</cp:lastPrinted>
  <dcterms:created xsi:type="dcterms:W3CDTF">2019-03-29T14:27:00Z</dcterms:created>
  <dcterms:modified xsi:type="dcterms:W3CDTF">2019-06-20T13:22:00Z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