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03C" w:rsidRPr="00E1003C" w:rsidRDefault="00E1003C" w:rsidP="00061DB0">
      <w:pPr>
        <w:jc w:val="both"/>
        <w:rPr>
          <w:rFonts w:ascii="Arial" w:hAnsi="Arial" w:cs="Arial"/>
          <w:b/>
          <w:sz w:val="20"/>
          <w:szCs w:val="20"/>
        </w:rPr>
      </w:pPr>
      <w:r w:rsidRPr="00E1003C">
        <w:rPr>
          <w:rFonts w:ascii="Arial" w:hAnsi="Arial" w:cs="Arial"/>
          <w:b/>
          <w:sz w:val="20"/>
          <w:szCs w:val="20"/>
        </w:rPr>
        <w:t>Příloha č. 1</w:t>
      </w:r>
      <w:bookmarkStart w:id="0" w:name="_GoBack"/>
      <w:bookmarkEnd w:id="0"/>
    </w:p>
    <w:p w:rsidR="00E1003C" w:rsidRDefault="00E1003C" w:rsidP="00061DB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="00061DB0" w:rsidRPr="00061DB0" w:rsidRDefault="0041015F" w:rsidP="00061DB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 xml:space="preserve">Průtokový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cytometr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 xml:space="preserve"> Guava </w:t>
      </w:r>
      <w:proofErr w:type="spellStart"/>
      <w:r>
        <w:rPr>
          <w:rFonts w:ascii="Arial" w:hAnsi="Arial" w:cs="Arial"/>
          <w:b/>
          <w:sz w:val="20"/>
          <w:szCs w:val="20"/>
          <w:u w:val="single"/>
        </w:rPr>
        <w:t>easyCyte</w:t>
      </w:r>
      <w:proofErr w:type="spellEnd"/>
      <w:r w:rsidR="005D65D1">
        <w:rPr>
          <w:rFonts w:ascii="Arial" w:hAnsi="Arial" w:cs="Arial"/>
          <w:b/>
          <w:sz w:val="20"/>
          <w:szCs w:val="20"/>
          <w:u w:val="single"/>
        </w:rPr>
        <w:t>™</w:t>
      </w:r>
      <w:r>
        <w:rPr>
          <w:rFonts w:ascii="Arial" w:hAnsi="Arial" w:cs="Arial"/>
          <w:b/>
          <w:sz w:val="20"/>
          <w:szCs w:val="20"/>
          <w:u w:val="single"/>
        </w:rPr>
        <w:t xml:space="preserve"> 5</w:t>
      </w:r>
      <w:r w:rsidR="005D65D1">
        <w:rPr>
          <w:rFonts w:ascii="Arial" w:hAnsi="Arial" w:cs="Arial"/>
          <w:b/>
          <w:sz w:val="20"/>
          <w:szCs w:val="20"/>
          <w:u w:val="single"/>
        </w:rPr>
        <w:t xml:space="preserve"> – podrobný popis nabízeného přístroje</w:t>
      </w:r>
      <w:r>
        <w:rPr>
          <w:rFonts w:ascii="Arial" w:hAnsi="Arial" w:cs="Arial"/>
          <w:b/>
          <w:sz w:val="20"/>
          <w:szCs w:val="20"/>
          <w:u w:val="single"/>
        </w:rPr>
        <w:t>:</w:t>
      </w:r>
    </w:p>
    <w:p w:rsidR="00061DB0" w:rsidRPr="00061DB0" w:rsidRDefault="00061DB0" w:rsidP="00061DB0">
      <w:pPr>
        <w:jc w:val="both"/>
        <w:rPr>
          <w:rFonts w:ascii="Arial" w:hAnsi="Arial" w:cs="Arial"/>
          <w:sz w:val="20"/>
          <w:szCs w:val="20"/>
        </w:rPr>
      </w:pPr>
    </w:p>
    <w:p w:rsidR="00061DB0" w:rsidRDefault="005D65D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Vybaven jedním</w:t>
      </w:r>
      <w:r w:rsidR="0041015F">
        <w:rPr>
          <w:rFonts w:ascii="Arial" w:hAnsi="Arial" w:cs="Arial"/>
          <w:sz w:val="20"/>
          <w:szCs w:val="20"/>
        </w:rPr>
        <w:t xml:space="preserve"> excitační</w:t>
      </w:r>
      <w:r>
        <w:rPr>
          <w:rFonts w:ascii="Arial" w:hAnsi="Arial" w:cs="Arial"/>
          <w:sz w:val="20"/>
          <w:szCs w:val="20"/>
        </w:rPr>
        <w:t>m</w:t>
      </w:r>
      <w:r w:rsidR="0041015F">
        <w:rPr>
          <w:rFonts w:ascii="Arial" w:hAnsi="Arial" w:cs="Arial"/>
          <w:sz w:val="20"/>
          <w:szCs w:val="20"/>
        </w:rPr>
        <w:t xml:space="preserve"> laser</w:t>
      </w:r>
      <w:r>
        <w:rPr>
          <w:rFonts w:ascii="Arial" w:hAnsi="Arial" w:cs="Arial"/>
          <w:sz w:val="20"/>
          <w:szCs w:val="20"/>
        </w:rPr>
        <w:t>em</w:t>
      </w:r>
      <w:r w:rsidR="0041015F">
        <w:rPr>
          <w:rFonts w:ascii="Arial" w:hAnsi="Arial" w:cs="Arial"/>
          <w:sz w:val="20"/>
          <w:szCs w:val="20"/>
        </w:rPr>
        <w:t xml:space="preserve"> s vlnovou délkou</w:t>
      </w:r>
      <w:r w:rsidR="00061DB0" w:rsidRPr="00061DB0">
        <w:rPr>
          <w:rFonts w:ascii="Arial" w:hAnsi="Arial" w:cs="Arial"/>
          <w:sz w:val="20"/>
          <w:szCs w:val="20"/>
        </w:rPr>
        <w:t xml:space="preserve"> 488</w:t>
      </w:r>
      <w:r w:rsidR="00061DB0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2AA8">
        <w:rPr>
          <w:rFonts w:ascii="Arial" w:hAnsi="Arial" w:cs="Arial"/>
          <w:sz w:val="20"/>
          <w:szCs w:val="20"/>
        </w:rPr>
        <w:t>nm</w:t>
      </w:r>
      <w:proofErr w:type="spellEnd"/>
      <w:r w:rsidR="009C2AA8">
        <w:rPr>
          <w:rFonts w:ascii="Arial" w:hAnsi="Arial" w:cs="Arial"/>
          <w:sz w:val="20"/>
          <w:szCs w:val="20"/>
        </w:rPr>
        <w:t xml:space="preserve"> </w:t>
      </w:r>
      <w:r w:rsidR="0041015F">
        <w:rPr>
          <w:rFonts w:ascii="Arial" w:hAnsi="Arial" w:cs="Arial"/>
          <w:sz w:val="20"/>
          <w:szCs w:val="20"/>
        </w:rPr>
        <w:t xml:space="preserve">a výkonem 50 </w:t>
      </w:r>
      <w:proofErr w:type="spellStart"/>
      <w:r w:rsidR="0041015F">
        <w:rPr>
          <w:rFonts w:ascii="Arial" w:hAnsi="Arial" w:cs="Arial"/>
          <w:sz w:val="20"/>
          <w:szCs w:val="20"/>
        </w:rPr>
        <w:t>mW</w:t>
      </w:r>
      <w:proofErr w:type="spellEnd"/>
      <w:r w:rsidR="00061DB0" w:rsidRPr="00061DB0">
        <w:rPr>
          <w:rFonts w:ascii="Arial" w:hAnsi="Arial" w:cs="Arial"/>
          <w:sz w:val="20"/>
          <w:szCs w:val="20"/>
        </w:rPr>
        <w:t xml:space="preserve">. </w:t>
      </w:r>
      <w:r w:rsidR="00483E3C">
        <w:rPr>
          <w:rFonts w:ascii="Arial" w:hAnsi="Arial" w:cs="Arial"/>
          <w:sz w:val="20"/>
          <w:szCs w:val="20"/>
        </w:rPr>
        <w:t>Laserový paprsek pokrývá celý objem měřící cely, což zabezpečuje detekci signálu ze všech procházející</w:t>
      </w:r>
      <w:r w:rsidR="000F73FD">
        <w:rPr>
          <w:rFonts w:ascii="Arial" w:hAnsi="Arial" w:cs="Arial"/>
          <w:sz w:val="20"/>
          <w:szCs w:val="20"/>
        </w:rPr>
        <w:t>ch objektů.</w:t>
      </w:r>
    </w:p>
    <w:p w:rsidR="009C2AA8" w:rsidRDefault="009C2AA8">
      <w:pPr>
        <w:rPr>
          <w:rFonts w:ascii="Arial" w:hAnsi="Arial" w:cs="Arial"/>
          <w:sz w:val="20"/>
          <w:szCs w:val="20"/>
        </w:rPr>
      </w:pPr>
    </w:p>
    <w:p w:rsidR="00061DB0" w:rsidRDefault="0041015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 fluorescenční detektory - fotonásobiče</w:t>
      </w:r>
      <w:r w:rsidR="00061DB0">
        <w:rPr>
          <w:rFonts w:ascii="Arial" w:hAnsi="Arial" w:cs="Arial"/>
          <w:sz w:val="20"/>
          <w:szCs w:val="20"/>
        </w:rPr>
        <w:t>:</w:t>
      </w:r>
      <w:r w:rsidR="00061DB0" w:rsidRPr="00061DB0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zelená 525/30 </w:t>
      </w:r>
      <w:proofErr w:type="spellStart"/>
      <w:r>
        <w:rPr>
          <w:rFonts w:ascii="Arial" w:hAnsi="Arial" w:cs="Arial"/>
          <w:sz w:val="20"/>
          <w:szCs w:val="20"/>
        </w:rPr>
        <w:t>nm</w:t>
      </w:r>
      <w:proofErr w:type="spellEnd"/>
      <w:r>
        <w:rPr>
          <w:rFonts w:ascii="Arial" w:hAnsi="Arial" w:cs="Arial"/>
          <w:sz w:val="20"/>
          <w:szCs w:val="20"/>
        </w:rPr>
        <w:t>, žlutá</w:t>
      </w:r>
      <w:r w:rsidR="00061DB0">
        <w:rPr>
          <w:rFonts w:ascii="Arial" w:hAnsi="Arial" w:cs="Arial"/>
          <w:sz w:val="20"/>
          <w:szCs w:val="20"/>
        </w:rPr>
        <w:t xml:space="preserve"> 583/26 </w:t>
      </w:r>
      <w:proofErr w:type="spellStart"/>
      <w:r>
        <w:rPr>
          <w:rFonts w:ascii="Arial" w:hAnsi="Arial" w:cs="Arial"/>
          <w:sz w:val="20"/>
          <w:szCs w:val="20"/>
        </w:rPr>
        <w:t>nm</w:t>
      </w:r>
      <w:proofErr w:type="spellEnd"/>
      <w:r>
        <w:rPr>
          <w:rFonts w:ascii="Arial" w:hAnsi="Arial" w:cs="Arial"/>
          <w:sz w:val="20"/>
          <w:szCs w:val="20"/>
        </w:rPr>
        <w:t>, červená</w:t>
      </w:r>
      <w:r w:rsidR="00656856">
        <w:rPr>
          <w:rFonts w:ascii="Arial" w:hAnsi="Arial" w:cs="Arial"/>
          <w:sz w:val="20"/>
          <w:szCs w:val="20"/>
        </w:rPr>
        <w:t xml:space="preserve"> 695</w:t>
      </w:r>
      <w:r>
        <w:rPr>
          <w:rFonts w:ascii="Arial" w:hAnsi="Arial" w:cs="Arial"/>
          <w:sz w:val="20"/>
          <w:szCs w:val="20"/>
        </w:rPr>
        <w:t xml:space="preserve">/50 </w:t>
      </w:r>
      <w:proofErr w:type="spellStart"/>
      <w:r>
        <w:rPr>
          <w:rFonts w:ascii="Arial" w:hAnsi="Arial" w:cs="Arial"/>
          <w:sz w:val="20"/>
          <w:szCs w:val="20"/>
        </w:rPr>
        <w:t>nm</w:t>
      </w:r>
      <w:proofErr w:type="spellEnd"/>
    </w:p>
    <w:p w:rsidR="00261DFE" w:rsidRDefault="00261DFE">
      <w:pPr>
        <w:rPr>
          <w:rFonts w:ascii="Arial" w:hAnsi="Arial" w:cs="Arial"/>
          <w:sz w:val="20"/>
          <w:szCs w:val="20"/>
        </w:rPr>
      </w:pPr>
    </w:p>
    <w:p w:rsidR="009C2AA8" w:rsidRDefault="00261D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Citlivost fluoresce</w:t>
      </w:r>
      <w:r w:rsidR="0041015F">
        <w:rPr>
          <w:rFonts w:ascii="Arial" w:hAnsi="Arial" w:cs="Arial"/>
          <w:sz w:val="20"/>
          <w:szCs w:val="20"/>
        </w:rPr>
        <w:t>nčních detektorů: &lt;125 MESF (FITC), &lt;50 MESF (PE), &lt;150</w:t>
      </w:r>
      <w:r w:rsidR="009C2AA8" w:rsidRPr="009C2AA8">
        <w:rPr>
          <w:rFonts w:ascii="Arial" w:hAnsi="Arial" w:cs="Arial"/>
          <w:sz w:val="20"/>
          <w:szCs w:val="20"/>
        </w:rPr>
        <w:t xml:space="preserve"> MESF (PE-Cy5), </w:t>
      </w:r>
    </w:p>
    <w:p w:rsidR="0041015F" w:rsidRDefault="0041015F">
      <w:pPr>
        <w:rPr>
          <w:rFonts w:ascii="Arial" w:hAnsi="Arial" w:cs="Arial"/>
          <w:sz w:val="20"/>
          <w:szCs w:val="20"/>
        </w:rPr>
      </w:pPr>
    </w:p>
    <w:p w:rsidR="00061DB0" w:rsidRDefault="00061DB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 detektory rozptylu světla: </w:t>
      </w:r>
      <w:r w:rsidR="00BF2FE9">
        <w:rPr>
          <w:rFonts w:ascii="Arial" w:hAnsi="Arial" w:cs="Arial"/>
          <w:sz w:val="20"/>
          <w:szCs w:val="20"/>
        </w:rPr>
        <w:t>FSC</w:t>
      </w:r>
      <w:r w:rsidRPr="00061DB0">
        <w:rPr>
          <w:rFonts w:ascii="Arial" w:hAnsi="Arial" w:cs="Arial"/>
          <w:sz w:val="20"/>
          <w:szCs w:val="20"/>
        </w:rPr>
        <w:t xml:space="preserve"> přední rozptyl světl</w:t>
      </w:r>
      <w:r>
        <w:rPr>
          <w:rFonts w:ascii="Arial" w:hAnsi="Arial" w:cs="Arial"/>
          <w:sz w:val="20"/>
          <w:szCs w:val="20"/>
        </w:rPr>
        <w:t>a</w:t>
      </w:r>
      <w:r w:rsidR="00261DFE">
        <w:rPr>
          <w:rFonts w:ascii="Arial" w:hAnsi="Arial" w:cs="Arial"/>
          <w:sz w:val="20"/>
          <w:szCs w:val="20"/>
        </w:rPr>
        <w:t xml:space="preserve"> </w:t>
      </w:r>
      <w:r w:rsidR="00261DFE" w:rsidRPr="00261DFE">
        <w:rPr>
          <w:rFonts w:ascii="Arial" w:hAnsi="Arial" w:cs="Arial"/>
          <w:sz w:val="20"/>
          <w:szCs w:val="20"/>
        </w:rPr>
        <w:t>(</w:t>
      </w:r>
      <w:r w:rsidR="005D65D1">
        <w:rPr>
          <w:rFonts w:ascii="Arial" w:hAnsi="Arial" w:cs="Arial"/>
          <w:sz w:val="20"/>
          <w:szCs w:val="20"/>
        </w:rPr>
        <w:t xml:space="preserve">fotodioda, </w:t>
      </w:r>
      <w:r w:rsidR="00261DFE" w:rsidRPr="00261DFE">
        <w:rPr>
          <w:rFonts w:ascii="Arial" w:hAnsi="Arial" w:cs="Arial"/>
          <w:sz w:val="20"/>
          <w:szCs w:val="20"/>
        </w:rPr>
        <w:t>0°,+/-9)</w:t>
      </w:r>
      <w:r w:rsidR="00BF2FE9">
        <w:rPr>
          <w:rFonts w:ascii="Arial" w:hAnsi="Arial" w:cs="Arial"/>
          <w:sz w:val="20"/>
          <w:szCs w:val="20"/>
        </w:rPr>
        <w:t xml:space="preserve"> a SSC</w:t>
      </w:r>
      <w:r>
        <w:rPr>
          <w:rFonts w:ascii="Arial" w:hAnsi="Arial" w:cs="Arial"/>
          <w:sz w:val="20"/>
          <w:szCs w:val="20"/>
        </w:rPr>
        <w:t xml:space="preserve"> boční rozptyl světla</w:t>
      </w:r>
      <w:r w:rsidR="00261DFE">
        <w:rPr>
          <w:rFonts w:ascii="Arial" w:hAnsi="Arial" w:cs="Arial"/>
          <w:sz w:val="20"/>
          <w:szCs w:val="20"/>
        </w:rPr>
        <w:t xml:space="preserve"> </w:t>
      </w:r>
      <w:r w:rsidR="00261DFE" w:rsidRPr="00261DFE">
        <w:rPr>
          <w:rFonts w:ascii="Arial" w:hAnsi="Arial" w:cs="Arial"/>
          <w:sz w:val="20"/>
          <w:szCs w:val="20"/>
        </w:rPr>
        <w:t>(</w:t>
      </w:r>
      <w:r w:rsidR="005D65D1">
        <w:rPr>
          <w:rFonts w:ascii="Arial" w:hAnsi="Arial" w:cs="Arial"/>
          <w:sz w:val="20"/>
          <w:szCs w:val="20"/>
        </w:rPr>
        <w:t xml:space="preserve">fotonásobič, </w:t>
      </w:r>
      <w:r w:rsidR="00261DFE" w:rsidRPr="00261DFE">
        <w:rPr>
          <w:rFonts w:ascii="Arial" w:hAnsi="Arial" w:cs="Arial"/>
          <w:sz w:val="20"/>
          <w:szCs w:val="20"/>
        </w:rPr>
        <w:t>90°,+/-30)</w:t>
      </w:r>
    </w:p>
    <w:p w:rsidR="00BA6C11" w:rsidRDefault="00BA6C11">
      <w:pPr>
        <w:rPr>
          <w:rFonts w:ascii="Arial" w:hAnsi="Arial" w:cs="Arial"/>
          <w:sz w:val="20"/>
          <w:szCs w:val="20"/>
        </w:rPr>
      </w:pPr>
    </w:p>
    <w:p w:rsidR="00BA6C11" w:rsidRDefault="00BA6C1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Dynamický rozsah 5 dekád, digitální zpracování signálu.</w:t>
      </w:r>
    </w:p>
    <w:p w:rsidR="00261DFE" w:rsidRDefault="00261DFE">
      <w:pPr>
        <w:rPr>
          <w:rFonts w:ascii="Arial" w:hAnsi="Arial" w:cs="Arial"/>
          <w:sz w:val="20"/>
          <w:szCs w:val="20"/>
        </w:rPr>
      </w:pPr>
    </w:p>
    <w:p w:rsidR="00261DFE" w:rsidRDefault="00261D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Rozs</w:t>
      </w:r>
      <w:r w:rsidR="0041015F">
        <w:rPr>
          <w:rFonts w:ascii="Arial" w:hAnsi="Arial" w:cs="Arial"/>
          <w:sz w:val="20"/>
          <w:szCs w:val="20"/>
        </w:rPr>
        <w:t>ah velikosti měřených buněk: 0,4</w:t>
      </w:r>
      <w:r>
        <w:rPr>
          <w:rFonts w:ascii="Arial" w:hAnsi="Arial" w:cs="Arial"/>
          <w:sz w:val="20"/>
          <w:szCs w:val="20"/>
        </w:rPr>
        <w:t xml:space="preserve"> – 60 </w:t>
      </w:r>
      <w:r w:rsidRPr="00261DFE">
        <w:rPr>
          <w:rFonts w:ascii="Symbol" w:hAnsi="Symbol" w:cs="Arial"/>
          <w:sz w:val="20"/>
          <w:szCs w:val="20"/>
        </w:rPr>
        <w:t></w:t>
      </w:r>
      <w:r>
        <w:rPr>
          <w:rFonts w:ascii="Arial" w:hAnsi="Arial" w:cs="Arial"/>
          <w:sz w:val="20"/>
          <w:szCs w:val="20"/>
        </w:rPr>
        <w:t>m</w:t>
      </w:r>
    </w:p>
    <w:p w:rsidR="00261DFE" w:rsidRDefault="00261DFE">
      <w:pPr>
        <w:rPr>
          <w:rFonts w:ascii="Arial" w:hAnsi="Arial" w:cs="Arial"/>
          <w:sz w:val="20"/>
          <w:szCs w:val="20"/>
        </w:rPr>
      </w:pPr>
    </w:p>
    <w:p w:rsidR="00261DFE" w:rsidRDefault="00261D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Fluidik</w:t>
      </w:r>
      <w:r w:rsidRPr="00261DFE">
        <w:rPr>
          <w:rFonts w:ascii="Arial" w:hAnsi="Arial" w:cs="Arial"/>
          <w:sz w:val="20"/>
          <w:szCs w:val="20"/>
        </w:rPr>
        <w:t xml:space="preserve">a systému pracuje na základě </w:t>
      </w:r>
      <w:proofErr w:type="spellStart"/>
      <w:r w:rsidRPr="00261DFE">
        <w:rPr>
          <w:rFonts w:ascii="Arial" w:hAnsi="Arial" w:cs="Arial"/>
          <w:sz w:val="20"/>
          <w:szCs w:val="20"/>
        </w:rPr>
        <w:t>mikrokapilárního</w:t>
      </w:r>
      <w:proofErr w:type="spellEnd"/>
      <w:r w:rsidRPr="00261DFE">
        <w:rPr>
          <w:rFonts w:ascii="Arial" w:hAnsi="Arial" w:cs="Arial"/>
          <w:sz w:val="20"/>
          <w:szCs w:val="20"/>
        </w:rPr>
        <w:t xml:space="preserve"> systému bez </w:t>
      </w:r>
      <w:proofErr w:type="spellStart"/>
      <w:r w:rsidR="00006561">
        <w:rPr>
          <w:rFonts w:ascii="Arial" w:hAnsi="Arial" w:cs="Arial"/>
          <w:sz w:val="20"/>
          <w:szCs w:val="20"/>
        </w:rPr>
        <w:t>hydrofokusační</w:t>
      </w:r>
      <w:proofErr w:type="spellEnd"/>
      <w:r w:rsidRPr="00261DFE">
        <w:rPr>
          <w:rFonts w:ascii="Arial" w:hAnsi="Arial" w:cs="Arial"/>
          <w:sz w:val="20"/>
          <w:szCs w:val="20"/>
        </w:rPr>
        <w:t xml:space="preserve"> kapaliny </w:t>
      </w:r>
      <w:r w:rsidR="00006561">
        <w:rPr>
          <w:rFonts w:ascii="Arial" w:hAnsi="Arial" w:cs="Arial"/>
          <w:sz w:val="20"/>
          <w:szCs w:val="20"/>
        </w:rPr>
        <w:t>(</w:t>
      </w:r>
      <w:proofErr w:type="spellStart"/>
      <w:r w:rsidR="00006561">
        <w:rPr>
          <w:rFonts w:ascii="Arial" w:hAnsi="Arial" w:cs="Arial"/>
          <w:sz w:val="20"/>
          <w:szCs w:val="20"/>
        </w:rPr>
        <w:t>sheath</w:t>
      </w:r>
      <w:proofErr w:type="spellEnd"/>
      <w:r w:rsidR="00006561">
        <w:rPr>
          <w:rFonts w:ascii="Arial" w:hAnsi="Arial" w:cs="Arial"/>
          <w:sz w:val="20"/>
          <w:szCs w:val="20"/>
        </w:rPr>
        <w:t xml:space="preserve"> fluid</w:t>
      </w:r>
      <w:r w:rsidR="0041015F">
        <w:rPr>
          <w:rFonts w:ascii="Arial" w:hAnsi="Arial" w:cs="Arial"/>
          <w:sz w:val="20"/>
          <w:szCs w:val="20"/>
        </w:rPr>
        <w:t>, hnací kapalina</w:t>
      </w:r>
      <w:r w:rsidR="00006561">
        <w:rPr>
          <w:rFonts w:ascii="Arial" w:hAnsi="Arial" w:cs="Arial"/>
          <w:sz w:val="20"/>
          <w:szCs w:val="20"/>
        </w:rPr>
        <w:t xml:space="preserve">) </w:t>
      </w:r>
      <w:r w:rsidRPr="00261DFE">
        <w:rPr>
          <w:rFonts w:ascii="Arial" w:hAnsi="Arial" w:cs="Arial"/>
          <w:sz w:val="20"/>
          <w:szCs w:val="20"/>
        </w:rPr>
        <w:t xml:space="preserve">s možností výměny průtokové </w:t>
      </w:r>
      <w:proofErr w:type="spellStart"/>
      <w:r>
        <w:rPr>
          <w:rFonts w:ascii="Arial" w:hAnsi="Arial" w:cs="Arial"/>
          <w:sz w:val="20"/>
          <w:szCs w:val="20"/>
        </w:rPr>
        <w:t>mikrokapiláry</w:t>
      </w:r>
      <w:proofErr w:type="spellEnd"/>
      <w:r w:rsidRPr="00261DFE">
        <w:rPr>
          <w:rFonts w:ascii="Arial" w:hAnsi="Arial" w:cs="Arial"/>
          <w:sz w:val="20"/>
          <w:szCs w:val="20"/>
        </w:rPr>
        <w:t xml:space="preserve"> samotným uživatelem</w:t>
      </w:r>
      <w:r w:rsidR="00006561">
        <w:rPr>
          <w:rFonts w:ascii="Arial" w:hAnsi="Arial" w:cs="Arial"/>
          <w:sz w:val="20"/>
          <w:szCs w:val="20"/>
        </w:rPr>
        <w:t xml:space="preserve"> bez nutnosti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="00006561">
        <w:rPr>
          <w:rFonts w:ascii="Arial" w:hAnsi="Arial" w:cs="Arial"/>
          <w:sz w:val="20"/>
          <w:szCs w:val="20"/>
        </w:rPr>
        <w:t>re</w:t>
      </w:r>
      <w:r>
        <w:rPr>
          <w:rFonts w:ascii="Arial" w:hAnsi="Arial" w:cs="Arial"/>
          <w:sz w:val="20"/>
          <w:szCs w:val="20"/>
        </w:rPr>
        <w:t>fokusace</w:t>
      </w:r>
      <w:proofErr w:type="spellEnd"/>
      <w:r>
        <w:rPr>
          <w:rFonts w:ascii="Arial" w:hAnsi="Arial" w:cs="Arial"/>
          <w:sz w:val="20"/>
          <w:szCs w:val="20"/>
        </w:rPr>
        <w:t xml:space="preserve"> laserů</w:t>
      </w:r>
      <w:r w:rsidR="00573F62">
        <w:rPr>
          <w:rFonts w:ascii="Arial" w:hAnsi="Arial" w:cs="Arial"/>
          <w:sz w:val="20"/>
          <w:szCs w:val="20"/>
        </w:rPr>
        <w:t xml:space="preserve"> a dalších servisních zásahů</w:t>
      </w:r>
      <w:r>
        <w:rPr>
          <w:rFonts w:ascii="Arial" w:hAnsi="Arial" w:cs="Arial"/>
          <w:sz w:val="20"/>
          <w:szCs w:val="20"/>
        </w:rPr>
        <w:t>. Množství</w:t>
      </w:r>
      <w:r w:rsidRPr="00261DF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generovaného </w:t>
      </w:r>
      <w:r w:rsidRPr="00261DFE">
        <w:rPr>
          <w:rFonts w:ascii="Arial" w:hAnsi="Arial" w:cs="Arial"/>
          <w:sz w:val="20"/>
          <w:szCs w:val="20"/>
        </w:rPr>
        <w:t xml:space="preserve">odpadu je </w:t>
      </w:r>
      <w:r>
        <w:rPr>
          <w:rFonts w:ascii="Arial" w:hAnsi="Arial" w:cs="Arial"/>
          <w:sz w:val="20"/>
          <w:szCs w:val="20"/>
        </w:rPr>
        <w:t xml:space="preserve">typicky </w:t>
      </w:r>
      <w:r w:rsidR="0041015F">
        <w:rPr>
          <w:rFonts w:ascii="Arial" w:hAnsi="Arial" w:cs="Arial"/>
          <w:sz w:val="20"/>
          <w:szCs w:val="20"/>
        </w:rPr>
        <w:t>pod 5</w:t>
      </w:r>
      <w:r w:rsidRPr="00261DFE">
        <w:rPr>
          <w:rFonts w:ascii="Arial" w:hAnsi="Arial" w:cs="Arial"/>
          <w:sz w:val="20"/>
          <w:szCs w:val="20"/>
        </w:rPr>
        <w:t xml:space="preserve">0ml za 8 hodin </w:t>
      </w:r>
      <w:r>
        <w:rPr>
          <w:rFonts w:ascii="Arial" w:hAnsi="Arial" w:cs="Arial"/>
          <w:sz w:val="20"/>
          <w:szCs w:val="20"/>
        </w:rPr>
        <w:t>běžného provozu</w:t>
      </w:r>
      <w:r w:rsidRPr="00261DFE">
        <w:rPr>
          <w:rFonts w:ascii="Arial" w:hAnsi="Arial" w:cs="Arial"/>
          <w:sz w:val="20"/>
          <w:szCs w:val="20"/>
        </w:rPr>
        <w:t xml:space="preserve">. </w:t>
      </w:r>
      <w:r w:rsidR="00006561">
        <w:rPr>
          <w:rFonts w:ascii="Arial" w:hAnsi="Arial" w:cs="Arial"/>
          <w:sz w:val="20"/>
          <w:szCs w:val="20"/>
        </w:rPr>
        <w:t>Rychlost akvizice 10 – 1000 částic za sekundu. Průtok 7 –</w:t>
      </w:r>
      <w:r w:rsidR="0041015F">
        <w:rPr>
          <w:rFonts w:ascii="Arial" w:hAnsi="Arial" w:cs="Arial"/>
          <w:sz w:val="20"/>
          <w:szCs w:val="20"/>
        </w:rPr>
        <w:t xml:space="preserve"> 70</w:t>
      </w:r>
      <w:r w:rsidR="00006561">
        <w:rPr>
          <w:rFonts w:ascii="Arial" w:hAnsi="Arial" w:cs="Arial"/>
          <w:sz w:val="20"/>
          <w:szCs w:val="20"/>
        </w:rPr>
        <w:t xml:space="preserve"> </w:t>
      </w:r>
      <w:r w:rsidR="00006561" w:rsidRPr="00006561">
        <w:rPr>
          <w:rFonts w:ascii="Symbol" w:hAnsi="Symbol" w:cs="Arial"/>
          <w:sz w:val="20"/>
          <w:szCs w:val="20"/>
        </w:rPr>
        <w:t></w:t>
      </w:r>
      <w:r w:rsidR="00006561">
        <w:rPr>
          <w:rFonts w:ascii="Arial" w:hAnsi="Arial" w:cs="Arial"/>
          <w:sz w:val="20"/>
          <w:szCs w:val="20"/>
        </w:rPr>
        <w:t>l za minutu.</w:t>
      </w:r>
    </w:p>
    <w:p w:rsidR="00261DFE" w:rsidRDefault="00261DFE">
      <w:pPr>
        <w:rPr>
          <w:rFonts w:ascii="Arial" w:hAnsi="Arial" w:cs="Arial"/>
          <w:sz w:val="20"/>
          <w:szCs w:val="20"/>
        </w:rPr>
      </w:pPr>
    </w:p>
    <w:p w:rsidR="00261DFE" w:rsidRDefault="00261DFE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3BF7">
        <w:rPr>
          <w:rFonts w:ascii="Arial" w:hAnsi="Arial" w:cs="Arial"/>
          <w:sz w:val="20"/>
          <w:szCs w:val="20"/>
        </w:rPr>
        <w:t xml:space="preserve">Systém </w:t>
      </w:r>
      <w:r>
        <w:rPr>
          <w:rFonts w:ascii="Arial" w:hAnsi="Arial" w:cs="Arial"/>
          <w:sz w:val="20"/>
          <w:szCs w:val="20"/>
        </w:rPr>
        <w:t>umožňuje absolutní</w:t>
      </w:r>
      <w:r w:rsidRPr="00D93BF7">
        <w:rPr>
          <w:rFonts w:ascii="Arial" w:hAnsi="Arial" w:cs="Arial"/>
          <w:sz w:val="20"/>
          <w:szCs w:val="20"/>
        </w:rPr>
        <w:t xml:space="preserve"> měření koncentrace</w:t>
      </w:r>
      <w:r>
        <w:rPr>
          <w:rFonts w:ascii="Arial" w:hAnsi="Arial" w:cs="Arial"/>
          <w:sz w:val="20"/>
          <w:szCs w:val="20"/>
        </w:rPr>
        <w:t xml:space="preserve"> částic</w:t>
      </w:r>
      <w:r w:rsidRPr="00D93BF7">
        <w:rPr>
          <w:rFonts w:ascii="Arial" w:hAnsi="Arial" w:cs="Arial"/>
          <w:sz w:val="20"/>
          <w:szCs w:val="20"/>
        </w:rPr>
        <w:t xml:space="preserve"> bez nutnosti kalibrace</w:t>
      </w:r>
      <w:r>
        <w:rPr>
          <w:rFonts w:ascii="Arial" w:hAnsi="Arial" w:cs="Arial"/>
          <w:sz w:val="20"/>
          <w:szCs w:val="20"/>
        </w:rPr>
        <w:t xml:space="preserve"> pomocí suspenze </w:t>
      </w:r>
      <w:r w:rsidR="00BA6C11">
        <w:rPr>
          <w:rFonts w:ascii="Arial" w:hAnsi="Arial" w:cs="Arial"/>
          <w:sz w:val="20"/>
          <w:szCs w:val="20"/>
        </w:rPr>
        <w:t xml:space="preserve">referenčních </w:t>
      </w:r>
      <w:r>
        <w:rPr>
          <w:rFonts w:ascii="Arial" w:hAnsi="Arial" w:cs="Arial"/>
          <w:sz w:val="20"/>
          <w:szCs w:val="20"/>
        </w:rPr>
        <w:t>mikročástic.</w:t>
      </w:r>
    </w:p>
    <w:p w:rsidR="00C271F7" w:rsidRDefault="00C271F7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271F7" w:rsidRDefault="00C271F7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Systém umožňuje provedení manuální i částečně automatické komp</w:t>
      </w:r>
      <w:r w:rsidR="005D65D1">
        <w:rPr>
          <w:rFonts w:ascii="Arial" w:hAnsi="Arial" w:cs="Arial"/>
          <w:sz w:val="20"/>
          <w:szCs w:val="20"/>
        </w:rPr>
        <w:t>enzace před i po změření vzorku a umožňuje měnit napětí na fotonásobičích na všech fluorescenčních detekčních kanálech.</w:t>
      </w:r>
    </w:p>
    <w:p w:rsidR="00261DFE" w:rsidRDefault="00261DFE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61DFE" w:rsidRDefault="00261DFE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Vlastní s</w:t>
      </w:r>
      <w:r w:rsidRPr="00D93BF7">
        <w:rPr>
          <w:rFonts w:ascii="Arial" w:hAnsi="Arial" w:cs="Arial"/>
          <w:sz w:val="20"/>
          <w:szCs w:val="20"/>
        </w:rPr>
        <w:t xml:space="preserve">ystém </w:t>
      </w:r>
      <w:r>
        <w:rPr>
          <w:rFonts w:ascii="Arial" w:hAnsi="Arial" w:cs="Arial"/>
          <w:sz w:val="20"/>
          <w:szCs w:val="20"/>
        </w:rPr>
        <w:t xml:space="preserve">(bez řídícího laptopu) </w:t>
      </w:r>
      <w:r w:rsidRPr="00D93BF7">
        <w:rPr>
          <w:rFonts w:ascii="Arial" w:hAnsi="Arial" w:cs="Arial"/>
          <w:sz w:val="20"/>
          <w:szCs w:val="20"/>
        </w:rPr>
        <w:t>se</w:t>
      </w:r>
      <w:r w:rsidR="00006561">
        <w:rPr>
          <w:rFonts w:ascii="Arial" w:hAnsi="Arial" w:cs="Arial"/>
          <w:sz w:val="20"/>
          <w:szCs w:val="20"/>
        </w:rPr>
        <w:t xml:space="preserve"> vyznačuje malým půdorysem</w:t>
      </w:r>
      <w:r w:rsidR="005D65D1">
        <w:rPr>
          <w:rFonts w:ascii="Arial" w:hAnsi="Arial" w:cs="Arial"/>
          <w:sz w:val="20"/>
          <w:szCs w:val="20"/>
        </w:rPr>
        <w:t xml:space="preserve"> a nízkou</w:t>
      </w:r>
      <w:r>
        <w:rPr>
          <w:rFonts w:ascii="Arial" w:hAnsi="Arial" w:cs="Arial"/>
          <w:sz w:val="20"/>
          <w:szCs w:val="20"/>
        </w:rPr>
        <w:t xml:space="preserve"> hmotností systému </w:t>
      </w:r>
      <w:r w:rsidR="005D65D1">
        <w:rPr>
          <w:rFonts w:ascii="Arial" w:hAnsi="Arial" w:cs="Arial"/>
          <w:sz w:val="20"/>
          <w:szCs w:val="20"/>
        </w:rPr>
        <w:t>cca</w:t>
      </w:r>
      <w:r w:rsidR="00A24D93">
        <w:rPr>
          <w:rFonts w:ascii="Arial" w:hAnsi="Arial" w:cs="Arial"/>
          <w:sz w:val="20"/>
          <w:szCs w:val="20"/>
        </w:rPr>
        <w:t xml:space="preserve"> </w:t>
      </w:r>
      <w:r w:rsidR="00006561">
        <w:rPr>
          <w:rFonts w:ascii="Arial" w:hAnsi="Arial" w:cs="Arial"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kg. </w:t>
      </w:r>
    </w:p>
    <w:p w:rsidR="00BF2FE9" w:rsidRPr="00D93BF7" w:rsidRDefault="00BF2FE9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61DFE" w:rsidRDefault="00261DFE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93BF7">
        <w:rPr>
          <w:rFonts w:ascii="Arial" w:hAnsi="Arial" w:cs="Arial"/>
          <w:sz w:val="20"/>
          <w:szCs w:val="20"/>
        </w:rPr>
        <w:t xml:space="preserve">Systém </w:t>
      </w:r>
      <w:r w:rsidR="0041015F">
        <w:rPr>
          <w:rFonts w:ascii="Arial" w:hAnsi="Arial" w:cs="Arial"/>
          <w:sz w:val="20"/>
          <w:szCs w:val="20"/>
        </w:rPr>
        <w:t xml:space="preserve">má možnost měření vzorků po jednom a </w:t>
      </w:r>
      <w:r>
        <w:rPr>
          <w:rFonts w:ascii="Arial" w:hAnsi="Arial" w:cs="Arial"/>
          <w:sz w:val="20"/>
          <w:szCs w:val="20"/>
        </w:rPr>
        <w:t xml:space="preserve">umožňuje analyzovat vzorky </w:t>
      </w:r>
      <w:r w:rsidR="00BA6C11">
        <w:rPr>
          <w:rFonts w:ascii="Arial" w:hAnsi="Arial" w:cs="Arial"/>
          <w:sz w:val="20"/>
          <w:szCs w:val="20"/>
        </w:rPr>
        <w:t xml:space="preserve">z jednotlivých </w:t>
      </w:r>
      <w:proofErr w:type="spellStart"/>
      <w:r w:rsidR="00006561">
        <w:rPr>
          <w:rFonts w:ascii="Arial" w:hAnsi="Arial" w:cs="Arial"/>
          <w:sz w:val="20"/>
          <w:szCs w:val="20"/>
        </w:rPr>
        <w:t>mikrocentrifugačních</w:t>
      </w:r>
      <w:proofErr w:type="spellEnd"/>
      <w:r w:rsidR="00006561">
        <w:rPr>
          <w:rFonts w:ascii="Arial" w:hAnsi="Arial" w:cs="Arial"/>
          <w:sz w:val="20"/>
          <w:szCs w:val="20"/>
        </w:rPr>
        <w:t xml:space="preserve"> zkumavek o objemech 1,2 nebo 1,5 ml.</w:t>
      </w:r>
    </w:p>
    <w:p w:rsidR="0041015F" w:rsidRDefault="0041015F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41015F" w:rsidRDefault="0041015F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Přístroj je schopen stanovit tyto parametry: koncentrace spermií, počet živých a mrtvých spermií, ROS – oxidativní stupeň, mitochondriální aktivitu, membránovou fluiditu a integritu akrozomu. Ke stanovení se použijí nabízené barvící sety </w:t>
      </w:r>
      <w:r w:rsidR="002C7E70">
        <w:rPr>
          <w:rFonts w:ascii="Arial" w:hAnsi="Arial" w:cs="Arial"/>
          <w:sz w:val="20"/>
          <w:szCs w:val="20"/>
        </w:rPr>
        <w:t>–</w:t>
      </w:r>
      <w:r>
        <w:rPr>
          <w:rFonts w:ascii="Arial" w:hAnsi="Arial" w:cs="Arial"/>
          <w:sz w:val="20"/>
          <w:szCs w:val="20"/>
        </w:rPr>
        <w:t xml:space="preserve"> </w:t>
      </w:r>
      <w:r w:rsidR="002C7E70">
        <w:rPr>
          <w:rFonts w:ascii="Arial" w:hAnsi="Arial" w:cs="Arial"/>
          <w:sz w:val="20"/>
          <w:szCs w:val="20"/>
        </w:rPr>
        <w:t>fluorescenčn</w:t>
      </w:r>
      <w:r w:rsidR="005D65D1">
        <w:rPr>
          <w:rFonts w:ascii="Arial" w:hAnsi="Arial" w:cs="Arial"/>
          <w:sz w:val="20"/>
          <w:szCs w:val="20"/>
        </w:rPr>
        <w:t xml:space="preserve">í barviva nebo jejich kombinace rozpuštěná v DMSO – které </w:t>
      </w:r>
      <w:r w:rsidR="00314345">
        <w:rPr>
          <w:rFonts w:ascii="Arial" w:hAnsi="Arial" w:cs="Arial"/>
          <w:sz w:val="20"/>
          <w:szCs w:val="20"/>
        </w:rPr>
        <w:t>jsou součástí nabídky – viz následující seznam a použití pro jednotlivá stanovení:</w:t>
      </w:r>
    </w:p>
    <w:p w:rsidR="005D65D1" w:rsidRDefault="005D65D1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5D65D1" w:rsidRDefault="005D65D1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Koncentrace spermií, počet živých a mrtvých spermií – SYBR14/PI</w:t>
      </w:r>
    </w:p>
    <w:p w:rsidR="005D65D1" w:rsidRDefault="005D65D1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 – oxidativní stupeň – BODIPY 581/591 C11</w:t>
      </w:r>
    </w:p>
    <w:p w:rsidR="005D65D1" w:rsidRDefault="005D65D1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Mitochondriální aktivita – JC-1</w:t>
      </w:r>
    </w:p>
    <w:p w:rsidR="005D65D1" w:rsidRDefault="005D65D1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Membránová fluidita – YO-PRO-IODIDE 1</w:t>
      </w:r>
    </w:p>
    <w:p w:rsidR="005D65D1" w:rsidRDefault="005D65D1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Integrita akrozomu – </w:t>
      </w:r>
      <w:proofErr w:type="spellStart"/>
      <w:r>
        <w:rPr>
          <w:rFonts w:ascii="Arial" w:hAnsi="Arial" w:cs="Arial"/>
          <w:sz w:val="20"/>
          <w:szCs w:val="20"/>
        </w:rPr>
        <w:t>Lectin</w:t>
      </w:r>
      <w:proofErr w:type="spellEnd"/>
      <w:r>
        <w:rPr>
          <w:rFonts w:ascii="Arial" w:hAnsi="Arial" w:cs="Arial"/>
          <w:sz w:val="20"/>
          <w:szCs w:val="20"/>
        </w:rPr>
        <w:t xml:space="preserve"> PNA-</w:t>
      </w:r>
      <w:proofErr w:type="spellStart"/>
      <w:r>
        <w:rPr>
          <w:rFonts w:ascii="Arial" w:hAnsi="Arial" w:cs="Arial"/>
          <w:sz w:val="20"/>
          <w:szCs w:val="20"/>
        </w:rPr>
        <w:t>alexa</w:t>
      </w:r>
      <w:proofErr w:type="spellEnd"/>
      <w:r>
        <w:rPr>
          <w:rFonts w:ascii="Arial" w:hAnsi="Arial" w:cs="Arial"/>
          <w:sz w:val="20"/>
          <w:szCs w:val="20"/>
        </w:rPr>
        <w:t xml:space="preserve"> fluor 488 konjugát</w:t>
      </w:r>
    </w:p>
    <w:p w:rsidR="005D65D1" w:rsidRDefault="005D65D1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DMSO – rozpouštědlo pro jednotlivá fluorescenční barviva</w:t>
      </w:r>
    </w:p>
    <w:p w:rsidR="00314345" w:rsidRDefault="00314345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ICF fluid – pufr pro čištění fluidiky systému</w:t>
      </w:r>
    </w:p>
    <w:p w:rsidR="00261DFE" w:rsidRDefault="00261DFE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261DFE" w:rsidRDefault="00656856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dodávky je laptop s nainstalovaným ovládacím</w:t>
      </w:r>
      <w:r w:rsidR="0041015F">
        <w:rPr>
          <w:rFonts w:ascii="Arial" w:hAnsi="Arial" w:cs="Arial"/>
          <w:sz w:val="20"/>
          <w:szCs w:val="20"/>
        </w:rPr>
        <w:t>, akvizičním</w:t>
      </w:r>
      <w:r>
        <w:rPr>
          <w:rFonts w:ascii="Arial" w:hAnsi="Arial" w:cs="Arial"/>
          <w:sz w:val="20"/>
          <w:szCs w:val="20"/>
        </w:rPr>
        <w:t xml:space="preserve"> a vyhodnocovacím</w:t>
      </w:r>
      <w:r w:rsidR="0041015F">
        <w:rPr>
          <w:rFonts w:ascii="Arial" w:hAnsi="Arial" w:cs="Arial"/>
          <w:sz w:val="20"/>
          <w:szCs w:val="20"/>
        </w:rPr>
        <w:t xml:space="preserve"> (analyzačním)</w:t>
      </w:r>
      <w:r>
        <w:rPr>
          <w:rFonts w:ascii="Arial" w:hAnsi="Arial" w:cs="Arial"/>
          <w:sz w:val="20"/>
          <w:szCs w:val="20"/>
        </w:rPr>
        <w:t xml:space="preserve"> SW a také s programem Microsoft Excel. </w:t>
      </w:r>
      <w:r w:rsidR="00C271F7">
        <w:rPr>
          <w:rFonts w:ascii="Arial" w:hAnsi="Arial" w:cs="Arial"/>
          <w:sz w:val="20"/>
          <w:szCs w:val="20"/>
        </w:rPr>
        <w:t>Vyhodnocovací SW lze v rámci licence nezávisle nainstalovat na další tři počítače.</w:t>
      </w:r>
      <w:r w:rsidR="00C775D8">
        <w:rPr>
          <w:rFonts w:ascii="Arial" w:hAnsi="Arial" w:cs="Arial"/>
          <w:sz w:val="20"/>
          <w:szCs w:val="20"/>
        </w:rPr>
        <w:t xml:space="preserve"> </w:t>
      </w:r>
      <w:r w:rsidR="00C271F7">
        <w:rPr>
          <w:rFonts w:ascii="Arial" w:hAnsi="Arial" w:cs="Arial"/>
          <w:sz w:val="20"/>
          <w:szCs w:val="20"/>
        </w:rPr>
        <w:t>Možnost</w:t>
      </w:r>
      <w:r w:rsidR="00C775D8">
        <w:rPr>
          <w:rFonts w:ascii="Arial" w:hAnsi="Arial" w:cs="Arial"/>
          <w:sz w:val="20"/>
          <w:szCs w:val="20"/>
        </w:rPr>
        <w:t xml:space="preserve"> exportu dat ve formátech FCS a CSV pro použití s dalšími </w:t>
      </w:r>
      <w:r w:rsidR="000F73FD">
        <w:rPr>
          <w:rFonts w:ascii="Arial" w:hAnsi="Arial" w:cs="Arial"/>
          <w:sz w:val="20"/>
          <w:szCs w:val="20"/>
        </w:rPr>
        <w:t xml:space="preserve">vyhodnocovacími </w:t>
      </w:r>
      <w:r w:rsidR="00C775D8">
        <w:rPr>
          <w:rFonts w:ascii="Arial" w:hAnsi="Arial" w:cs="Arial"/>
          <w:sz w:val="20"/>
          <w:szCs w:val="20"/>
        </w:rPr>
        <w:t>programy</w:t>
      </w:r>
      <w:r w:rsidR="00483E3C">
        <w:rPr>
          <w:rFonts w:ascii="Arial" w:hAnsi="Arial" w:cs="Arial"/>
          <w:sz w:val="20"/>
          <w:szCs w:val="20"/>
        </w:rPr>
        <w:t xml:space="preserve"> (</w:t>
      </w:r>
      <w:r w:rsidR="00483E3C" w:rsidRPr="00483E3C">
        <w:rPr>
          <w:rFonts w:ascii="Arial" w:hAnsi="Arial" w:cs="Arial"/>
          <w:sz w:val="20"/>
          <w:szCs w:val="20"/>
        </w:rPr>
        <w:t>Excel,</w:t>
      </w:r>
      <w:r w:rsidR="00861E7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861E76">
        <w:rPr>
          <w:rFonts w:ascii="Arial" w:hAnsi="Arial" w:cs="Arial"/>
          <w:sz w:val="20"/>
          <w:szCs w:val="20"/>
        </w:rPr>
        <w:t>CellQuest</w:t>
      </w:r>
      <w:proofErr w:type="spellEnd"/>
      <w:r w:rsidR="00861E7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61E76">
        <w:rPr>
          <w:rFonts w:ascii="Arial" w:hAnsi="Arial" w:cs="Arial"/>
          <w:sz w:val="20"/>
          <w:szCs w:val="20"/>
        </w:rPr>
        <w:t>ModFit</w:t>
      </w:r>
      <w:proofErr w:type="spellEnd"/>
      <w:r w:rsidR="00861E76">
        <w:rPr>
          <w:rFonts w:ascii="Arial" w:hAnsi="Arial" w:cs="Arial"/>
          <w:sz w:val="20"/>
          <w:szCs w:val="20"/>
        </w:rPr>
        <w:t xml:space="preserve">, </w:t>
      </w:r>
      <w:proofErr w:type="spellStart"/>
      <w:r w:rsidR="00861E76">
        <w:rPr>
          <w:rFonts w:ascii="Arial" w:hAnsi="Arial" w:cs="Arial"/>
          <w:sz w:val="20"/>
          <w:szCs w:val="20"/>
        </w:rPr>
        <w:t>MultiCycle</w:t>
      </w:r>
      <w:proofErr w:type="spellEnd"/>
      <w:r w:rsidR="00861E76">
        <w:rPr>
          <w:rFonts w:ascii="Arial" w:hAnsi="Arial" w:cs="Arial"/>
          <w:sz w:val="20"/>
          <w:szCs w:val="20"/>
        </w:rPr>
        <w:t>,</w:t>
      </w:r>
      <w:r w:rsidR="00483E3C" w:rsidRPr="00483E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3E3C" w:rsidRPr="00483E3C">
        <w:rPr>
          <w:rFonts w:ascii="Arial" w:hAnsi="Arial" w:cs="Arial"/>
          <w:sz w:val="20"/>
          <w:szCs w:val="20"/>
        </w:rPr>
        <w:t>WinMDI</w:t>
      </w:r>
      <w:proofErr w:type="spellEnd"/>
      <w:r w:rsidR="00483E3C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83E3C">
        <w:rPr>
          <w:rFonts w:ascii="Arial" w:hAnsi="Arial" w:cs="Arial"/>
          <w:sz w:val="20"/>
          <w:szCs w:val="20"/>
        </w:rPr>
        <w:t>apod</w:t>
      </w:r>
      <w:proofErr w:type="spellEnd"/>
      <w:r w:rsidR="00483E3C">
        <w:rPr>
          <w:rFonts w:ascii="Arial" w:hAnsi="Arial" w:cs="Arial"/>
          <w:sz w:val="20"/>
          <w:szCs w:val="20"/>
        </w:rPr>
        <w:t>)</w:t>
      </w:r>
      <w:r w:rsidR="000F73FD">
        <w:rPr>
          <w:rFonts w:ascii="Arial" w:hAnsi="Arial" w:cs="Arial"/>
          <w:sz w:val="20"/>
          <w:szCs w:val="20"/>
        </w:rPr>
        <w:t>. Export obrazových dat ve vektorovém tvaru pro další použití bez ztráty kvality např. při zvětšování obrázků</w:t>
      </w:r>
      <w:r w:rsidR="00573F62">
        <w:rPr>
          <w:rFonts w:ascii="Arial" w:hAnsi="Arial" w:cs="Arial"/>
          <w:sz w:val="20"/>
          <w:szCs w:val="20"/>
        </w:rPr>
        <w:t xml:space="preserve"> do prez</w:t>
      </w:r>
      <w:r w:rsidR="0041015F">
        <w:rPr>
          <w:rFonts w:ascii="Arial" w:hAnsi="Arial" w:cs="Arial"/>
          <w:sz w:val="20"/>
          <w:szCs w:val="20"/>
        </w:rPr>
        <w:t>entací, posterů, publikací apod</w:t>
      </w:r>
      <w:r w:rsidR="00861E76">
        <w:rPr>
          <w:rFonts w:ascii="Arial" w:hAnsi="Arial" w:cs="Arial"/>
          <w:sz w:val="20"/>
          <w:szCs w:val="20"/>
        </w:rPr>
        <w:t>.</w:t>
      </w:r>
      <w:r w:rsidR="002C7E70">
        <w:rPr>
          <w:rFonts w:ascii="Arial" w:hAnsi="Arial" w:cs="Arial"/>
          <w:sz w:val="20"/>
          <w:szCs w:val="20"/>
        </w:rPr>
        <w:t xml:space="preserve"> Možnost exportu výsledků do formátu </w:t>
      </w:r>
      <w:proofErr w:type="spellStart"/>
      <w:r w:rsidR="002C7E70">
        <w:rPr>
          <w:rFonts w:ascii="Arial" w:hAnsi="Arial" w:cs="Arial"/>
          <w:sz w:val="20"/>
          <w:szCs w:val="20"/>
        </w:rPr>
        <w:t>pdf</w:t>
      </w:r>
      <w:proofErr w:type="spellEnd"/>
      <w:r w:rsidR="002C7E70">
        <w:rPr>
          <w:rFonts w:ascii="Arial" w:hAnsi="Arial" w:cs="Arial"/>
          <w:sz w:val="20"/>
          <w:szCs w:val="20"/>
        </w:rPr>
        <w:t xml:space="preserve"> nebo </w:t>
      </w:r>
      <w:proofErr w:type="spellStart"/>
      <w:r w:rsidR="002C7E70">
        <w:rPr>
          <w:rFonts w:ascii="Arial" w:hAnsi="Arial" w:cs="Arial"/>
          <w:sz w:val="20"/>
          <w:szCs w:val="20"/>
        </w:rPr>
        <w:t>excel</w:t>
      </w:r>
      <w:proofErr w:type="spellEnd"/>
      <w:r w:rsidR="002C7E70">
        <w:rPr>
          <w:rFonts w:ascii="Arial" w:hAnsi="Arial" w:cs="Arial"/>
          <w:sz w:val="20"/>
          <w:szCs w:val="20"/>
        </w:rPr>
        <w:t>.</w:t>
      </w:r>
    </w:p>
    <w:p w:rsidR="00656856" w:rsidRDefault="00656856" w:rsidP="00261DFE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0A259C" w:rsidRDefault="000A259C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:rsidR="00E228CD" w:rsidRPr="00E228CD" w:rsidRDefault="00E228CD">
      <w:pPr>
        <w:spacing w:after="160" w:line="259" w:lineRule="auto"/>
        <w:rPr>
          <w:rFonts w:ascii="Arial" w:hAnsi="Arial" w:cs="Arial"/>
          <w:b/>
          <w:sz w:val="20"/>
          <w:szCs w:val="20"/>
          <w:u w:val="single"/>
        </w:rPr>
      </w:pPr>
      <w:r w:rsidRPr="00E228CD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Guava </w:t>
      </w:r>
      <w:proofErr w:type="spellStart"/>
      <w:r w:rsidRPr="00E228CD">
        <w:rPr>
          <w:rFonts w:ascii="Arial" w:hAnsi="Arial" w:cs="Arial"/>
          <w:b/>
          <w:sz w:val="20"/>
          <w:szCs w:val="20"/>
          <w:u w:val="single"/>
        </w:rPr>
        <w:t>easyCyte</w:t>
      </w:r>
      <w:proofErr w:type="spellEnd"/>
      <w:r>
        <w:rPr>
          <w:rFonts w:ascii="Arial" w:hAnsi="Arial" w:cs="Arial"/>
          <w:b/>
          <w:sz w:val="20"/>
          <w:szCs w:val="20"/>
          <w:u w:val="single"/>
        </w:rPr>
        <w:t>™</w:t>
      </w:r>
      <w:r w:rsidR="005D65D1">
        <w:rPr>
          <w:rFonts w:ascii="Arial" w:hAnsi="Arial" w:cs="Arial"/>
          <w:b/>
          <w:sz w:val="20"/>
          <w:szCs w:val="20"/>
          <w:u w:val="single"/>
        </w:rPr>
        <w:t xml:space="preserve"> 5 </w:t>
      </w:r>
      <w:r w:rsidR="008324CC">
        <w:rPr>
          <w:rFonts w:ascii="Arial" w:hAnsi="Arial" w:cs="Arial"/>
          <w:b/>
          <w:sz w:val="20"/>
          <w:szCs w:val="20"/>
          <w:u w:val="single"/>
        </w:rPr>
        <w:t>–</w:t>
      </w:r>
      <w:r w:rsidR="005D65D1">
        <w:rPr>
          <w:rFonts w:ascii="Arial" w:hAnsi="Arial" w:cs="Arial"/>
          <w:b/>
          <w:sz w:val="20"/>
          <w:szCs w:val="20"/>
          <w:u w:val="single"/>
        </w:rPr>
        <w:t xml:space="preserve"> obrázek</w:t>
      </w:r>
      <w:r w:rsidR="008324CC">
        <w:rPr>
          <w:rFonts w:ascii="Arial" w:hAnsi="Arial" w:cs="Arial"/>
          <w:b/>
          <w:sz w:val="20"/>
          <w:szCs w:val="20"/>
          <w:u w:val="single"/>
        </w:rPr>
        <w:t xml:space="preserve"> a součásti dodávky:</w:t>
      </w:r>
    </w:p>
    <w:p w:rsidR="00261DFE" w:rsidRDefault="00261DFE" w:rsidP="0000656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A6C11" w:rsidRDefault="005D65D1" w:rsidP="00BA6C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noProof/>
        </w:rPr>
        <w:drawing>
          <wp:inline distT="0" distB="0" distL="0" distR="0">
            <wp:extent cx="4227443" cy="3038475"/>
            <wp:effectExtent l="0" t="0" r="1905" b="0"/>
            <wp:docPr id="4" name="Obrázek 4" descr="http://millitwister/avimageresource.nsf/7d04883072eb18fa8525690c0049fe9b/adbfe5c90a05485c85257838005a41cd/$FILE/M9654_100723_6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llitwister/avimageresource.nsf/7d04883072eb18fa8525690c0049fe9b/adbfe5c90a05485c85257838005a41cd/$FILE/M9654_100723_60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8598" cy="3039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345" w:rsidRDefault="008324CC" w:rsidP="00BA6C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3529330</wp:posOffset>
                </wp:positionH>
                <wp:positionV relativeFrom="paragraph">
                  <wp:posOffset>971550</wp:posOffset>
                </wp:positionV>
                <wp:extent cx="1933575" cy="390525"/>
                <wp:effectExtent l="0" t="0" r="9525" b="9525"/>
                <wp:wrapNone/>
                <wp:docPr id="7" name="Obdélní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3905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B061179" id="Obdélník 7" o:spid="_x0000_s1026" style="position:absolute;margin-left:277.9pt;margin-top:76.5pt;width:152.2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" fillcolor="white [3212]" stroked="f" strokeweight="1pt"/>
            </w:pict>
          </mc:Fallback>
        </mc:AlternateContent>
      </w:r>
      <w:r w:rsidR="00314345" w:rsidRPr="00314345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720" cy="3892125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9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6C11" w:rsidRDefault="00BA6C11" w:rsidP="0000656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271F7" w:rsidRDefault="00C271F7" w:rsidP="00BA6C11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:rsidR="00C271F7" w:rsidRDefault="00C271F7" w:rsidP="0000656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C271F7" w:rsidRPr="00E228CD" w:rsidRDefault="00C271F7" w:rsidP="00006561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E228CD">
        <w:rPr>
          <w:rFonts w:ascii="Arial" w:hAnsi="Arial" w:cs="Arial"/>
          <w:b/>
          <w:sz w:val="20"/>
          <w:szCs w:val="20"/>
          <w:u w:val="single"/>
        </w:rPr>
        <w:t>Patenty:</w:t>
      </w:r>
    </w:p>
    <w:p w:rsidR="00C271F7" w:rsidRPr="00C271F7" w:rsidRDefault="00C271F7" w:rsidP="00C271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271F7">
        <w:rPr>
          <w:rFonts w:ascii="Arial" w:hAnsi="Arial" w:cs="Arial"/>
          <w:sz w:val="20"/>
          <w:szCs w:val="20"/>
        </w:rPr>
        <w:t xml:space="preserve">5,798,222 – </w:t>
      </w:r>
      <w:proofErr w:type="spellStart"/>
      <w:r w:rsidRPr="00C271F7">
        <w:rPr>
          <w:rFonts w:ascii="Arial" w:hAnsi="Arial" w:cs="Arial"/>
          <w:sz w:val="20"/>
          <w:szCs w:val="20"/>
        </w:rPr>
        <w:t>Apparatus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for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monitoring </w:t>
      </w:r>
      <w:proofErr w:type="spellStart"/>
      <w:r w:rsidRPr="00C271F7">
        <w:rPr>
          <w:rFonts w:ascii="Arial" w:hAnsi="Arial" w:cs="Arial"/>
          <w:sz w:val="20"/>
          <w:szCs w:val="20"/>
        </w:rPr>
        <w:t>substances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in </w:t>
      </w:r>
      <w:proofErr w:type="spellStart"/>
      <w:r w:rsidRPr="00C271F7">
        <w:rPr>
          <w:rFonts w:ascii="Arial" w:hAnsi="Arial" w:cs="Arial"/>
          <w:sz w:val="20"/>
          <w:szCs w:val="20"/>
        </w:rPr>
        <w:t>organisms</w:t>
      </w:r>
      <w:proofErr w:type="spellEnd"/>
    </w:p>
    <w:p w:rsidR="00C271F7" w:rsidRPr="00C271F7" w:rsidRDefault="00C271F7" w:rsidP="00C271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271F7">
        <w:rPr>
          <w:rFonts w:ascii="Arial" w:hAnsi="Arial" w:cs="Arial"/>
          <w:sz w:val="20"/>
          <w:szCs w:val="20"/>
        </w:rPr>
        <w:t xml:space="preserve">6,403,378 – Cell </w:t>
      </w:r>
      <w:proofErr w:type="spellStart"/>
      <w:r w:rsidRPr="00C271F7">
        <w:rPr>
          <w:rFonts w:ascii="Arial" w:hAnsi="Arial" w:cs="Arial"/>
          <w:sz w:val="20"/>
          <w:szCs w:val="20"/>
        </w:rPr>
        <w:t>Viability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assay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reagents</w:t>
      </w:r>
      <w:proofErr w:type="spellEnd"/>
    </w:p>
    <w:p w:rsidR="00C271F7" w:rsidRPr="00C271F7" w:rsidRDefault="00C271F7" w:rsidP="00C271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271F7">
        <w:rPr>
          <w:rFonts w:ascii="Arial" w:hAnsi="Arial" w:cs="Arial"/>
          <w:sz w:val="20"/>
          <w:szCs w:val="20"/>
        </w:rPr>
        <w:t xml:space="preserve">6,710,871 and 6,816,257 – </w:t>
      </w:r>
      <w:proofErr w:type="spellStart"/>
      <w:r w:rsidRPr="00C271F7">
        <w:rPr>
          <w:rFonts w:ascii="Arial" w:hAnsi="Arial" w:cs="Arial"/>
          <w:sz w:val="20"/>
          <w:szCs w:val="20"/>
        </w:rPr>
        <w:t>Method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71F7">
        <w:rPr>
          <w:rFonts w:ascii="Arial" w:hAnsi="Arial" w:cs="Arial"/>
          <w:sz w:val="20"/>
          <w:szCs w:val="20"/>
        </w:rPr>
        <w:t>apparatus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for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detecting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microparticles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in fluid </w:t>
      </w:r>
      <w:proofErr w:type="spellStart"/>
      <w:r w:rsidRPr="00C271F7">
        <w:rPr>
          <w:rFonts w:ascii="Arial" w:hAnsi="Arial" w:cs="Arial"/>
          <w:sz w:val="20"/>
          <w:szCs w:val="20"/>
        </w:rPr>
        <w:t>samples</w:t>
      </w:r>
      <w:proofErr w:type="spellEnd"/>
    </w:p>
    <w:p w:rsidR="00C271F7" w:rsidRPr="00C271F7" w:rsidRDefault="00C271F7" w:rsidP="00C271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271F7">
        <w:rPr>
          <w:rFonts w:ascii="Arial" w:hAnsi="Arial" w:cs="Arial"/>
          <w:sz w:val="20"/>
          <w:szCs w:val="20"/>
        </w:rPr>
        <w:t xml:space="preserve">7,320,775 – </w:t>
      </w:r>
      <w:proofErr w:type="spellStart"/>
      <w:r w:rsidRPr="00C271F7">
        <w:rPr>
          <w:rFonts w:ascii="Arial" w:hAnsi="Arial" w:cs="Arial"/>
          <w:sz w:val="20"/>
          <w:szCs w:val="20"/>
        </w:rPr>
        <w:t>Exchangeable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flow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cell </w:t>
      </w:r>
      <w:proofErr w:type="spellStart"/>
      <w:r w:rsidRPr="00C271F7">
        <w:rPr>
          <w:rFonts w:ascii="Arial" w:hAnsi="Arial" w:cs="Arial"/>
          <w:sz w:val="20"/>
          <w:szCs w:val="20"/>
        </w:rPr>
        <w:t>assembly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with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a </w:t>
      </w:r>
      <w:proofErr w:type="spellStart"/>
      <w:r w:rsidRPr="00C271F7">
        <w:rPr>
          <w:rFonts w:ascii="Arial" w:hAnsi="Arial" w:cs="Arial"/>
          <w:sz w:val="20"/>
          <w:szCs w:val="20"/>
        </w:rPr>
        <w:t>suspended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capillary</w:t>
      </w:r>
      <w:proofErr w:type="spellEnd"/>
    </w:p>
    <w:p w:rsidR="00C271F7" w:rsidRPr="00C271F7" w:rsidRDefault="00C271F7" w:rsidP="00C271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271F7">
        <w:rPr>
          <w:rFonts w:ascii="Arial" w:hAnsi="Arial" w:cs="Arial"/>
          <w:sz w:val="20"/>
          <w:szCs w:val="20"/>
        </w:rPr>
        <w:t xml:space="preserve">7,410,809 – </w:t>
      </w:r>
      <w:proofErr w:type="spellStart"/>
      <w:r w:rsidRPr="00C271F7">
        <w:rPr>
          <w:rFonts w:ascii="Arial" w:hAnsi="Arial" w:cs="Arial"/>
          <w:sz w:val="20"/>
          <w:szCs w:val="20"/>
        </w:rPr>
        <w:t>Particle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or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cell </w:t>
      </w:r>
      <w:proofErr w:type="spellStart"/>
      <w:r w:rsidRPr="00C271F7">
        <w:rPr>
          <w:rFonts w:ascii="Arial" w:hAnsi="Arial" w:cs="Arial"/>
          <w:sz w:val="20"/>
          <w:szCs w:val="20"/>
        </w:rPr>
        <w:t>analyzer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71F7">
        <w:rPr>
          <w:rFonts w:ascii="Arial" w:hAnsi="Arial" w:cs="Arial"/>
          <w:sz w:val="20"/>
          <w:szCs w:val="20"/>
        </w:rPr>
        <w:t>method</w:t>
      </w:r>
      <w:proofErr w:type="spellEnd"/>
    </w:p>
    <w:p w:rsidR="00C271F7" w:rsidRDefault="00C271F7" w:rsidP="00C271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271F7">
        <w:rPr>
          <w:rFonts w:ascii="Arial" w:hAnsi="Arial" w:cs="Arial"/>
          <w:sz w:val="20"/>
          <w:szCs w:val="20"/>
        </w:rPr>
        <w:t xml:space="preserve">8,184,271 and 7,847,923 – </w:t>
      </w:r>
      <w:proofErr w:type="spellStart"/>
      <w:r w:rsidRPr="00C271F7">
        <w:rPr>
          <w:rFonts w:ascii="Arial" w:hAnsi="Arial" w:cs="Arial"/>
          <w:sz w:val="20"/>
          <w:szCs w:val="20"/>
        </w:rPr>
        <w:t>Differentiation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of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flow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cytometry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C271F7">
        <w:rPr>
          <w:rFonts w:ascii="Arial" w:hAnsi="Arial" w:cs="Arial"/>
          <w:sz w:val="20"/>
          <w:szCs w:val="20"/>
        </w:rPr>
        <w:t>pulses</w:t>
      </w:r>
      <w:proofErr w:type="spellEnd"/>
      <w:r w:rsidRPr="00C271F7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Pr="00C271F7">
        <w:rPr>
          <w:rFonts w:ascii="Arial" w:hAnsi="Arial" w:cs="Arial"/>
          <w:sz w:val="20"/>
          <w:szCs w:val="20"/>
        </w:rPr>
        <w:t>applications</w:t>
      </w:r>
      <w:proofErr w:type="spellEnd"/>
    </w:p>
    <w:p w:rsidR="00314345" w:rsidRDefault="00314345" w:rsidP="00C271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14345" w:rsidRPr="00314345" w:rsidRDefault="00314345" w:rsidP="00C271F7">
      <w:pPr>
        <w:autoSpaceDE w:val="0"/>
        <w:autoSpaceDN w:val="0"/>
        <w:adjustRightInd w:val="0"/>
        <w:rPr>
          <w:rFonts w:ascii="Arial" w:hAnsi="Arial" w:cs="Arial"/>
          <w:b/>
          <w:sz w:val="20"/>
          <w:szCs w:val="20"/>
          <w:u w:val="single"/>
        </w:rPr>
      </w:pPr>
      <w:r w:rsidRPr="00314345">
        <w:rPr>
          <w:rFonts w:ascii="Arial" w:hAnsi="Arial" w:cs="Arial"/>
          <w:b/>
          <w:sz w:val="20"/>
          <w:szCs w:val="20"/>
          <w:u w:val="single"/>
        </w:rPr>
        <w:t>Originál technické specifikace výrobce:</w:t>
      </w:r>
    </w:p>
    <w:p w:rsidR="00314345" w:rsidRDefault="00314345" w:rsidP="00C271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14345" w:rsidRDefault="00314345" w:rsidP="00C271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BA6C11" w:rsidRDefault="00314345" w:rsidP="00C271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14345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760720" cy="4801784"/>
            <wp:effectExtent l="0" t="0" r="0" b="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48017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4345" w:rsidRDefault="00314345" w:rsidP="00C271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314345" w:rsidRDefault="00314345" w:rsidP="00C271F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sectPr w:rsidR="00314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1DB0"/>
    <w:rsid w:val="00006561"/>
    <w:rsid w:val="00061DB0"/>
    <w:rsid w:val="000A259C"/>
    <w:rsid w:val="000F73FD"/>
    <w:rsid w:val="00172CB9"/>
    <w:rsid w:val="00261DFE"/>
    <w:rsid w:val="002C7E70"/>
    <w:rsid w:val="00314345"/>
    <w:rsid w:val="0034004A"/>
    <w:rsid w:val="0041015F"/>
    <w:rsid w:val="00483E3C"/>
    <w:rsid w:val="00573F62"/>
    <w:rsid w:val="005D65D1"/>
    <w:rsid w:val="00656856"/>
    <w:rsid w:val="006C4F51"/>
    <w:rsid w:val="007160AE"/>
    <w:rsid w:val="007C6DED"/>
    <w:rsid w:val="008324CC"/>
    <w:rsid w:val="00861E76"/>
    <w:rsid w:val="009C2AA8"/>
    <w:rsid w:val="00A24D93"/>
    <w:rsid w:val="00BA6C11"/>
    <w:rsid w:val="00BF2FE9"/>
    <w:rsid w:val="00C271F7"/>
    <w:rsid w:val="00C775D8"/>
    <w:rsid w:val="00D31FC7"/>
    <w:rsid w:val="00D8488A"/>
    <w:rsid w:val="00DE1530"/>
    <w:rsid w:val="00E1003C"/>
    <w:rsid w:val="00E228CD"/>
    <w:rsid w:val="00F9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7C97C4-724C-4A76-9B2B-CE28BE4BA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61D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501</Words>
  <Characters>2960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Kukla</dc:creator>
  <cp:keywords/>
  <dc:description/>
  <cp:lastModifiedBy>Anna Srchova</cp:lastModifiedBy>
  <cp:revision>2</cp:revision>
  <dcterms:created xsi:type="dcterms:W3CDTF">2016-12-20T20:10:00Z</dcterms:created>
  <dcterms:modified xsi:type="dcterms:W3CDTF">2016-12-20T20:10:00Z</dcterms:modified>
</cp:coreProperties>
</file>