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9-439/S8001/19/RS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DOPRAVNÍ A INŽENÝRSKÉ PROJEKTY s.r.o., zkráceně: DIPRO,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Modřanská 1387/11, Praha 12-Modřany, 143 00  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48592722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CZ48592722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2019-2020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19.07.2019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akce:1/4/S80/01</w:t>
            </w:r>
          </w:p>
          <w:p w:rsidR="005C7BC2" w:rsidRDefault="0074741F">
            <w:r>
              <w:t xml:space="preserve">Název akce:Obnova vodovodního řadu, ul. Bělehradská (úsek Anglická - </w:t>
            </w:r>
            <w:r>
              <w:t>Jugoslávská), P2</w:t>
            </w:r>
          </w:p>
          <w:p w:rsidR="005C7BC2" w:rsidRDefault="0074741F">
            <w:r>
              <w:t>Výkon funkce AD v rámci výše uvedené akce. Celková cena dle Vaší nabídky ze dne 18.7.2019 nepřesáhne částku 65.520,-Kč /bez DPH/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74741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5C7BC2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4741F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E6CC-F0C4-4167-8361-F9B562E2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2019-08-02T08:29:00Z</dcterms:created>
  <dcterms:modified xsi:type="dcterms:W3CDTF">2019-08-02T08:29:00Z</dcterms:modified>
</cp:coreProperties>
</file>