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61459" w14:textId="7C6A72B0" w:rsidR="00E969D1" w:rsidRDefault="00E969D1" w:rsidP="00E969D1">
      <w:pPr>
        <w:pStyle w:val="Zhlav"/>
        <w:jc w:val="right"/>
        <w:rPr>
          <w:rFonts w:ascii="Tahoma" w:hAnsi="Tahoma" w:cs="Tahoma"/>
          <w:b/>
          <w:i/>
          <w:szCs w:val="28"/>
        </w:rPr>
      </w:pPr>
      <w:r>
        <w:rPr>
          <w:rFonts w:ascii="Tahoma" w:hAnsi="Tahoma" w:cs="Tahoma"/>
          <w:b/>
          <w:i/>
          <w:szCs w:val="28"/>
        </w:rPr>
        <w:t>Příloha č. 2 Kupní smlouvy</w:t>
      </w:r>
    </w:p>
    <w:p w14:paraId="5211A4F0" w14:textId="77777777" w:rsidR="00E969D1" w:rsidRPr="002113B6" w:rsidRDefault="00E969D1" w:rsidP="00E969D1">
      <w:pPr>
        <w:pStyle w:val="Zhlav"/>
        <w:jc w:val="right"/>
        <w:rPr>
          <w:rFonts w:ascii="Tahoma" w:hAnsi="Tahoma" w:cs="Tahoma"/>
          <w:b/>
          <w:i/>
          <w:szCs w:val="28"/>
        </w:rPr>
      </w:pPr>
    </w:p>
    <w:p w14:paraId="1E0261A2" w14:textId="77777777" w:rsidR="004E5CB0" w:rsidRDefault="002113B6" w:rsidP="002113B6">
      <w:pPr>
        <w:pStyle w:val="Nadpis2"/>
        <w:ind w:left="576" w:hanging="576"/>
        <w:jc w:val="center"/>
        <w:rPr>
          <w:rFonts w:ascii="Tahoma" w:hAnsi="Tahoma" w:cs="Tahoma"/>
          <w:b/>
          <w:i w:val="0"/>
          <w:sz w:val="24"/>
          <w:szCs w:val="20"/>
          <w:u w:val="single"/>
        </w:rPr>
      </w:pPr>
      <w:r w:rsidRPr="00132A28">
        <w:rPr>
          <w:rFonts w:ascii="Tahoma" w:hAnsi="Tahoma" w:cs="Tahoma"/>
          <w:b/>
          <w:i w:val="0"/>
          <w:sz w:val="24"/>
          <w:szCs w:val="20"/>
          <w:u w:val="single"/>
        </w:rPr>
        <w:t xml:space="preserve">KVALITA NABÍZENÉHO PLNĚNÍ – HODNOCENÍ PRO </w:t>
      </w:r>
      <w:r w:rsidR="004E5CB0">
        <w:rPr>
          <w:rFonts w:ascii="Tahoma" w:hAnsi="Tahoma" w:cs="Tahoma"/>
          <w:b/>
          <w:i w:val="0"/>
          <w:sz w:val="24"/>
          <w:szCs w:val="20"/>
          <w:u w:val="single"/>
        </w:rPr>
        <w:t>3</w:t>
      </w:r>
      <w:r w:rsidRPr="00132A28">
        <w:rPr>
          <w:rFonts w:ascii="Tahoma" w:hAnsi="Tahoma" w:cs="Tahoma"/>
          <w:b/>
          <w:i w:val="0"/>
          <w:sz w:val="24"/>
          <w:szCs w:val="20"/>
          <w:u w:val="single"/>
        </w:rPr>
        <w:t xml:space="preserve">. ČÁST VEŘEJNÉ ZAKÁZKY </w:t>
      </w:r>
    </w:p>
    <w:p w14:paraId="04713C77" w14:textId="5C6845C9" w:rsidR="002113B6" w:rsidRPr="00132A28" w:rsidRDefault="00E45B8C" w:rsidP="002113B6">
      <w:pPr>
        <w:pStyle w:val="Nadpis2"/>
        <w:ind w:left="576" w:hanging="576"/>
        <w:jc w:val="center"/>
        <w:rPr>
          <w:rFonts w:ascii="Tahoma" w:hAnsi="Tahoma" w:cs="Tahoma"/>
          <w:b/>
          <w:i w:val="0"/>
          <w:sz w:val="24"/>
          <w:szCs w:val="20"/>
          <w:u w:val="single"/>
        </w:rPr>
      </w:pPr>
      <w:r w:rsidRPr="002641C9">
        <w:rPr>
          <w:rFonts w:ascii="Tahoma" w:hAnsi="Tahoma" w:cs="Tahoma"/>
          <w:b/>
          <w:i w:val="0"/>
          <w:sz w:val="24"/>
          <w:szCs w:val="20"/>
          <w:u w:val="single"/>
        </w:rPr>
        <w:t>D</w:t>
      </w:r>
      <w:r w:rsidR="002641C9">
        <w:rPr>
          <w:rFonts w:ascii="Tahoma" w:hAnsi="Tahoma" w:cs="Tahoma"/>
          <w:b/>
          <w:i w:val="0"/>
          <w:sz w:val="24"/>
          <w:szCs w:val="20"/>
          <w:u w:val="single"/>
        </w:rPr>
        <w:t>iodově</w:t>
      </w:r>
      <w:r w:rsidRPr="002641C9">
        <w:rPr>
          <w:rFonts w:ascii="Tahoma" w:hAnsi="Tahoma" w:cs="Tahoma"/>
          <w:b/>
          <w:i w:val="0"/>
          <w:sz w:val="24"/>
          <w:szCs w:val="20"/>
          <w:u w:val="single"/>
        </w:rPr>
        <w:t xml:space="preserve"> </w:t>
      </w:r>
      <w:r w:rsidR="002641C9">
        <w:rPr>
          <w:rFonts w:ascii="Tahoma" w:hAnsi="Tahoma" w:cs="Tahoma"/>
          <w:b/>
          <w:i w:val="0"/>
          <w:sz w:val="24"/>
          <w:szCs w:val="20"/>
          <w:u w:val="single"/>
        </w:rPr>
        <w:t>čerpaný budící laser</w:t>
      </w:r>
    </w:p>
    <w:p w14:paraId="07295E13" w14:textId="77777777" w:rsidR="00400FD4" w:rsidRDefault="00400FD4" w:rsidP="00E640CE">
      <w:pPr>
        <w:jc w:val="center"/>
        <w:rPr>
          <w:b/>
          <w:sz w:val="24"/>
          <w:szCs w:val="22"/>
        </w:rPr>
      </w:pPr>
    </w:p>
    <w:p w14:paraId="590AC542" w14:textId="66A19B1A" w:rsidR="00E640CE" w:rsidRDefault="00E640CE" w:rsidP="00E640CE">
      <w:pPr>
        <w:pStyle w:val="Odstavecseseznamem"/>
        <w:numPr>
          <w:ilvl w:val="0"/>
          <w:numId w:val="6"/>
        </w:numPr>
        <w:jc w:val="left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Technické parametry – </w:t>
      </w:r>
      <w:r w:rsidR="00927D8F">
        <w:rPr>
          <w:b/>
          <w:sz w:val="24"/>
          <w:szCs w:val="22"/>
        </w:rPr>
        <w:t>nutné</w:t>
      </w:r>
      <w:r>
        <w:rPr>
          <w:b/>
          <w:sz w:val="24"/>
          <w:szCs w:val="22"/>
        </w:rPr>
        <w:t xml:space="preserve"> požadavky</w:t>
      </w:r>
    </w:p>
    <w:p w14:paraId="0D3E6453" w14:textId="77777777" w:rsidR="00E640CE" w:rsidRPr="00E640CE" w:rsidRDefault="00E640CE" w:rsidP="00E640CE">
      <w:pPr>
        <w:ind w:left="360"/>
        <w:jc w:val="left"/>
        <w:rPr>
          <w:b/>
          <w:sz w:val="24"/>
          <w:szCs w:val="22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4"/>
        <w:gridCol w:w="3464"/>
        <w:gridCol w:w="6325"/>
        <w:gridCol w:w="4066"/>
      </w:tblGrid>
      <w:tr w:rsidR="00FF0639" w:rsidRPr="00196E85" w14:paraId="2F9F6AA5" w14:textId="77777777" w:rsidTr="002113B6">
        <w:trPr>
          <w:cantSplit/>
          <w:trHeight w:val="284"/>
          <w:tblHeader/>
          <w:jc w:val="center"/>
        </w:trPr>
        <w:tc>
          <w:tcPr>
            <w:tcW w:w="424" w:type="pct"/>
            <w:vAlign w:val="center"/>
          </w:tcPr>
          <w:p w14:paraId="2D9B747C" w14:textId="77777777" w:rsidR="00FF0639" w:rsidRPr="00196E85" w:rsidRDefault="00FF0639" w:rsidP="002113B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parametr</w:t>
            </w:r>
            <w:r w:rsidRPr="00196E85">
              <w:rPr>
                <w:rFonts w:ascii="Calibri" w:hAnsi="Calibri" w:cs="Arial"/>
                <w:b/>
                <w:szCs w:val="22"/>
              </w:rPr>
              <w:t xml:space="preserve"> č.</w:t>
            </w:r>
          </w:p>
        </w:tc>
        <w:tc>
          <w:tcPr>
            <w:tcW w:w="1144" w:type="pct"/>
            <w:vAlign w:val="center"/>
          </w:tcPr>
          <w:p w14:paraId="3FD07298" w14:textId="77777777" w:rsidR="00FF0639" w:rsidRPr="00196E85" w:rsidRDefault="00FF0639" w:rsidP="002B489B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196E85">
              <w:rPr>
                <w:rFonts w:ascii="Calibri" w:hAnsi="Calibri" w:cs="Arial"/>
                <w:b/>
                <w:szCs w:val="22"/>
              </w:rPr>
              <w:t>Popis parametru</w:t>
            </w:r>
          </w:p>
        </w:tc>
        <w:tc>
          <w:tcPr>
            <w:tcW w:w="2089" w:type="pct"/>
            <w:vAlign w:val="center"/>
          </w:tcPr>
          <w:p w14:paraId="3AC8F7E0" w14:textId="77777777" w:rsidR="00FF0639" w:rsidRPr="00196E85" w:rsidRDefault="00FF0639" w:rsidP="002B489B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196E85">
              <w:rPr>
                <w:rFonts w:ascii="Calibri" w:hAnsi="Calibri" w:cs="Arial"/>
                <w:b/>
                <w:szCs w:val="22"/>
              </w:rPr>
              <w:t>Požadovaná hodnota</w:t>
            </w:r>
          </w:p>
        </w:tc>
        <w:tc>
          <w:tcPr>
            <w:tcW w:w="1343" w:type="pct"/>
          </w:tcPr>
          <w:p w14:paraId="4ADA313A" w14:textId="77777777" w:rsidR="00FF0639" w:rsidRPr="00196E85" w:rsidRDefault="00FF0639" w:rsidP="002B489B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Hodnota nabídnutá účastníkem zadávacího řízení</w:t>
            </w:r>
          </w:p>
        </w:tc>
      </w:tr>
      <w:tr w:rsidR="00FF0639" w:rsidRPr="00196E85" w14:paraId="15AACA53" w14:textId="77777777" w:rsidTr="002113B6">
        <w:trPr>
          <w:cantSplit/>
          <w:trHeight w:val="284"/>
          <w:jc w:val="center"/>
        </w:trPr>
        <w:tc>
          <w:tcPr>
            <w:tcW w:w="424" w:type="pct"/>
            <w:vAlign w:val="center"/>
          </w:tcPr>
          <w:p w14:paraId="11CAF6FD" w14:textId="77777777" w:rsidR="00FF0639" w:rsidRPr="00196E85" w:rsidRDefault="00FF0639" w:rsidP="00500AE9">
            <w:pPr>
              <w:jc w:val="center"/>
              <w:rPr>
                <w:rFonts w:ascii="Calibri" w:hAnsi="Calibri" w:cs="Arial"/>
                <w:szCs w:val="22"/>
              </w:rPr>
            </w:pPr>
            <w:r w:rsidRPr="00196E85">
              <w:rPr>
                <w:rFonts w:ascii="Calibri" w:hAnsi="Calibri"/>
                <w:szCs w:val="22"/>
              </w:rPr>
              <w:t>1.</w:t>
            </w:r>
          </w:p>
        </w:tc>
        <w:tc>
          <w:tcPr>
            <w:tcW w:w="1144" w:type="pct"/>
            <w:vAlign w:val="center"/>
          </w:tcPr>
          <w:p w14:paraId="3272007B" w14:textId="2A421779" w:rsidR="00FF0639" w:rsidRPr="00927D8F" w:rsidRDefault="00927D8F" w:rsidP="00500AE9">
            <w:pPr>
              <w:jc w:val="left"/>
              <w:rPr>
                <w:sz w:val="24"/>
              </w:rPr>
            </w:pPr>
            <w:r w:rsidRPr="00927D8F">
              <w:rPr>
                <w:rFonts w:cstheme="minorHAnsi"/>
                <w:sz w:val="24"/>
              </w:rPr>
              <w:t>Vlnová délka</w:t>
            </w:r>
            <w:r w:rsidR="00FF0639" w:rsidRPr="00927D8F">
              <w:rPr>
                <w:rFonts w:cstheme="minorHAnsi"/>
                <w:sz w:val="24"/>
              </w:rPr>
              <w:t xml:space="preserve">  </w:t>
            </w:r>
          </w:p>
        </w:tc>
        <w:tc>
          <w:tcPr>
            <w:tcW w:w="2089" w:type="pct"/>
          </w:tcPr>
          <w:p w14:paraId="5A894DD7" w14:textId="720C0077" w:rsidR="00FF0639" w:rsidRPr="00927D8F" w:rsidRDefault="00927D8F" w:rsidP="00E640CE">
            <w:pPr>
              <w:jc w:val="center"/>
              <w:rPr>
                <w:rFonts w:cstheme="minorHAnsi"/>
                <w:sz w:val="24"/>
              </w:rPr>
            </w:pPr>
            <w:r w:rsidRPr="00927D8F">
              <w:rPr>
                <w:rFonts w:cstheme="minorHAnsi"/>
                <w:sz w:val="24"/>
              </w:rPr>
              <w:t xml:space="preserve">532 </w:t>
            </w:r>
            <w:proofErr w:type="spellStart"/>
            <w:r w:rsidRPr="00927D8F">
              <w:rPr>
                <w:rFonts w:cstheme="minorHAnsi"/>
                <w:sz w:val="24"/>
              </w:rPr>
              <w:t>nm</w:t>
            </w:r>
            <w:proofErr w:type="spellEnd"/>
          </w:p>
        </w:tc>
        <w:tc>
          <w:tcPr>
            <w:tcW w:w="1343" w:type="pct"/>
            <w:shd w:val="clear" w:color="auto" w:fill="E2EFD9" w:themeFill="accent6" w:themeFillTint="33"/>
          </w:tcPr>
          <w:p w14:paraId="607C252B" w14:textId="2599CA9A" w:rsidR="00FF0639" w:rsidRPr="00927D8F" w:rsidRDefault="00E969D1" w:rsidP="00E640C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532 </w:t>
            </w:r>
            <w:proofErr w:type="spellStart"/>
            <w:r>
              <w:rPr>
                <w:rFonts w:cstheme="minorHAnsi"/>
                <w:sz w:val="24"/>
              </w:rPr>
              <w:t>nm</w:t>
            </w:r>
            <w:proofErr w:type="spellEnd"/>
          </w:p>
        </w:tc>
      </w:tr>
      <w:tr w:rsidR="00FF0639" w:rsidRPr="00196E85" w14:paraId="2EED7B67" w14:textId="77777777" w:rsidTr="002113B6">
        <w:trPr>
          <w:cantSplit/>
          <w:trHeight w:val="284"/>
          <w:jc w:val="center"/>
        </w:trPr>
        <w:tc>
          <w:tcPr>
            <w:tcW w:w="424" w:type="pct"/>
            <w:vAlign w:val="center"/>
          </w:tcPr>
          <w:p w14:paraId="5420949D" w14:textId="77777777" w:rsidR="00FF0639" w:rsidRPr="00196E85" w:rsidRDefault="00FF0639" w:rsidP="00500AE9">
            <w:pPr>
              <w:jc w:val="center"/>
              <w:rPr>
                <w:rFonts w:ascii="Calibri" w:hAnsi="Calibri" w:cs="Arial"/>
                <w:szCs w:val="22"/>
              </w:rPr>
            </w:pPr>
            <w:r w:rsidRPr="00196E85">
              <w:rPr>
                <w:rFonts w:ascii="Calibri" w:hAnsi="Calibri"/>
                <w:szCs w:val="22"/>
              </w:rPr>
              <w:t>2.</w:t>
            </w:r>
          </w:p>
        </w:tc>
        <w:tc>
          <w:tcPr>
            <w:tcW w:w="1144" w:type="pct"/>
            <w:vAlign w:val="center"/>
          </w:tcPr>
          <w:p w14:paraId="00F2294D" w14:textId="2DDA63AA" w:rsidR="00FF0639" w:rsidRPr="00927D8F" w:rsidRDefault="00927D8F" w:rsidP="00500AE9">
            <w:pPr>
              <w:jc w:val="left"/>
              <w:rPr>
                <w:sz w:val="24"/>
              </w:rPr>
            </w:pPr>
            <w:r>
              <w:rPr>
                <w:sz w:val="24"/>
              </w:rPr>
              <w:t>Kontinuální režim</w:t>
            </w:r>
          </w:p>
        </w:tc>
        <w:tc>
          <w:tcPr>
            <w:tcW w:w="2089" w:type="pct"/>
            <w:vAlign w:val="center"/>
          </w:tcPr>
          <w:p w14:paraId="65270F6A" w14:textId="018784C5" w:rsidR="00FF0639" w:rsidRPr="00927D8F" w:rsidRDefault="00927D8F" w:rsidP="00500AE9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ANO</w:t>
            </w:r>
          </w:p>
        </w:tc>
        <w:tc>
          <w:tcPr>
            <w:tcW w:w="1343" w:type="pct"/>
            <w:shd w:val="clear" w:color="auto" w:fill="E2EFD9" w:themeFill="accent6" w:themeFillTint="33"/>
          </w:tcPr>
          <w:p w14:paraId="2687484D" w14:textId="17FE36FC" w:rsidR="00FF0639" w:rsidRPr="00927D8F" w:rsidRDefault="00E969D1" w:rsidP="00500A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ANO</w:t>
            </w:r>
          </w:p>
        </w:tc>
      </w:tr>
      <w:tr w:rsidR="00FF0639" w:rsidRPr="00196E85" w14:paraId="29D7E80F" w14:textId="77777777" w:rsidTr="002113B6">
        <w:trPr>
          <w:cantSplit/>
          <w:trHeight w:val="284"/>
          <w:jc w:val="center"/>
        </w:trPr>
        <w:tc>
          <w:tcPr>
            <w:tcW w:w="424" w:type="pct"/>
            <w:vAlign w:val="center"/>
          </w:tcPr>
          <w:p w14:paraId="67A3F88E" w14:textId="77777777" w:rsidR="00FF0639" w:rsidRPr="00196E85" w:rsidRDefault="00FF0639" w:rsidP="00500AE9">
            <w:pPr>
              <w:jc w:val="center"/>
              <w:rPr>
                <w:rFonts w:ascii="Calibri" w:hAnsi="Calibri" w:cs="Arial"/>
                <w:szCs w:val="22"/>
              </w:rPr>
            </w:pPr>
            <w:r w:rsidRPr="00196E85">
              <w:rPr>
                <w:rFonts w:ascii="Calibri" w:hAnsi="Calibri"/>
                <w:szCs w:val="22"/>
              </w:rPr>
              <w:t>3.</w:t>
            </w:r>
          </w:p>
        </w:tc>
        <w:tc>
          <w:tcPr>
            <w:tcW w:w="1144" w:type="pct"/>
            <w:vAlign w:val="center"/>
          </w:tcPr>
          <w:p w14:paraId="18834D22" w14:textId="7E00C29F" w:rsidR="00FF0639" w:rsidRPr="00927D8F" w:rsidRDefault="00927D8F" w:rsidP="00500AE9">
            <w:pPr>
              <w:jc w:val="left"/>
              <w:rPr>
                <w:rFonts w:ascii="Calibri" w:eastAsia="Arial" w:hAnsi="Calibri" w:cs="Arial"/>
                <w:sz w:val="24"/>
              </w:rPr>
            </w:pPr>
            <w:r>
              <w:rPr>
                <w:rFonts w:ascii="Calibri" w:eastAsia="Arial" w:hAnsi="Calibri" w:cs="Arial"/>
                <w:sz w:val="24"/>
              </w:rPr>
              <w:t>Výkon v kontinuálním režimu</w:t>
            </w:r>
          </w:p>
        </w:tc>
        <w:tc>
          <w:tcPr>
            <w:tcW w:w="2089" w:type="pct"/>
            <w:vAlign w:val="center"/>
          </w:tcPr>
          <w:p w14:paraId="0032DA43" w14:textId="09F10DDB" w:rsidR="00FF0639" w:rsidRPr="00927D8F" w:rsidRDefault="00927D8F" w:rsidP="00500AE9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vyšší nebo roven 10 W</w:t>
            </w:r>
          </w:p>
        </w:tc>
        <w:tc>
          <w:tcPr>
            <w:tcW w:w="1343" w:type="pct"/>
            <w:shd w:val="clear" w:color="auto" w:fill="E2EFD9" w:themeFill="accent6" w:themeFillTint="33"/>
          </w:tcPr>
          <w:p w14:paraId="39EBE5B3" w14:textId="0E902E80" w:rsidR="00FF0639" w:rsidRPr="00927D8F" w:rsidRDefault="00E969D1" w:rsidP="00500A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&gt; 25 W</w:t>
            </w:r>
          </w:p>
        </w:tc>
      </w:tr>
      <w:tr w:rsidR="00FF0639" w:rsidRPr="00196E85" w14:paraId="3AFC75A7" w14:textId="77777777" w:rsidTr="002113B6">
        <w:trPr>
          <w:cantSplit/>
          <w:trHeight w:val="284"/>
          <w:jc w:val="center"/>
        </w:trPr>
        <w:tc>
          <w:tcPr>
            <w:tcW w:w="424" w:type="pct"/>
            <w:vAlign w:val="center"/>
          </w:tcPr>
          <w:p w14:paraId="5AEE5C1E" w14:textId="77777777" w:rsidR="00FF0639" w:rsidRPr="00196E85" w:rsidRDefault="00FF0639" w:rsidP="00500AE9">
            <w:pPr>
              <w:jc w:val="center"/>
              <w:rPr>
                <w:rFonts w:ascii="Calibri" w:hAnsi="Calibri"/>
                <w:szCs w:val="22"/>
              </w:rPr>
            </w:pPr>
            <w:r w:rsidRPr="00196E85">
              <w:rPr>
                <w:rFonts w:ascii="Calibri" w:hAnsi="Calibri"/>
                <w:szCs w:val="22"/>
              </w:rPr>
              <w:t>4.</w:t>
            </w:r>
          </w:p>
        </w:tc>
        <w:tc>
          <w:tcPr>
            <w:tcW w:w="1144" w:type="pct"/>
            <w:vAlign w:val="center"/>
          </w:tcPr>
          <w:p w14:paraId="0550CE7B" w14:textId="45C84B12" w:rsidR="00FF0639" w:rsidRPr="00927D8F" w:rsidRDefault="00927D8F" w:rsidP="00500AE9">
            <w:pPr>
              <w:jc w:val="left"/>
              <w:rPr>
                <w:sz w:val="24"/>
              </w:rPr>
            </w:pPr>
            <w:r>
              <w:rPr>
                <w:sz w:val="24"/>
              </w:rPr>
              <w:t>Stabilita výstupního výkonu</w:t>
            </w:r>
          </w:p>
        </w:tc>
        <w:tc>
          <w:tcPr>
            <w:tcW w:w="2089" w:type="pct"/>
            <w:vAlign w:val="center"/>
          </w:tcPr>
          <w:p w14:paraId="080E0786" w14:textId="5D333C1E" w:rsidR="00FF0639" w:rsidRPr="00927D8F" w:rsidRDefault="005317B2" w:rsidP="00500A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lepší</w:t>
            </w:r>
            <w:r w:rsidR="00927D8F">
              <w:rPr>
                <w:sz w:val="24"/>
              </w:rPr>
              <w:t xml:space="preserve"> nebo rovna 1,5</w:t>
            </w:r>
            <w:r w:rsidR="00A04224">
              <w:rPr>
                <w:sz w:val="24"/>
              </w:rPr>
              <w:t xml:space="preserve"> </w:t>
            </w:r>
            <w:r w:rsidR="00927D8F">
              <w:rPr>
                <w:sz w:val="24"/>
              </w:rPr>
              <w:t>%</w:t>
            </w:r>
          </w:p>
        </w:tc>
        <w:tc>
          <w:tcPr>
            <w:tcW w:w="1343" w:type="pct"/>
            <w:shd w:val="clear" w:color="auto" w:fill="E2EFD9" w:themeFill="accent6" w:themeFillTint="33"/>
          </w:tcPr>
          <w:p w14:paraId="1D43540F" w14:textId="4C54ACE1" w:rsidR="00FF0639" w:rsidRPr="00927D8F" w:rsidRDefault="00E969D1" w:rsidP="00500A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1%</w:t>
            </w:r>
          </w:p>
        </w:tc>
      </w:tr>
      <w:tr w:rsidR="00FF0639" w:rsidRPr="00196E85" w14:paraId="172A214E" w14:textId="77777777" w:rsidTr="002113B6">
        <w:trPr>
          <w:cantSplit/>
          <w:trHeight w:val="284"/>
          <w:jc w:val="center"/>
        </w:trPr>
        <w:tc>
          <w:tcPr>
            <w:tcW w:w="424" w:type="pct"/>
            <w:vAlign w:val="center"/>
          </w:tcPr>
          <w:p w14:paraId="023A55F9" w14:textId="77777777" w:rsidR="00FF0639" w:rsidRPr="00196E85" w:rsidRDefault="00FF0639" w:rsidP="00500A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5.</w:t>
            </w:r>
          </w:p>
        </w:tc>
        <w:tc>
          <w:tcPr>
            <w:tcW w:w="1144" w:type="pct"/>
            <w:vAlign w:val="center"/>
          </w:tcPr>
          <w:p w14:paraId="1300DDD1" w14:textId="526C3F4F" w:rsidR="00FF0639" w:rsidRPr="00927D8F" w:rsidRDefault="00927D8F" w:rsidP="00500AE9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Beam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pointing</w:t>
            </w:r>
            <w:proofErr w:type="spellEnd"/>
            <w:r>
              <w:rPr>
                <w:sz w:val="24"/>
              </w:rPr>
              <w:t xml:space="preserve"> stability</w:t>
            </w:r>
          </w:p>
        </w:tc>
        <w:tc>
          <w:tcPr>
            <w:tcW w:w="2089" w:type="pct"/>
            <w:vAlign w:val="center"/>
          </w:tcPr>
          <w:p w14:paraId="234A62C9" w14:textId="3B267CA9" w:rsidR="00FF0639" w:rsidRPr="00927D8F" w:rsidRDefault="00927D8F" w:rsidP="00500A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menší nebo rovna 3 </w:t>
            </w:r>
            <w:proofErr w:type="spellStart"/>
            <w:r>
              <w:rPr>
                <w:rFonts w:cstheme="minorHAnsi"/>
                <w:sz w:val="24"/>
              </w:rPr>
              <w:t>μ</w:t>
            </w:r>
            <w:r>
              <w:rPr>
                <w:sz w:val="24"/>
              </w:rPr>
              <w:t>rad</w:t>
            </w:r>
            <w:proofErr w:type="spellEnd"/>
            <w:r>
              <w:rPr>
                <w:sz w:val="24"/>
              </w:rPr>
              <w:t>/°C</w:t>
            </w:r>
          </w:p>
        </w:tc>
        <w:tc>
          <w:tcPr>
            <w:tcW w:w="1343" w:type="pct"/>
            <w:shd w:val="clear" w:color="auto" w:fill="E2EFD9" w:themeFill="accent6" w:themeFillTint="33"/>
          </w:tcPr>
          <w:p w14:paraId="77BC8AEA" w14:textId="2FBE1B45" w:rsidR="00FF0639" w:rsidRPr="00927D8F" w:rsidRDefault="00E969D1" w:rsidP="00500AE9">
            <w:pPr>
              <w:jc w:val="center"/>
              <w:rPr>
                <w:rFonts w:cstheme="minorHAnsi"/>
                <w:sz w:val="24"/>
              </w:rPr>
            </w:pPr>
            <w:r w:rsidRPr="00E969D1">
              <w:rPr>
                <w:rFonts w:cstheme="minorHAnsi"/>
                <w:sz w:val="24"/>
              </w:rPr>
              <w:t xml:space="preserve">2 </w:t>
            </w:r>
            <w:proofErr w:type="spellStart"/>
            <w:r w:rsidRPr="00E969D1">
              <w:rPr>
                <w:rFonts w:cstheme="minorHAnsi"/>
                <w:sz w:val="24"/>
              </w:rPr>
              <w:t>μrad</w:t>
            </w:r>
            <w:proofErr w:type="spellEnd"/>
            <w:r w:rsidRPr="00E969D1">
              <w:rPr>
                <w:rFonts w:cstheme="minorHAnsi"/>
                <w:sz w:val="24"/>
              </w:rPr>
              <w:t>/°C</w:t>
            </w:r>
          </w:p>
        </w:tc>
      </w:tr>
      <w:tr w:rsidR="00FF0639" w:rsidRPr="00196E85" w14:paraId="3A476F4E" w14:textId="77777777" w:rsidTr="002113B6">
        <w:trPr>
          <w:cantSplit/>
          <w:trHeight w:val="284"/>
          <w:jc w:val="center"/>
        </w:trPr>
        <w:tc>
          <w:tcPr>
            <w:tcW w:w="424" w:type="pct"/>
            <w:vAlign w:val="center"/>
          </w:tcPr>
          <w:p w14:paraId="464C6F33" w14:textId="77777777" w:rsidR="00FF0639" w:rsidRPr="00196E85" w:rsidRDefault="00FF0639" w:rsidP="00500AE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6.</w:t>
            </w:r>
          </w:p>
        </w:tc>
        <w:tc>
          <w:tcPr>
            <w:tcW w:w="1144" w:type="pct"/>
            <w:vAlign w:val="center"/>
          </w:tcPr>
          <w:p w14:paraId="7D52C466" w14:textId="77BA5A2F" w:rsidR="00FF0639" w:rsidRPr="00927D8F" w:rsidRDefault="00A04224" w:rsidP="00500AE9">
            <w:pPr>
              <w:jc w:val="left"/>
              <w:rPr>
                <w:sz w:val="24"/>
              </w:rPr>
            </w:pPr>
            <w:r>
              <w:rPr>
                <w:sz w:val="24"/>
              </w:rPr>
              <w:t>Šum (15 Hz – 50 MHz)</w:t>
            </w:r>
          </w:p>
        </w:tc>
        <w:tc>
          <w:tcPr>
            <w:tcW w:w="2089" w:type="pct"/>
            <w:vAlign w:val="center"/>
          </w:tcPr>
          <w:p w14:paraId="6B458B31" w14:textId="2B9F28EC" w:rsidR="00FF0639" w:rsidRPr="00927D8F" w:rsidRDefault="00A04224" w:rsidP="00500A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menší nebo roven 0,05 %</w:t>
            </w:r>
          </w:p>
        </w:tc>
        <w:tc>
          <w:tcPr>
            <w:tcW w:w="1343" w:type="pct"/>
            <w:shd w:val="clear" w:color="auto" w:fill="E2EFD9" w:themeFill="accent6" w:themeFillTint="33"/>
          </w:tcPr>
          <w:p w14:paraId="65F9C6AB" w14:textId="2B290288" w:rsidR="00FF0639" w:rsidRPr="00927D8F" w:rsidRDefault="00E969D1" w:rsidP="00500AE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Menší 0,02%</w:t>
            </w:r>
          </w:p>
        </w:tc>
      </w:tr>
      <w:tr w:rsidR="00A04224" w:rsidRPr="00196E85" w14:paraId="18297895" w14:textId="77777777" w:rsidTr="002113B6">
        <w:trPr>
          <w:cantSplit/>
          <w:trHeight w:val="284"/>
          <w:jc w:val="center"/>
        </w:trPr>
        <w:tc>
          <w:tcPr>
            <w:tcW w:w="424" w:type="pct"/>
            <w:vAlign w:val="center"/>
          </w:tcPr>
          <w:p w14:paraId="6185CD5D" w14:textId="77777777" w:rsidR="00A04224" w:rsidRPr="00196E85" w:rsidRDefault="00A04224" w:rsidP="00A0422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</w:t>
            </w:r>
            <w:r w:rsidRPr="00196E85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144" w:type="pct"/>
            <w:vAlign w:val="center"/>
          </w:tcPr>
          <w:p w14:paraId="6524544E" w14:textId="72CE7A66" w:rsidR="00A04224" w:rsidRPr="00927D8F" w:rsidRDefault="00A04224" w:rsidP="00A04224">
            <w:pPr>
              <w:jc w:val="left"/>
              <w:rPr>
                <w:sz w:val="24"/>
              </w:rPr>
            </w:pPr>
            <w:r>
              <w:rPr>
                <w:sz w:val="24"/>
              </w:rPr>
              <w:t>Výstupní svazek</w:t>
            </w:r>
          </w:p>
        </w:tc>
        <w:tc>
          <w:tcPr>
            <w:tcW w:w="2089" w:type="pct"/>
            <w:vAlign w:val="center"/>
          </w:tcPr>
          <w:p w14:paraId="3DC32747" w14:textId="763AA166" w:rsidR="00A04224" w:rsidRPr="00927D8F" w:rsidRDefault="00A04224" w:rsidP="00A0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TEM</w:t>
            </w:r>
            <w:r w:rsidRPr="00927D8F">
              <w:rPr>
                <w:sz w:val="24"/>
                <w:vertAlign w:val="subscript"/>
              </w:rPr>
              <w:t>00</w:t>
            </w:r>
          </w:p>
        </w:tc>
        <w:tc>
          <w:tcPr>
            <w:tcW w:w="1343" w:type="pct"/>
            <w:shd w:val="clear" w:color="auto" w:fill="E2EFD9" w:themeFill="accent6" w:themeFillTint="33"/>
          </w:tcPr>
          <w:p w14:paraId="02C69AB3" w14:textId="07AC3C35" w:rsidR="00A04224" w:rsidRPr="00927D8F" w:rsidRDefault="00E969D1" w:rsidP="00A04224">
            <w:pPr>
              <w:jc w:val="center"/>
              <w:rPr>
                <w:rFonts w:cstheme="minorHAnsi"/>
                <w:sz w:val="24"/>
              </w:rPr>
            </w:pPr>
            <w:r>
              <w:rPr>
                <w:sz w:val="24"/>
              </w:rPr>
              <w:t>TEM</w:t>
            </w:r>
            <w:r w:rsidRPr="00927D8F">
              <w:rPr>
                <w:sz w:val="24"/>
                <w:vertAlign w:val="subscript"/>
              </w:rPr>
              <w:t>00</w:t>
            </w:r>
          </w:p>
        </w:tc>
      </w:tr>
      <w:tr w:rsidR="00A04224" w:rsidRPr="00196E85" w14:paraId="15D7B197" w14:textId="77777777" w:rsidTr="002113B6">
        <w:trPr>
          <w:cantSplit/>
          <w:trHeight w:val="284"/>
          <w:jc w:val="center"/>
        </w:trPr>
        <w:tc>
          <w:tcPr>
            <w:tcW w:w="424" w:type="pct"/>
            <w:vAlign w:val="center"/>
          </w:tcPr>
          <w:p w14:paraId="0A039E69" w14:textId="77777777" w:rsidR="00A04224" w:rsidRPr="00196E85" w:rsidRDefault="00A04224" w:rsidP="00A0422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8.</w:t>
            </w:r>
          </w:p>
        </w:tc>
        <w:tc>
          <w:tcPr>
            <w:tcW w:w="1144" w:type="pct"/>
            <w:vAlign w:val="center"/>
          </w:tcPr>
          <w:p w14:paraId="47E0E80D" w14:textId="424EBA1E" w:rsidR="00A04224" w:rsidRPr="00927D8F" w:rsidRDefault="00A04224" w:rsidP="00A04224">
            <w:pPr>
              <w:jc w:val="left"/>
              <w:rPr>
                <w:sz w:val="24"/>
              </w:rPr>
            </w:pPr>
            <w:r>
              <w:rPr>
                <w:sz w:val="24"/>
              </w:rPr>
              <w:t>Kvalita svazku (M</w:t>
            </w:r>
            <w:r w:rsidRPr="00927D8F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089" w:type="pct"/>
            <w:vAlign w:val="center"/>
          </w:tcPr>
          <w:p w14:paraId="1A33269F" w14:textId="6146F8AC" w:rsidR="00A04224" w:rsidRPr="00927D8F" w:rsidRDefault="00A04224" w:rsidP="00A0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menší nebo rovna 1,15</w:t>
            </w:r>
          </w:p>
        </w:tc>
        <w:tc>
          <w:tcPr>
            <w:tcW w:w="1343" w:type="pct"/>
            <w:shd w:val="clear" w:color="auto" w:fill="E2EFD9" w:themeFill="accent6" w:themeFillTint="33"/>
          </w:tcPr>
          <w:p w14:paraId="375D6AD1" w14:textId="758E723A" w:rsidR="00A04224" w:rsidRPr="00927D8F" w:rsidRDefault="00E969D1" w:rsidP="00A0422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Menší 1.1</w:t>
            </w:r>
          </w:p>
        </w:tc>
      </w:tr>
      <w:tr w:rsidR="00A04224" w:rsidRPr="00196E85" w14:paraId="453B17B0" w14:textId="77777777" w:rsidTr="002113B6">
        <w:trPr>
          <w:cantSplit/>
          <w:trHeight w:val="284"/>
          <w:jc w:val="center"/>
        </w:trPr>
        <w:tc>
          <w:tcPr>
            <w:tcW w:w="424" w:type="pct"/>
            <w:vAlign w:val="center"/>
          </w:tcPr>
          <w:p w14:paraId="0EC4A348" w14:textId="77777777" w:rsidR="00A04224" w:rsidRPr="00196E85" w:rsidRDefault="00A04224" w:rsidP="00A0422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9.</w:t>
            </w:r>
          </w:p>
        </w:tc>
        <w:tc>
          <w:tcPr>
            <w:tcW w:w="1144" w:type="pct"/>
            <w:vAlign w:val="center"/>
          </w:tcPr>
          <w:p w14:paraId="28B8C831" w14:textId="18F808C3" w:rsidR="00A04224" w:rsidRPr="00927D8F" w:rsidRDefault="00A04224" w:rsidP="00A04224">
            <w:pPr>
              <w:jc w:val="lef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Divergence svazku</w:t>
            </w:r>
          </w:p>
        </w:tc>
        <w:tc>
          <w:tcPr>
            <w:tcW w:w="2089" w:type="pct"/>
            <w:vAlign w:val="center"/>
          </w:tcPr>
          <w:p w14:paraId="53E4BAC5" w14:textId="362A295D" w:rsidR="00A04224" w:rsidRPr="00927D8F" w:rsidRDefault="00A04224" w:rsidP="00A0422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menší nebo rovna 0.5 </w:t>
            </w:r>
            <w:proofErr w:type="spellStart"/>
            <w:r>
              <w:rPr>
                <w:rFonts w:cstheme="minorHAnsi"/>
                <w:sz w:val="24"/>
              </w:rPr>
              <w:t>mrad</w:t>
            </w:r>
            <w:proofErr w:type="spellEnd"/>
          </w:p>
        </w:tc>
        <w:tc>
          <w:tcPr>
            <w:tcW w:w="1343" w:type="pct"/>
            <w:shd w:val="clear" w:color="auto" w:fill="E2EFD9" w:themeFill="accent6" w:themeFillTint="33"/>
          </w:tcPr>
          <w:p w14:paraId="08DDEF89" w14:textId="74C10504" w:rsidR="00A04224" w:rsidRPr="00927D8F" w:rsidRDefault="00E969D1" w:rsidP="00A0422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Menší 0.5 </w:t>
            </w:r>
            <w:proofErr w:type="spellStart"/>
            <w:r>
              <w:rPr>
                <w:rFonts w:cstheme="minorHAnsi"/>
                <w:sz w:val="24"/>
              </w:rPr>
              <w:t>mrad</w:t>
            </w:r>
            <w:proofErr w:type="spellEnd"/>
          </w:p>
        </w:tc>
      </w:tr>
      <w:tr w:rsidR="00A04224" w:rsidRPr="00196E85" w14:paraId="23AB1749" w14:textId="77777777" w:rsidTr="002113B6">
        <w:trPr>
          <w:cantSplit/>
          <w:trHeight w:val="284"/>
          <w:jc w:val="center"/>
        </w:trPr>
        <w:tc>
          <w:tcPr>
            <w:tcW w:w="424" w:type="pct"/>
            <w:vAlign w:val="center"/>
          </w:tcPr>
          <w:p w14:paraId="07088844" w14:textId="02005AB1" w:rsidR="00A04224" w:rsidRDefault="00A04224" w:rsidP="00A0422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10.</w:t>
            </w:r>
          </w:p>
        </w:tc>
        <w:tc>
          <w:tcPr>
            <w:tcW w:w="1144" w:type="pct"/>
            <w:vAlign w:val="center"/>
          </w:tcPr>
          <w:p w14:paraId="6D605D8F" w14:textId="2B93A79E" w:rsidR="00A04224" w:rsidRPr="00927D8F" w:rsidRDefault="00A04224" w:rsidP="00A04224">
            <w:pPr>
              <w:jc w:val="left"/>
              <w:rPr>
                <w:rFonts w:cstheme="minorHAnsi"/>
                <w:sz w:val="24"/>
              </w:rPr>
            </w:pPr>
            <w:proofErr w:type="spellStart"/>
            <w:r>
              <w:rPr>
                <w:sz w:val="24"/>
              </w:rPr>
              <w:t>Elipticita</w:t>
            </w:r>
            <w:proofErr w:type="spellEnd"/>
            <w:r>
              <w:rPr>
                <w:sz w:val="24"/>
              </w:rPr>
              <w:t xml:space="preserve"> svazku</w:t>
            </w:r>
          </w:p>
        </w:tc>
        <w:tc>
          <w:tcPr>
            <w:tcW w:w="2089" w:type="pct"/>
            <w:vAlign w:val="center"/>
          </w:tcPr>
          <w:p w14:paraId="24F23462" w14:textId="278871B7" w:rsidR="00A04224" w:rsidRPr="00927D8F" w:rsidRDefault="00A04224" w:rsidP="00A0422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menší nebo rovna 10 %</w:t>
            </w:r>
          </w:p>
        </w:tc>
        <w:tc>
          <w:tcPr>
            <w:tcW w:w="1343" w:type="pct"/>
            <w:shd w:val="clear" w:color="auto" w:fill="E2EFD9" w:themeFill="accent6" w:themeFillTint="33"/>
          </w:tcPr>
          <w:p w14:paraId="7AD049C5" w14:textId="2BEA64AA" w:rsidR="00A04224" w:rsidRPr="00927D8F" w:rsidRDefault="00E969D1" w:rsidP="00A0422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Menší 5%</w:t>
            </w:r>
          </w:p>
        </w:tc>
      </w:tr>
      <w:tr w:rsidR="00A04224" w:rsidRPr="00196E85" w14:paraId="7A0AA125" w14:textId="77777777" w:rsidTr="002113B6">
        <w:trPr>
          <w:cantSplit/>
          <w:trHeight w:val="284"/>
          <w:jc w:val="center"/>
        </w:trPr>
        <w:tc>
          <w:tcPr>
            <w:tcW w:w="424" w:type="pct"/>
            <w:vAlign w:val="center"/>
          </w:tcPr>
          <w:p w14:paraId="75A903CA" w14:textId="62A3E016" w:rsidR="00A04224" w:rsidRPr="00196E85" w:rsidRDefault="00A04224" w:rsidP="00A0422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</w:t>
            </w:r>
          </w:p>
        </w:tc>
        <w:tc>
          <w:tcPr>
            <w:tcW w:w="1144" w:type="pct"/>
            <w:vAlign w:val="center"/>
          </w:tcPr>
          <w:p w14:paraId="70034607" w14:textId="492506F8" w:rsidR="00A04224" w:rsidRPr="00927D8F" w:rsidRDefault="00A04224" w:rsidP="00A04224">
            <w:pPr>
              <w:jc w:val="left"/>
              <w:rPr>
                <w:rFonts w:cstheme="minorHAnsi"/>
                <w:sz w:val="24"/>
              </w:rPr>
            </w:pPr>
            <w:r>
              <w:rPr>
                <w:sz w:val="24"/>
              </w:rPr>
              <w:t>Stupeň polarizace</w:t>
            </w:r>
          </w:p>
        </w:tc>
        <w:tc>
          <w:tcPr>
            <w:tcW w:w="2089" w:type="pct"/>
            <w:vAlign w:val="center"/>
          </w:tcPr>
          <w:p w14:paraId="48A27F3E" w14:textId="29CBCAB3" w:rsidR="00A04224" w:rsidRPr="00927D8F" w:rsidRDefault="00A04224" w:rsidP="00A0422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vyšší nebo roven 100:1</w:t>
            </w:r>
          </w:p>
        </w:tc>
        <w:tc>
          <w:tcPr>
            <w:tcW w:w="1343" w:type="pct"/>
            <w:shd w:val="clear" w:color="auto" w:fill="E2EFD9" w:themeFill="accent6" w:themeFillTint="33"/>
          </w:tcPr>
          <w:p w14:paraId="1CF83B60" w14:textId="5A248B1F" w:rsidR="00A04224" w:rsidRPr="00927D8F" w:rsidRDefault="00E969D1" w:rsidP="00A0422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Vyšší 100:1</w:t>
            </w:r>
          </w:p>
        </w:tc>
      </w:tr>
      <w:tr w:rsidR="00A04224" w:rsidRPr="00196E85" w14:paraId="7FB2C7D0" w14:textId="77777777" w:rsidTr="002113B6">
        <w:trPr>
          <w:cantSplit/>
          <w:trHeight w:val="284"/>
          <w:jc w:val="center"/>
        </w:trPr>
        <w:tc>
          <w:tcPr>
            <w:tcW w:w="424" w:type="pct"/>
            <w:vAlign w:val="center"/>
          </w:tcPr>
          <w:p w14:paraId="04D50F64" w14:textId="43D89724" w:rsidR="00A04224" w:rsidRDefault="00A04224" w:rsidP="00A0422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12.</w:t>
            </w:r>
          </w:p>
        </w:tc>
        <w:tc>
          <w:tcPr>
            <w:tcW w:w="1144" w:type="pct"/>
            <w:vAlign w:val="center"/>
          </w:tcPr>
          <w:p w14:paraId="7CBC280C" w14:textId="50F375B8" w:rsidR="00A04224" w:rsidRPr="00927D8F" w:rsidRDefault="00A04224" w:rsidP="00A04224">
            <w:pPr>
              <w:jc w:val="lef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Diodové čerpání</w:t>
            </w:r>
          </w:p>
        </w:tc>
        <w:tc>
          <w:tcPr>
            <w:tcW w:w="2089" w:type="pct"/>
            <w:vAlign w:val="center"/>
          </w:tcPr>
          <w:p w14:paraId="59594174" w14:textId="3D38094C" w:rsidR="00A04224" w:rsidRPr="00927D8F" w:rsidRDefault="00A04224" w:rsidP="00A0422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ANO</w:t>
            </w:r>
          </w:p>
        </w:tc>
        <w:tc>
          <w:tcPr>
            <w:tcW w:w="1343" w:type="pct"/>
            <w:shd w:val="clear" w:color="auto" w:fill="E2EFD9" w:themeFill="accent6" w:themeFillTint="33"/>
          </w:tcPr>
          <w:p w14:paraId="5030EAF6" w14:textId="46FA1B66" w:rsidR="00A04224" w:rsidRPr="00927D8F" w:rsidRDefault="00E969D1" w:rsidP="00A0422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ANO</w:t>
            </w:r>
          </w:p>
        </w:tc>
      </w:tr>
      <w:tr w:rsidR="00A04224" w:rsidRPr="00196E85" w14:paraId="560B9E07" w14:textId="77777777" w:rsidTr="002113B6">
        <w:trPr>
          <w:cantSplit/>
          <w:trHeight w:val="284"/>
          <w:jc w:val="center"/>
        </w:trPr>
        <w:tc>
          <w:tcPr>
            <w:tcW w:w="424" w:type="pct"/>
            <w:vAlign w:val="center"/>
          </w:tcPr>
          <w:p w14:paraId="08A87EB6" w14:textId="470EEA0E" w:rsidR="00A04224" w:rsidRPr="00196E85" w:rsidRDefault="00A04224" w:rsidP="00A0422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13.</w:t>
            </w:r>
          </w:p>
        </w:tc>
        <w:tc>
          <w:tcPr>
            <w:tcW w:w="1144" w:type="pct"/>
            <w:vAlign w:val="center"/>
          </w:tcPr>
          <w:p w14:paraId="4311C13E" w14:textId="354D8752" w:rsidR="00A04224" w:rsidRPr="00927D8F" w:rsidRDefault="00A04224" w:rsidP="00A04224">
            <w:pPr>
              <w:jc w:val="left"/>
              <w:rPr>
                <w:rFonts w:cstheme="minorHAnsi"/>
                <w:sz w:val="24"/>
              </w:rPr>
            </w:pPr>
            <w:r>
              <w:rPr>
                <w:sz w:val="24"/>
              </w:rPr>
              <w:t>Napájení</w:t>
            </w:r>
          </w:p>
        </w:tc>
        <w:tc>
          <w:tcPr>
            <w:tcW w:w="2089" w:type="pct"/>
            <w:vAlign w:val="center"/>
          </w:tcPr>
          <w:p w14:paraId="1B2F390C" w14:textId="7A4D160C" w:rsidR="00A04224" w:rsidRPr="00927D8F" w:rsidRDefault="00A04224" w:rsidP="00A04224">
            <w:pPr>
              <w:jc w:val="center"/>
              <w:rPr>
                <w:rFonts w:cstheme="minorHAnsi"/>
                <w:sz w:val="24"/>
              </w:rPr>
            </w:pPr>
            <w:r>
              <w:rPr>
                <w:sz w:val="24"/>
              </w:rPr>
              <w:t>220 V /50 Hz</w:t>
            </w:r>
          </w:p>
        </w:tc>
        <w:tc>
          <w:tcPr>
            <w:tcW w:w="1343" w:type="pct"/>
            <w:shd w:val="clear" w:color="auto" w:fill="E2EFD9" w:themeFill="accent6" w:themeFillTint="33"/>
          </w:tcPr>
          <w:p w14:paraId="7DAC4CCF" w14:textId="07922935" w:rsidR="00A04224" w:rsidRPr="00927D8F" w:rsidRDefault="00E969D1" w:rsidP="00A0422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100 – 240 V/50 Hz</w:t>
            </w:r>
          </w:p>
        </w:tc>
      </w:tr>
      <w:tr w:rsidR="00A04224" w:rsidRPr="00196E85" w14:paraId="3C54CB45" w14:textId="77777777" w:rsidTr="00E969D1">
        <w:trPr>
          <w:cantSplit/>
          <w:trHeight w:val="284"/>
          <w:jc w:val="center"/>
        </w:trPr>
        <w:tc>
          <w:tcPr>
            <w:tcW w:w="424" w:type="pct"/>
            <w:vAlign w:val="center"/>
          </w:tcPr>
          <w:p w14:paraId="3B101C93" w14:textId="34774D07" w:rsidR="00A04224" w:rsidRDefault="00A04224" w:rsidP="00A0422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14.</w:t>
            </w:r>
          </w:p>
        </w:tc>
        <w:tc>
          <w:tcPr>
            <w:tcW w:w="1144" w:type="pct"/>
            <w:vAlign w:val="center"/>
          </w:tcPr>
          <w:p w14:paraId="74251242" w14:textId="4A748CD6" w:rsidR="00A04224" w:rsidRDefault="00A04224" w:rsidP="00A04224">
            <w:pPr>
              <w:jc w:val="left"/>
              <w:rPr>
                <w:sz w:val="24"/>
              </w:rPr>
            </w:pPr>
            <w:r>
              <w:rPr>
                <w:sz w:val="24"/>
              </w:rPr>
              <w:t>Uzavřený okruh chlazení</w:t>
            </w:r>
            <w:r w:rsidR="002641C9">
              <w:rPr>
                <w:sz w:val="24"/>
              </w:rPr>
              <w:t xml:space="preserve"> bez externího přívodu chladící vody</w:t>
            </w:r>
          </w:p>
        </w:tc>
        <w:tc>
          <w:tcPr>
            <w:tcW w:w="2089" w:type="pct"/>
            <w:vAlign w:val="center"/>
          </w:tcPr>
          <w:p w14:paraId="4D3A6C88" w14:textId="23F6FE6C" w:rsidR="00A04224" w:rsidRDefault="00A04224" w:rsidP="00A04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1343" w:type="pct"/>
            <w:shd w:val="clear" w:color="auto" w:fill="E2EFD9" w:themeFill="accent6" w:themeFillTint="33"/>
            <w:vAlign w:val="center"/>
          </w:tcPr>
          <w:p w14:paraId="55626F4D" w14:textId="0D437B7F" w:rsidR="00A04224" w:rsidRPr="00927D8F" w:rsidRDefault="00E969D1" w:rsidP="00E969D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ANO</w:t>
            </w:r>
          </w:p>
        </w:tc>
      </w:tr>
    </w:tbl>
    <w:p w14:paraId="62C33A3D" w14:textId="1ABED262" w:rsidR="002113B6" w:rsidRPr="002113B6" w:rsidRDefault="002113B6" w:rsidP="00011C17">
      <w:pPr>
        <w:jc w:val="left"/>
      </w:pPr>
    </w:p>
    <w:p w14:paraId="769E2E7E" w14:textId="77777777" w:rsidR="002113B6" w:rsidRDefault="002113B6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2D6A8D0A" w14:textId="77777777" w:rsidR="00011C17" w:rsidRPr="00FF0639" w:rsidRDefault="00FF0639" w:rsidP="00FF0639">
      <w:pPr>
        <w:tabs>
          <w:tab w:val="left" w:pos="5053"/>
        </w:tabs>
        <w:rPr>
          <w:szCs w:val="22"/>
        </w:rPr>
      </w:pPr>
      <w:r>
        <w:rPr>
          <w:b/>
          <w:sz w:val="24"/>
          <w:szCs w:val="22"/>
        </w:rPr>
        <w:lastRenderedPageBreak/>
        <w:t xml:space="preserve">B. Hodnocení </w:t>
      </w:r>
    </w:p>
    <w:p w14:paraId="6BB17672" w14:textId="77777777" w:rsidR="00011C17" w:rsidRPr="00196E85" w:rsidRDefault="00011C17" w:rsidP="00011C17">
      <w:pPr>
        <w:tabs>
          <w:tab w:val="left" w:pos="5053"/>
        </w:tabs>
        <w:rPr>
          <w:szCs w:val="22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3800"/>
        <w:gridCol w:w="4378"/>
        <w:gridCol w:w="3715"/>
        <w:gridCol w:w="2813"/>
      </w:tblGrid>
      <w:tr w:rsidR="00FF0639" w:rsidRPr="00196E85" w14:paraId="2BB8EC4C" w14:textId="77777777" w:rsidTr="002113B6">
        <w:trPr>
          <w:cantSplit/>
          <w:tblHeader/>
          <w:jc w:val="center"/>
        </w:trPr>
        <w:tc>
          <w:tcPr>
            <w:tcW w:w="143" w:type="pct"/>
          </w:tcPr>
          <w:p w14:paraId="1219EE00" w14:textId="77777777" w:rsidR="00FF0639" w:rsidRPr="00196E85" w:rsidRDefault="00FF0639" w:rsidP="002B489B">
            <w:pPr>
              <w:jc w:val="center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1255" w:type="pct"/>
            <w:shd w:val="clear" w:color="auto" w:fill="auto"/>
          </w:tcPr>
          <w:p w14:paraId="07CC2FC6" w14:textId="77777777" w:rsidR="00FF0639" w:rsidRPr="00196E85" w:rsidRDefault="00FF0639" w:rsidP="002B489B">
            <w:pPr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196E85">
              <w:rPr>
                <w:rFonts w:cs="Arial"/>
                <w:b/>
                <w:color w:val="000000" w:themeColor="text1"/>
                <w:szCs w:val="22"/>
              </w:rPr>
              <w:t>Parametr</w:t>
            </w:r>
          </w:p>
        </w:tc>
        <w:tc>
          <w:tcPr>
            <w:tcW w:w="1446" w:type="pct"/>
            <w:shd w:val="clear" w:color="auto" w:fill="auto"/>
          </w:tcPr>
          <w:p w14:paraId="3F517421" w14:textId="77777777" w:rsidR="00FF0639" w:rsidRPr="00196E85" w:rsidRDefault="00FF0639" w:rsidP="002B489B">
            <w:pPr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196E85">
              <w:rPr>
                <w:rFonts w:cs="Arial"/>
                <w:b/>
                <w:color w:val="000000" w:themeColor="text1"/>
                <w:szCs w:val="22"/>
              </w:rPr>
              <w:t xml:space="preserve">Počet bodů </w:t>
            </w:r>
          </w:p>
        </w:tc>
        <w:tc>
          <w:tcPr>
            <w:tcW w:w="1227" w:type="pct"/>
          </w:tcPr>
          <w:p w14:paraId="32E0EE7B" w14:textId="77777777" w:rsidR="00FF0639" w:rsidRPr="00196E85" w:rsidRDefault="00FF0639" w:rsidP="002B489B">
            <w:pPr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Hodnota nabídnutá účastníkem zadávacího řízení</w:t>
            </w:r>
          </w:p>
        </w:tc>
        <w:tc>
          <w:tcPr>
            <w:tcW w:w="929" w:type="pct"/>
          </w:tcPr>
          <w:p w14:paraId="7A29AC03" w14:textId="77777777" w:rsidR="00FF0639" w:rsidRPr="00196E85" w:rsidRDefault="00FF0639" w:rsidP="00FF0639">
            <w:pPr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>
              <w:rPr>
                <w:rFonts w:cs="Arial"/>
                <w:b/>
                <w:color w:val="000000" w:themeColor="text1"/>
                <w:szCs w:val="22"/>
              </w:rPr>
              <w:t xml:space="preserve">Počet bodů přidělený hodnotící komisí  </w:t>
            </w:r>
          </w:p>
        </w:tc>
      </w:tr>
      <w:tr w:rsidR="00FF0639" w:rsidRPr="00196E85" w14:paraId="5C891C1B" w14:textId="77777777" w:rsidTr="002113B6">
        <w:trPr>
          <w:cantSplit/>
          <w:trHeight w:val="495"/>
          <w:jc w:val="center"/>
        </w:trPr>
        <w:tc>
          <w:tcPr>
            <w:tcW w:w="143" w:type="pct"/>
          </w:tcPr>
          <w:p w14:paraId="704DE72A" w14:textId="77777777" w:rsidR="00FF0639" w:rsidRPr="000177D5" w:rsidRDefault="00FF0639" w:rsidP="00C001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77AA2200" w14:textId="6C99B47D" w:rsidR="00FF0639" w:rsidRPr="00196E85" w:rsidRDefault="00A670DE" w:rsidP="00C00175">
            <w:pPr>
              <w:rPr>
                <w:color w:val="000000" w:themeColor="text1"/>
                <w:szCs w:val="22"/>
              </w:rPr>
            </w:pPr>
            <w:r>
              <w:rPr>
                <w:rFonts w:cstheme="minorHAnsi"/>
                <w:sz w:val="24"/>
              </w:rPr>
              <w:t>Výkon v </w:t>
            </w:r>
            <w:proofErr w:type="gramStart"/>
            <w:r>
              <w:rPr>
                <w:rFonts w:cstheme="minorHAnsi"/>
                <w:sz w:val="24"/>
              </w:rPr>
              <w:t>kontinuální</w:t>
            </w:r>
            <w:proofErr w:type="gramEnd"/>
            <w:r>
              <w:rPr>
                <w:rFonts w:cstheme="minorHAnsi"/>
                <w:sz w:val="24"/>
              </w:rPr>
              <w:t xml:space="preserve"> režimu</w:t>
            </w:r>
          </w:p>
        </w:tc>
        <w:tc>
          <w:tcPr>
            <w:tcW w:w="1446" w:type="pct"/>
            <w:shd w:val="clear" w:color="auto" w:fill="auto"/>
          </w:tcPr>
          <w:p w14:paraId="54E761FE" w14:textId="2E1612A3" w:rsidR="00FF0639" w:rsidRPr="00E969D1" w:rsidRDefault="00D437B6" w:rsidP="00C00175">
            <w:pPr>
              <w:rPr>
                <w:rFonts w:cstheme="minorHAnsi"/>
                <w:b/>
                <w:sz w:val="24"/>
              </w:rPr>
            </w:pPr>
            <w:r w:rsidRPr="00E969D1">
              <w:rPr>
                <w:rFonts w:cstheme="minorHAnsi"/>
                <w:b/>
                <w:sz w:val="24"/>
              </w:rPr>
              <w:t>M</w:t>
            </w:r>
            <w:r w:rsidR="00FF0639" w:rsidRPr="00E969D1">
              <w:rPr>
                <w:rFonts w:cstheme="minorHAnsi"/>
                <w:b/>
                <w:sz w:val="24"/>
              </w:rPr>
              <w:t xml:space="preserve">ax. </w:t>
            </w:r>
            <w:r w:rsidR="002641C9" w:rsidRPr="00E969D1">
              <w:rPr>
                <w:rFonts w:cstheme="minorHAnsi"/>
                <w:b/>
                <w:sz w:val="24"/>
              </w:rPr>
              <w:t>40</w:t>
            </w:r>
            <w:r w:rsidR="00FF0639" w:rsidRPr="00E969D1">
              <w:rPr>
                <w:rFonts w:cstheme="minorHAnsi"/>
                <w:b/>
                <w:sz w:val="24"/>
              </w:rPr>
              <w:t xml:space="preserve"> bodů</w:t>
            </w:r>
          </w:p>
          <w:p w14:paraId="4BA74130" w14:textId="77777777" w:rsidR="00FF0639" w:rsidRDefault="00FF0639" w:rsidP="00C00175">
            <w:pPr>
              <w:rPr>
                <w:i/>
                <w:color w:val="000000" w:themeColor="text1"/>
                <w:szCs w:val="22"/>
              </w:rPr>
            </w:pPr>
            <w:r w:rsidRPr="00196E85">
              <w:rPr>
                <w:i/>
                <w:color w:val="000000" w:themeColor="text1"/>
                <w:szCs w:val="22"/>
              </w:rPr>
              <w:t>Jedna z možností:</w:t>
            </w:r>
          </w:p>
          <w:p w14:paraId="4ECDD0EA" w14:textId="057F027F" w:rsidR="00FF0639" w:rsidRDefault="00FF0639" w:rsidP="00C00175">
            <w:pPr>
              <w:rPr>
                <w:color w:val="000000" w:themeColor="text1"/>
                <w:szCs w:val="22"/>
              </w:rPr>
            </w:pPr>
          </w:p>
          <w:p w14:paraId="748F6E44" w14:textId="32197D7B" w:rsidR="00A670DE" w:rsidRDefault="00A670DE" w:rsidP="00C00175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nad 25 W = </w:t>
            </w:r>
            <w:r w:rsidR="002641C9">
              <w:rPr>
                <w:color w:val="000000" w:themeColor="text1"/>
                <w:szCs w:val="22"/>
              </w:rPr>
              <w:t>40</w:t>
            </w:r>
            <w:r>
              <w:rPr>
                <w:color w:val="000000" w:themeColor="text1"/>
                <w:szCs w:val="22"/>
              </w:rPr>
              <w:t xml:space="preserve"> bodů</w:t>
            </w:r>
          </w:p>
          <w:p w14:paraId="5B3639FA" w14:textId="24FCF4EF" w:rsidR="00A670DE" w:rsidRDefault="00A670DE" w:rsidP="00C00175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nad 20 W = </w:t>
            </w:r>
            <w:r w:rsidR="002641C9">
              <w:rPr>
                <w:color w:val="000000" w:themeColor="text1"/>
                <w:szCs w:val="22"/>
              </w:rPr>
              <w:t>30</w:t>
            </w:r>
            <w:r>
              <w:rPr>
                <w:color w:val="000000" w:themeColor="text1"/>
                <w:szCs w:val="22"/>
              </w:rPr>
              <w:t xml:space="preserve"> bodů</w:t>
            </w:r>
          </w:p>
          <w:p w14:paraId="021F16D8" w14:textId="3C400D90" w:rsidR="00A670DE" w:rsidRDefault="00A670DE" w:rsidP="00C00175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nad 15 W = </w:t>
            </w:r>
            <w:r w:rsidR="002641C9">
              <w:rPr>
                <w:color w:val="000000" w:themeColor="text1"/>
                <w:szCs w:val="22"/>
              </w:rPr>
              <w:t>20</w:t>
            </w:r>
            <w:r>
              <w:rPr>
                <w:color w:val="000000" w:themeColor="text1"/>
                <w:szCs w:val="22"/>
              </w:rPr>
              <w:t xml:space="preserve"> bodů</w:t>
            </w:r>
          </w:p>
          <w:p w14:paraId="227EDB02" w14:textId="64E7E41D" w:rsidR="00A670DE" w:rsidRDefault="00A670DE" w:rsidP="00C00175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nad 10 W = 1</w:t>
            </w:r>
            <w:r w:rsidR="002641C9">
              <w:rPr>
                <w:color w:val="000000" w:themeColor="text1"/>
                <w:szCs w:val="22"/>
              </w:rPr>
              <w:t>0</w:t>
            </w:r>
            <w:r>
              <w:rPr>
                <w:color w:val="000000" w:themeColor="text1"/>
                <w:szCs w:val="22"/>
              </w:rPr>
              <w:t xml:space="preserve"> bodů</w:t>
            </w:r>
          </w:p>
          <w:p w14:paraId="523AEB86" w14:textId="0326A46D" w:rsidR="00A670DE" w:rsidRPr="00196E85" w:rsidRDefault="00A670DE" w:rsidP="00C00175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10 W = 0 bodů</w:t>
            </w:r>
          </w:p>
          <w:p w14:paraId="48D48782" w14:textId="77777777" w:rsidR="00FF0639" w:rsidRPr="00196E85" w:rsidRDefault="00FF0639" w:rsidP="00C00175">
            <w:pPr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227" w:type="pct"/>
            <w:shd w:val="clear" w:color="auto" w:fill="E2EFD9" w:themeFill="accent6" w:themeFillTint="33"/>
          </w:tcPr>
          <w:p w14:paraId="1C5F72A6" w14:textId="6979AEB9" w:rsidR="00FF0639" w:rsidRPr="00D40DE1" w:rsidRDefault="00E969D1" w:rsidP="00C00175">
            <w:pPr>
              <w:rPr>
                <w:rFonts w:cstheme="minorHAnsi"/>
                <w:b/>
                <w:sz w:val="24"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lang w:val="en-US"/>
              </w:rPr>
              <w:t>nad</w:t>
            </w:r>
            <w:proofErr w:type="spellEnd"/>
            <w:r>
              <w:rPr>
                <w:rFonts w:cstheme="minorHAnsi"/>
                <w:b/>
                <w:sz w:val="24"/>
                <w:lang w:val="en-US"/>
              </w:rPr>
              <w:t xml:space="preserve"> 25 W</w:t>
            </w:r>
          </w:p>
        </w:tc>
        <w:tc>
          <w:tcPr>
            <w:tcW w:w="929" w:type="pct"/>
          </w:tcPr>
          <w:p w14:paraId="14BE1DC7" w14:textId="77777777" w:rsidR="00FF0639" w:rsidRPr="00D40DE1" w:rsidRDefault="00FF0639" w:rsidP="00C00175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FF0639" w:rsidRPr="00196E85" w14:paraId="7DF55F5D" w14:textId="77777777" w:rsidTr="002113B6">
        <w:trPr>
          <w:cantSplit/>
          <w:jc w:val="center"/>
        </w:trPr>
        <w:tc>
          <w:tcPr>
            <w:tcW w:w="143" w:type="pct"/>
          </w:tcPr>
          <w:p w14:paraId="13081639" w14:textId="77777777" w:rsidR="00FF0639" w:rsidRPr="000177D5" w:rsidRDefault="00FF0639" w:rsidP="00186D4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38493717" w14:textId="1713FCA0" w:rsidR="00FF0639" w:rsidRPr="00196E85" w:rsidRDefault="00A670DE" w:rsidP="00186D47">
            <w:pPr>
              <w:rPr>
                <w:color w:val="000000" w:themeColor="text1"/>
                <w:szCs w:val="22"/>
              </w:rPr>
            </w:pPr>
            <w:proofErr w:type="spellStart"/>
            <w:r>
              <w:rPr>
                <w:rFonts w:cstheme="minorHAnsi"/>
                <w:sz w:val="24"/>
              </w:rPr>
              <w:t>Elipticita</w:t>
            </w:r>
            <w:proofErr w:type="spellEnd"/>
            <w:r>
              <w:rPr>
                <w:rFonts w:cstheme="minorHAnsi"/>
                <w:sz w:val="24"/>
              </w:rPr>
              <w:t xml:space="preserve"> svazku</w:t>
            </w:r>
          </w:p>
        </w:tc>
        <w:tc>
          <w:tcPr>
            <w:tcW w:w="1446" w:type="pct"/>
            <w:shd w:val="clear" w:color="auto" w:fill="auto"/>
          </w:tcPr>
          <w:p w14:paraId="6BD3318A" w14:textId="7AEA8196" w:rsidR="00FF0639" w:rsidRPr="00D40DE1" w:rsidRDefault="00FF0639" w:rsidP="00186D47">
            <w:pPr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M</w:t>
            </w:r>
            <w:r w:rsidRPr="00D40DE1">
              <w:rPr>
                <w:b/>
                <w:color w:val="000000" w:themeColor="text1"/>
                <w:szCs w:val="22"/>
              </w:rPr>
              <w:t>ax</w:t>
            </w:r>
            <w:r>
              <w:rPr>
                <w:b/>
                <w:color w:val="000000" w:themeColor="text1"/>
                <w:szCs w:val="22"/>
              </w:rPr>
              <w:t>.</w:t>
            </w:r>
            <w:r w:rsidRPr="00D40DE1">
              <w:rPr>
                <w:b/>
                <w:color w:val="000000" w:themeColor="text1"/>
                <w:szCs w:val="22"/>
              </w:rPr>
              <w:t xml:space="preserve"> </w:t>
            </w:r>
            <w:r w:rsidR="00F930E8">
              <w:rPr>
                <w:b/>
                <w:color w:val="000000" w:themeColor="text1"/>
                <w:szCs w:val="22"/>
              </w:rPr>
              <w:t>10</w:t>
            </w:r>
            <w:r w:rsidRPr="00D40DE1">
              <w:rPr>
                <w:b/>
                <w:color w:val="000000" w:themeColor="text1"/>
                <w:szCs w:val="22"/>
              </w:rPr>
              <w:t xml:space="preserve"> bodů</w:t>
            </w:r>
          </w:p>
          <w:p w14:paraId="20206037" w14:textId="77777777" w:rsidR="00FF0639" w:rsidRDefault="00FF0639" w:rsidP="00186D47">
            <w:pPr>
              <w:rPr>
                <w:i/>
                <w:color w:val="000000" w:themeColor="text1"/>
                <w:szCs w:val="22"/>
              </w:rPr>
            </w:pPr>
            <w:r w:rsidRPr="00196E85">
              <w:rPr>
                <w:i/>
                <w:color w:val="000000" w:themeColor="text1"/>
                <w:szCs w:val="22"/>
              </w:rPr>
              <w:t>Jedna z možností:</w:t>
            </w:r>
          </w:p>
          <w:p w14:paraId="1517D2CF" w14:textId="77777777" w:rsidR="00FF0639" w:rsidRDefault="00FF0639" w:rsidP="00186D47">
            <w:pPr>
              <w:rPr>
                <w:i/>
                <w:color w:val="000000" w:themeColor="text1"/>
                <w:szCs w:val="22"/>
              </w:rPr>
            </w:pPr>
          </w:p>
          <w:p w14:paraId="36145E89" w14:textId="47FF6DB3" w:rsidR="00FF0639" w:rsidRDefault="00F930E8" w:rsidP="00186D47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Menší než 5 % = 10 bodů</w:t>
            </w:r>
          </w:p>
          <w:p w14:paraId="3C3A3F60" w14:textId="62FE11D8" w:rsidR="00F930E8" w:rsidRDefault="00F930E8" w:rsidP="00F930E8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Menší než 10 % = 5 bodů</w:t>
            </w:r>
          </w:p>
          <w:p w14:paraId="467B86DC" w14:textId="5CFF3DEC" w:rsidR="00FF0639" w:rsidRPr="00196E85" w:rsidRDefault="00F930E8" w:rsidP="00186D47">
            <w:pPr>
              <w:rPr>
                <w:color w:val="000000" w:themeColor="text1"/>
                <w:szCs w:val="22"/>
              </w:rPr>
            </w:pPr>
            <w:proofErr w:type="gramStart"/>
            <w:r>
              <w:rPr>
                <w:color w:val="000000" w:themeColor="text1"/>
                <w:szCs w:val="22"/>
              </w:rPr>
              <w:t>10 %</w:t>
            </w:r>
            <w:r w:rsidR="00FF0639">
              <w:rPr>
                <w:color w:val="000000" w:themeColor="text1"/>
                <w:szCs w:val="22"/>
              </w:rPr>
              <w:t xml:space="preserve"> </w:t>
            </w:r>
            <w:r w:rsidR="00FF0639" w:rsidRPr="00196E85">
              <w:rPr>
                <w:color w:val="000000" w:themeColor="text1"/>
                <w:szCs w:val="22"/>
              </w:rPr>
              <w:t xml:space="preserve"> = 0 </w:t>
            </w:r>
            <w:r w:rsidR="00FF0639">
              <w:rPr>
                <w:color w:val="000000" w:themeColor="text1"/>
                <w:szCs w:val="22"/>
              </w:rPr>
              <w:t>bodů</w:t>
            </w:r>
            <w:proofErr w:type="gramEnd"/>
          </w:p>
          <w:p w14:paraId="0BF17EA4" w14:textId="77777777" w:rsidR="00FF0639" w:rsidRPr="00196E85" w:rsidRDefault="00FF0639" w:rsidP="00186D47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227" w:type="pct"/>
            <w:shd w:val="clear" w:color="auto" w:fill="E2EFD9" w:themeFill="accent6" w:themeFillTint="33"/>
          </w:tcPr>
          <w:p w14:paraId="4A940F74" w14:textId="7C30E058" w:rsidR="00FF0639" w:rsidRDefault="00E969D1" w:rsidP="00186D47">
            <w:pPr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Menší než 5%</w:t>
            </w:r>
          </w:p>
        </w:tc>
        <w:tc>
          <w:tcPr>
            <w:tcW w:w="929" w:type="pct"/>
          </w:tcPr>
          <w:p w14:paraId="2D219F9F" w14:textId="77777777" w:rsidR="00FF0639" w:rsidRDefault="00FF0639" w:rsidP="00186D47">
            <w:pPr>
              <w:rPr>
                <w:b/>
                <w:color w:val="000000" w:themeColor="text1"/>
                <w:szCs w:val="22"/>
              </w:rPr>
            </w:pPr>
          </w:p>
        </w:tc>
      </w:tr>
      <w:tr w:rsidR="00FF0639" w:rsidRPr="00196E85" w14:paraId="3A63E45A" w14:textId="77777777" w:rsidTr="002113B6">
        <w:trPr>
          <w:cantSplit/>
          <w:jc w:val="center"/>
        </w:trPr>
        <w:tc>
          <w:tcPr>
            <w:tcW w:w="143" w:type="pct"/>
          </w:tcPr>
          <w:p w14:paraId="4958735D" w14:textId="77777777" w:rsidR="00FF0639" w:rsidRPr="000177D5" w:rsidRDefault="00FF0639" w:rsidP="00186D4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614E84EF" w14:textId="684C65F1" w:rsidR="00FF0639" w:rsidRPr="00196E85" w:rsidRDefault="00F930E8" w:rsidP="00186D47">
            <w:pPr>
              <w:rPr>
                <w:color w:val="000000" w:themeColor="text1"/>
                <w:szCs w:val="22"/>
              </w:rPr>
            </w:pPr>
            <w:r>
              <w:rPr>
                <w:rFonts w:cstheme="minorHAnsi"/>
                <w:sz w:val="24"/>
              </w:rPr>
              <w:t>Divergence svazku</w:t>
            </w:r>
          </w:p>
        </w:tc>
        <w:tc>
          <w:tcPr>
            <w:tcW w:w="1446" w:type="pct"/>
            <w:shd w:val="clear" w:color="auto" w:fill="auto"/>
          </w:tcPr>
          <w:p w14:paraId="1C4EAFF9" w14:textId="77777777" w:rsidR="00FF0639" w:rsidRPr="00FF0639" w:rsidRDefault="00FF0639" w:rsidP="00186D47">
            <w:pPr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M</w:t>
            </w:r>
            <w:r w:rsidRPr="00FF0639">
              <w:rPr>
                <w:b/>
                <w:color w:val="000000" w:themeColor="text1"/>
                <w:szCs w:val="22"/>
              </w:rPr>
              <w:t>ax. 10 bodů</w:t>
            </w:r>
          </w:p>
          <w:p w14:paraId="11C1B38F" w14:textId="77777777" w:rsidR="00FF0639" w:rsidRDefault="00FF0639" w:rsidP="00186D47">
            <w:pPr>
              <w:rPr>
                <w:rFonts w:cs="Arial"/>
                <w:i/>
              </w:rPr>
            </w:pPr>
            <w:r w:rsidRPr="00400FD4">
              <w:rPr>
                <w:rFonts w:cs="Arial"/>
                <w:i/>
              </w:rPr>
              <w:t>Jedna z možností:</w:t>
            </w:r>
          </w:p>
          <w:p w14:paraId="4F122F18" w14:textId="77777777" w:rsidR="00FF0639" w:rsidRPr="00400FD4" w:rsidRDefault="00FF0639" w:rsidP="00186D47">
            <w:pPr>
              <w:rPr>
                <w:rFonts w:cs="Arial"/>
                <w:i/>
              </w:rPr>
            </w:pPr>
          </w:p>
          <w:p w14:paraId="16C8737E" w14:textId="7F6F6BD4" w:rsidR="00F930E8" w:rsidRDefault="00F930E8" w:rsidP="001752D8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menší než 0,3 </w:t>
            </w:r>
            <w:proofErr w:type="spellStart"/>
            <w:r>
              <w:rPr>
                <w:color w:val="000000" w:themeColor="text1"/>
                <w:szCs w:val="22"/>
              </w:rPr>
              <w:t>mrad</w:t>
            </w:r>
            <w:proofErr w:type="spellEnd"/>
            <w:r>
              <w:rPr>
                <w:color w:val="000000" w:themeColor="text1"/>
                <w:szCs w:val="22"/>
              </w:rPr>
              <w:t xml:space="preserve"> = 10 bodů</w:t>
            </w:r>
          </w:p>
          <w:p w14:paraId="46760A9A" w14:textId="434A9E86" w:rsidR="00FF0639" w:rsidRPr="00400FD4" w:rsidRDefault="00F930E8" w:rsidP="001752D8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menší než 0,5 </w:t>
            </w:r>
            <w:proofErr w:type="spellStart"/>
            <w:r>
              <w:rPr>
                <w:color w:val="000000" w:themeColor="text1"/>
                <w:szCs w:val="22"/>
              </w:rPr>
              <w:t>mrad</w:t>
            </w:r>
            <w:proofErr w:type="spellEnd"/>
            <w:r w:rsidR="00FF0639" w:rsidRPr="00400FD4">
              <w:rPr>
                <w:color w:val="000000" w:themeColor="text1"/>
                <w:szCs w:val="22"/>
              </w:rPr>
              <w:t xml:space="preserve">  = </w:t>
            </w:r>
            <w:r>
              <w:rPr>
                <w:color w:val="000000" w:themeColor="text1"/>
                <w:szCs w:val="22"/>
              </w:rPr>
              <w:t>5</w:t>
            </w:r>
            <w:r w:rsidR="00FF0639" w:rsidRPr="00400FD4">
              <w:rPr>
                <w:color w:val="000000" w:themeColor="text1"/>
                <w:szCs w:val="22"/>
              </w:rPr>
              <w:t xml:space="preserve"> bod</w:t>
            </w:r>
            <w:r>
              <w:rPr>
                <w:color w:val="000000" w:themeColor="text1"/>
                <w:szCs w:val="22"/>
              </w:rPr>
              <w:t>ů</w:t>
            </w:r>
          </w:p>
          <w:p w14:paraId="39819076" w14:textId="0D092DB4" w:rsidR="00FF0639" w:rsidRPr="00196E85" w:rsidRDefault="00F930E8" w:rsidP="00186D47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0,5 </w:t>
            </w:r>
            <w:proofErr w:type="spellStart"/>
            <w:r>
              <w:rPr>
                <w:color w:val="000000" w:themeColor="text1"/>
                <w:szCs w:val="22"/>
              </w:rPr>
              <w:t>mrad</w:t>
            </w:r>
            <w:proofErr w:type="spellEnd"/>
            <w:r w:rsidR="00FF0639" w:rsidRPr="00400FD4">
              <w:rPr>
                <w:color w:val="000000" w:themeColor="text1"/>
                <w:szCs w:val="22"/>
              </w:rPr>
              <w:t xml:space="preserve"> = 0 </w:t>
            </w:r>
            <w:r w:rsidR="00FF0639">
              <w:rPr>
                <w:color w:val="000000" w:themeColor="text1"/>
                <w:szCs w:val="22"/>
              </w:rPr>
              <w:t>bodů</w:t>
            </w:r>
          </w:p>
        </w:tc>
        <w:tc>
          <w:tcPr>
            <w:tcW w:w="1227" w:type="pct"/>
            <w:shd w:val="clear" w:color="auto" w:fill="E2EFD9" w:themeFill="accent6" w:themeFillTint="33"/>
          </w:tcPr>
          <w:p w14:paraId="3A8FC287" w14:textId="100EE75F" w:rsidR="00FF0639" w:rsidRPr="00E969D1" w:rsidRDefault="00E969D1" w:rsidP="00186D47">
            <w:pPr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 xml:space="preserve">Menší než 0,5 </w:t>
            </w:r>
            <w:proofErr w:type="spellStart"/>
            <w:r>
              <w:rPr>
                <w:b/>
                <w:color w:val="000000" w:themeColor="text1"/>
                <w:szCs w:val="22"/>
              </w:rPr>
              <w:t>mrad</w:t>
            </w:r>
            <w:proofErr w:type="spellEnd"/>
          </w:p>
        </w:tc>
        <w:tc>
          <w:tcPr>
            <w:tcW w:w="929" w:type="pct"/>
          </w:tcPr>
          <w:p w14:paraId="38268FB5" w14:textId="77777777" w:rsidR="00FF0639" w:rsidRDefault="00FF0639" w:rsidP="00186D47">
            <w:pPr>
              <w:rPr>
                <w:b/>
                <w:color w:val="000000" w:themeColor="text1"/>
                <w:szCs w:val="22"/>
                <w:u w:val="single"/>
              </w:rPr>
            </w:pPr>
          </w:p>
        </w:tc>
      </w:tr>
      <w:tr w:rsidR="00FF0639" w:rsidRPr="00196E85" w14:paraId="553F61E4" w14:textId="77777777" w:rsidTr="002113B6">
        <w:trPr>
          <w:cantSplit/>
          <w:jc w:val="center"/>
        </w:trPr>
        <w:tc>
          <w:tcPr>
            <w:tcW w:w="143" w:type="pct"/>
          </w:tcPr>
          <w:p w14:paraId="253C231E" w14:textId="77777777" w:rsidR="00FF0639" w:rsidRDefault="00FF0639" w:rsidP="00186D47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0F1C083F" w14:textId="518D92A9" w:rsidR="00FF0639" w:rsidRPr="00F930E8" w:rsidRDefault="00F930E8" w:rsidP="00186D47">
            <w:pPr>
              <w:rPr>
                <w:sz w:val="24"/>
              </w:rPr>
            </w:pPr>
            <w:r w:rsidRPr="00F930E8">
              <w:rPr>
                <w:sz w:val="24"/>
              </w:rPr>
              <w:t>Šum (15 Hz – 50 MHz)</w:t>
            </w:r>
          </w:p>
        </w:tc>
        <w:tc>
          <w:tcPr>
            <w:tcW w:w="1446" w:type="pct"/>
            <w:shd w:val="clear" w:color="auto" w:fill="auto"/>
          </w:tcPr>
          <w:p w14:paraId="45FD1434" w14:textId="49AAD32A" w:rsidR="00FF0639" w:rsidRPr="002A4DDE" w:rsidRDefault="00FF0639" w:rsidP="00186D47">
            <w:pPr>
              <w:rPr>
                <w:b/>
                <w:color w:val="000000" w:themeColor="text1"/>
                <w:szCs w:val="22"/>
              </w:rPr>
            </w:pPr>
            <w:proofErr w:type="gramStart"/>
            <w:r w:rsidRPr="00D437B6">
              <w:rPr>
                <w:b/>
                <w:color w:val="000000" w:themeColor="text1"/>
                <w:szCs w:val="22"/>
              </w:rPr>
              <w:t>Max.  10</w:t>
            </w:r>
            <w:proofErr w:type="gramEnd"/>
            <w:r w:rsidRPr="00196E85">
              <w:rPr>
                <w:color w:val="000000" w:themeColor="text1"/>
                <w:szCs w:val="22"/>
              </w:rPr>
              <w:t xml:space="preserve"> </w:t>
            </w:r>
            <w:r w:rsidRPr="00196E85">
              <w:rPr>
                <w:b/>
                <w:color w:val="000000" w:themeColor="text1"/>
                <w:szCs w:val="22"/>
              </w:rPr>
              <w:t>b</w:t>
            </w:r>
            <w:r>
              <w:rPr>
                <w:b/>
                <w:color w:val="000000" w:themeColor="text1"/>
                <w:szCs w:val="22"/>
              </w:rPr>
              <w:t>odů</w:t>
            </w:r>
          </w:p>
          <w:p w14:paraId="18FCDE05" w14:textId="77777777" w:rsidR="00FF0639" w:rsidRPr="00196E85" w:rsidRDefault="00FF0639" w:rsidP="00186D47">
            <w:pPr>
              <w:rPr>
                <w:i/>
                <w:color w:val="000000" w:themeColor="text1"/>
                <w:szCs w:val="22"/>
              </w:rPr>
            </w:pPr>
            <w:r w:rsidRPr="00196E85">
              <w:rPr>
                <w:i/>
                <w:color w:val="000000" w:themeColor="text1"/>
                <w:szCs w:val="22"/>
              </w:rPr>
              <w:t>Jedna z možností:</w:t>
            </w:r>
          </w:p>
          <w:p w14:paraId="453E1572" w14:textId="77777777" w:rsidR="00F930E8" w:rsidRDefault="00F930E8" w:rsidP="00186D47">
            <w:pPr>
              <w:rPr>
                <w:color w:val="000000" w:themeColor="text1"/>
                <w:szCs w:val="22"/>
              </w:rPr>
            </w:pPr>
          </w:p>
          <w:p w14:paraId="4705C463" w14:textId="48C005F6" w:rsidR="00F930E8" w:rsidRDefault="00F930E8" w:rsidP="00186D47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menší než 0.02% = 10 bodů</w:t>
            </w:r>
          </w:p>
          <w:p w14:paraId="27701242" w14:textId="79C99FD6" w:rsidR="00FF0639" w:rsidRDefault="00F930E8" w:rsidP="00186D47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menší než 0,05 % = 5 bodů</w:t>
            </w:r>
          </w:p>
          <w:p w14:paraId="11793E9A" w14:textId="1C6AFF9D" w:rsidR="00FF0639" w:rsidRPr="00196E85" w:rsidRDefault="00F930E8" w:rsidP="00186D47">
            <w:pPr>
              <w:rPr>
                <w:color w:val="000000" w:themeColor="text1"/>
                <w:szCs w:val="22"/>
              </w:rPr>
            </w:pPr>
            <w:proofErr w:type="gramStart"/>
            <w:r>
              <w:rPr>
                <w:color w:val="000000" w:themeColor="text1"/>
                <w:szCs w:val="22"/>
              </w:rPr>
              <w:t>0,05 %</w:t>
            </w:r>
            <w:r w:rsidR="00FF0639">
              <w:rPr>
                <w:color w:val="000000" w:themeColor="text1"/>
                <w:szCs w:val="22"/>
              </w:rPr>
              <w:t xml:space="preserve"> </w:t>
            </w:r>
            <w:r w:rsidR="00FF0639" w:rsidRPr="00196E85">
              <w:rPr>
                <w:color w:val="000000" w:themeColor="text1"/>
                <w:szCs w:val="22"/>
              </w:rPr>
              <w:t xml:space="preserve"> = 0 b</w:t>
            </w:r>
            <w:r w:rsidR="00FF0639">
              <w:rPr>
                <w:color w:val="000000" w:themeColor="text1"/>
                <w:szCs w:val="22"/>
              </w:rPr>
              <w:t>odů</w:t>
            </w:r>
            <w:proofErr w:type="gramEnd"/>
          </w:p>
        </w:tc>
        <w:tc>
          <w:tcPr>
            <w:tcW w:w="1227" w:type="pct"/>
            <w:shd w:val="clear" w:color="auto" w:fill="E2EFD9" w:themeFill="accent6" w:themeFillTint="33"/>
          </w:tcPr>
          <w:p w14:paraId="73635E80" w14:textId="26CED7D8" w:rsidR="00FF0639" w:rsidRPr="00E969D1" w:rsidRDefault="00E969D1" w:rsidP="00186D47">
            <w:pPr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Menší než 0,02%</w:t>
            </w:r>
          </w:p>
        </w:tc>
        <w:tc>
          <w:tcPr>
            <w:tcW w:w="929" w:type="pct"/>
          </w:tcPr>
          <w:p w14:paraId="462D5C6B" w14:textId="77777777" w:rsidR="00FF0639" w:rsidRDefault="00FF0639" w:rsidP="00186D47">
            <w:pPr>
              <w:rPr>
                <w:b/>
                <w:color w:val="000000" w:themeColor="text1"/>
                <w:szCs w:val="22"/>
                <w:u w:val="single"/>
              </w:rPr>
            </w:pPr>
          </w:p>
        </w:tc>
      </w:tr>
      <w:tr w:rsidR="002A4DDE" w:rsidRPr="00196E85" w14:paraId="01D6E41D" w14:textId="77777777" w:rsidTr="002113B6">
        <w:trPr>
          <w:cantSplit/>
          <w:trHeight w:val="658"/>
          <w:jc w:val="center"/>
        </w:trPr>
        <w:tc>
          <w:tcPr>
            <w:tcW w:w="143" w:type="pct"/>
          </w:tcPr>
          <w:p w14:paraId="7B9B4CAE" w14:textId="77777777" w:rsidR="002A4DDE" w:rsidRDefault="002A4DDE" w:rsidP="002A4DD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5.</w:t>
            </w:r>
          </w:p>
        </w:tc>
        <w:tc>
          <w:tcPr>
            <w:tcW w:w="1255" w:type="pct"/>
            <w:shd w:val="clear" w:color="auto" w:fill="auto"/>
          </w:tcPr>
          <w:p w14:paraId="0FD99BC9" w14:textId="32674EA4" w:rsidR="002A4DDE" w:rsidRPr="002A4DDE" w:rsidRDefault="002A4DDE" w:rsidP="002A4DDE">
            <w:pPr>
              <w:rPr>
                <w:rFonts w:cs="Arial"/>
                <w:sz w:val="24"/>
              </w:rPr>
            </w:pPr>
            <w:r w:rsidRPr="002A4DDE">
              <w:rPr>
                <w:rFonts w:cs="Arial"/>
                <w:sz w:val="24"/>
              </w:rPr>
              <w:t xml:space="preserve">Stabilita výstupního výkonu   </w:t>
            </w:r>
          </w:p>
        </w:tc>
        <w:tc>
          <w:tcPr>
            <w:tcW w:w="1446" w:type="pct"/>
            <w:shd w:val="clear" w:color="auto" w:fill="auto"/>
          </w:tcPr>
          <w:p w14:paraId="3DB0AFF2" w14:textId="5ABF2F5F" w:rsidR="002A4DDE" w:rsidRPr="00A41A68" w:rsidRDefault="002A4DDE" w:rsidP="002A4DDE">
            <w:pPr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M</w:t>
            </w:r>
            <w:r w:rsidRPr="00A41A68">
              <w:rPr>
                <w:b/>
                <w:color w:val="000000" w:themeColor="text1"/>
                <w:szCs w:val="22"/>
              </w:rPr>
              <w:t>ax</w:t>
            </w:r>
            <w:r>
              <w:rPr>
                <w:b/>
                <w:color w:val="000000" w:themeColor="text1"/>
                <w:szCs w:val="22"/>
              </w:rPr>
              <w:t>.</w:t>
            </w:r>
            <w:r w:rsidRPr="00A41A68">
              <w:rPr>
                <w:b/>
                <w:color w:val="000000" w:themeColor="text1"/>
                <w:szCs w:val="22"/>
              </w:rPr>
              <w:t xml:space="preserve"> </w:t>
            </w:r>
            <w:r>
              <w:rPr>
                <w:b/>
                <w:color w:val="000000" w:themeColor="text1"/>
                <w:szCs w:val="22"/>
              </w:rPr>
              <w:t>10</w:t>
            </w:r>
            <w:r w:rsidRPr="00A41A68">
              <w:rPr>
                <w:b/>
                <w:color w:val="000000" w:themeColor="text1"/>
                <w:szCs w:val="22"/>
              </w:rPr>
              <w:t xml:space="preserve"> bodů</w:t>
            </w:r>
          </w:p>
          <w:p w14:paraId="37A63483" w14:textId="3973C44E" w:rsidR="002A4DDE" w:rsidRDefault="002A4DDE" w:rsidP="002A4DDE">
            <w:pPr>
              <w:rPr>
                <w:i/>
                <w:color w:val="000000" w:themeColor="text1"/>
                <w:szCs w:val="22"/>
              </w:rPr>
            </w:pPr>
            <w:r w:rsidRPr="00196E85">
              <w:rPr>
                <w:i/>
                <w:color w:val="000000" w:themeColor="text1"/>
                <w:szCs w:val="22"/>
              </w:rPr>
              <w:t>Jedna z možností:</w:t>
            </w:r>
          </w:p>
          <w:p w14:paraId="293EBA35" w14:textId="77777777" w:rsidR="002A4DDE" w:rsidRDefault="002A4DDE" w:rsidP="002A4DDE">
            <w:pPr>
              <w:rPr>
                <w:b/>
                <w:color w:val="000000" w:themeColor="text1"/>
                <w:szCs w:val="22"/>
                <w:u w:val="single"/>
              </w:rPr>
            </w:pPr>
          </w:p>
          <w:p w14:paraId="7E394F17" w14:textId="5A0C8949" w:rsidR="002A4DDE" w:rsidRDefault="005317B2" w:rsidP="002A4DDE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lepší</w:t>
            </w:r>
            <w:r w:rsidR="002A4DDE">
              <w:rPr>
                <w:color w:val="000000" w:themeColor="text1"/>
                <w:szCs w:val="22"/>
              </w:rPr>
              <w:t xml:space="preserve"> </w:t>
            </w:r>
            <w:proofErr w:type="gramStart"/>
            <w:r w:rsidR="002A4DDE">
              <w:rPr>
                <w:color w:val="000000" w:themeColor="text1"/>
                <w:szCs w:val="22"/>
              </w:rPr>
              <w:t xml:space="preserve">než 1 % </w:t>
            </w:r>
            <w:r w:rsidR="002A4DDE" w:rsidRPr="00196E85">
              <w:rPr>
                <w:color w:val="000000" w:themeColor="text1"/>
                <w:szCs w:val="22"/>
              </w:rPr>
              <w:t xml:space="preserve"> = </w:t>
            </w:r>
            <w:r w:rsidR="002A4DDE">
              <w:rPr>
                <w:color w:val="000000" w:themeColor="text1"/>
                <w:szCs w:val="22"/>
              </w:rPr>
              <w:t>10</w:t>
            </w:r>
            <w:proofErr w:type="gramEnd"/>
            <w:r w:rsidR="002A4DDE" w:rsidRPr="00196E85">
              <w:rPr>
                <w:color w:val="000000" w:themeColor="text1"/>
                <w:szCs w:val="22"/>
              </w:rPr>
              <w:t xml:space="preserve"> b</w:t>
            </w:r>
            <w:r w:rsidR="002A4DDE">
              <w:rPr>
                <w:color w:val="000000" w:themeColor="text1"/>
                <w:szCs w:val="22"/>
              </w:rPr>
              <w:t xml:space="preserve">odů </w:t>
            </w:r>
          </w:p>
          <w:p w14:paraId="779C2CD3" w14:textId="3CFC7592" w:rsidR="002A4DDE" w:rsidRDefault="005317B2" w:rsidP="002A4DDE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lepší</w:t>
            </w:r>
            <w:r w:rsidR="002A4DDE">
              <w:rPr>
                <w:color w:val="000000" w:themeColor="text1"/>
                <w:szCs w:val="22"/>
              </w:rPr>
              <w:t xml:space="preserve"> než </w:t>
            </w:r>
            <w:proofErr w:type="gramStart"/>
            <w:r w:rsidR="002A4DDE">
              <w:rPr>
                <w:color w:val="000000" w:themeColor="text1"/>
                <w:szCs w:val="22"/>
              </w:rPr>
              <w:t xml:space="preserve">1,5 % </w:t>
            </w:r>
            <w:r w:rsidR="002A4DDE" w:rsidRPr="00196E85">
              <w:rPr>
                <w:color w:val="000000" w:themeColor="text1"/>
                <w:szCs w:val="22"/>
              </w:rPr>
              <w:t xml:space="preserve"> = </w:t>
            </w:r>
            <w:r w:rsidR="002A4DDE">
              <w:rPr>
                <w:color w:val="000000" w:themeColor="text1"/>
                <w:szCs w:val="22"/>
              </w:rPr>
              <w:t>5</w:t>
            </w:r>
            <w:r w:rsidR="002A4DDE" w:rsidRPr="00196E85">
              <w:rPr>
                <w:color w:val="000000" w:themeColor="text1"/>
                <w:szCs w:val="22"/>
              </w:rPr>
              <w:t xml:space="preserve"> b</w:t>
            </w:r>
            <w:r w:rsidR="002A4DDE">
              <w:rPr>
                <w:color w:val="000000" w:themeColor="text1"/>
                <w:szCs w:val="22"/>
              </w:rPr>
              <w:t>odů</w:t>
            </w:r>
            <w:proofErr w:type="gramEnd"/>
            <w:r w:rsidR="002A4DDE">
              <w:rPr>
                <w:color w:val="000000" w:themeColor="text1"/>
                <w:szCs w:val="22"/>
              </w:rPr>
              <w:t xml:space="preserve"> </w:t>
            </w:r>
          </w:p>
          <w:p w14:paraId="5102CD70" w14:textId="2FA1DF0A" w:rsidR="002A4DDE" w:rsidRPr="00196E85" w:rsidRDefault="002A4DDE" w:rsidP="002A4DDE">
            <w:pPr>
              <w:rPr>
                <w:b/>
                <w:color w:val="000000" w:themeColor="text1"/>
                <w:szCs w:val="22"/>
                <w:u w:val="single"/>
              </w:rPr>
            </w:pPr>
            <w:proofErr w:type="gramStart"/>
            <w:r>
              <w:rPr>
                <w:color w:val="000000" w:themeColor="text1"/>
                <w:szCs w:val="22"/>
              </w:rPr>
              <w:t xml:space="preserve">1,5 % </w:t>
            </w:r>
            <w:r w:rsidRPr="00196E85">
              <w:rPr>
                <w:color w:val="000000" w:themeColor="text1"/>
                <w:szCs w:val="22"/>
              </w:rPr>
              <w:t xml:space="preserve"> = 0 b</w:t>
            </w:r>
            <w:r>
              <w:rPr>
                <w:color w:val="000000" w:themeColor="text1"/>
                <w:szCs w:val="22"/>
              </w:rPr>
              <w:t>odů</w:t>
            </w:r>
            <w:proofErr w:type="gramEnd"/>
          </w:p>
        </w:tc>
        <w:tc>
          <w:tcPr>
            <w:tcW w:w="1227" w:type="pct"/>
            <w:shd w:val="clear" w:color="auto" w:fill="E2EFD9" w:themeFill="accent6" w:themeFillTint="33"/>
          </w:tcPr>
          <w:p w14:paraId="73900FC3" w14:textId="683B3303" w:rsidR="002A4DDE" w:rsidRPr="00E969D1" w:rsidRDefault="00E969D1" w:rsidP="002A4DDE">
            <w:pPr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Lepší než 1%</w:t>
            </w:r>
          </w:p>
        </w:tc>
        <w:tc>
          <w:tcPr>
            <w:tcW w:w="929" w:type="pct"/>
          </w:tcPr>
          <w:p w14:paraId="78B99004" w14:textId="77777777" w:rsidR="002A4DDE" w:rsidRDefault="002A4DDE" w:rsidP="002A4DDE">
            <w:pPr>
              <w:rPr>
                <w:b/>
                <w:color w:val="000000" w:themeColor="text1"/>
                <w:szCs w:val="22"/>
                <w:u w:val="single"/>
              </w:rPr>
            </w:pPr>
          </w:p>
        </w:tc>
      </w:tr>
      <w:tr w:rsidR="002A4DDE" w:rsidRPr="00196E85" w14:paraId="0E300C1F" w14:textId="77777777" w:rsidTr="00FD314C">
        <w:trPr>
          <w:cantSplit/>
          <w:jc w:val="center"/>
        </w:trPr>
        <w:tc>
          <w:tcPr>
            <w:tcW w:w="143" w:type="pct"/>
          </w:tcPr>
          <w:p w14:paraId="2BF9ED5A" w14:textId="77777777" w:rsidR="002A4DDE" w:rsidRPr="000177D5" w:rsidRDefault="002A4DDE" w:rsidP="002A4DDE">
            <w:pPr>
              <w:jc w:val="lef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6.</w:t>
            </w:r>
          </w:p>
        </w:tc>
        <w:tc>
          <w:tcPr>
            <w:tcW w:w="1255" w:type="pct"/>
            <w:shd w:val="clear" w:color="auto" w:fill="auto"/>
          </w:tcPr>
          <w:p w14:paraId="2E134DBF" w14:textId="4E7F2E6A" w:rsidR="002A4DDE" w:rsidRPr="002A4DDE" w:rsidRDefault="002A4DDE" w:rsidP="002A4DDE">
            <w:pPr>
              <w:jc w:val="left"/>
              <w:rPr>
                <w:color w:val="000000" w:themeColor="text1"/>
                <w:sz w:val="24"/>
              </w:rPr>
            </w:pPr>
            <w:r w:rsidRPr="002A4DDE">
              <w:rPr>
                <w:rFonts w:cs="Arial"/>
                <w:sz w:val="24"/>
              </w:rPr>
              <w:t xml:space="preserve">Nabídková cena   </w:t>
            </w:r>
          </w:p>
        </w:tc>
        <w:tc>
          <w:tcPr>
            <w:tcW w:w="1446" w:type="pct"/>
            <w:shd w:val="clear" w:color="auto" w:fill="auto"/>
          </w:tcPr>
          <w:p w14:paraId="002483BC" w14:textId="77777777" w:rsidR="002A4DDE" w:rsidRPr="00400FD4" w:rsidRDefault="002A4DDE" w:rsidP="002A4DDE">
            <w:pPr>
              <w:rPr>
                <w:color w:val="000000" w:themeColor="text1"/>
                <w:szCs w:val="22"/>
              </w:rPr>
            </w:pPr>
            <w:r w:rsidRPr="00400FD4">
              <w:rPr>
                <w:b/>
                <w:color w:val="000000" w:themeColor="text1"/>
                <w:szCs w:val="22"/>
              </w:rPr>
              <w:t>Max. 10 bodů</w:t>
            </w:r>
            <w:r w:rsidRPr="00400FD4">
              <w:rPr>
                <w:color w:val="000000" w:themeColor="text1"/>
                <w:szCs w:val="22"/>
              </w:rPr>
              <w:t xml:space="preserve"> (zaokrouhleno na 1 desetinné místo)</w:t>
            </w:r>
          </w:p>
          <w:p w14:paraId="13DE7401" w14:textId="77777777" w:rsidR="002A4DDE" w:rsidRPr="00400FD4" w:rsidRDefault="002A4DDE" w:rsidP="002A4DDE">
            <w:pPr>
              <w:rPr>
                <w:color w:val="000000" w:themeColor="text1"/>
                <w:szCs w:val="22"/>
              </w:rPr>
            </w:pPr>
          </w:p>
          <w:p w14:paraId="35A67C18" w14:textId="58150063" w:rsidR="002A4DDE" w:rsidRPr="00196E85" w:rsidRDefault="002A4DDE" w:rsidP="002A4DDE">
            <w:pPr>
              <w:rPr>
                <w:color w:val="000000" w:themeColor="text1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2"/>
                  </w:rPr>
                  <m:t>10*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>Hodnota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>nejv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>ý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>hodn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>ě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 xml:space="preserve">ší 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>nab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>í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>dky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>Hodnota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>hodnocen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 xml:space="preserve">é 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>nab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>í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>dky</m:t>
                    </m:r>
                  </m:den>
                </m:f>
              </m:oMath>
            </m:oMathPara>
          </w:p>
        </w:tc>
        <w:tc>
          <w:tcPr>
            <w:tcW w:w="1227" w:type="pct"/>
            <w:shd w:val="clear" w:color="auto" w:fill="E2EFD9" w:themeFill="accent6" w:themeFillTint="33"/>
          </w:tcPr>
          <w:p w14:paraId="4EF37D35" w14:textId="55465D46" w:rsidR="002A4DDE" w:rsidRDefault="00E969D1" w:rsidP="002A4DDE">
            <w:pPr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1 280 000,00 Kč</w:t>
            </w:r>
          </w:p>
        </w:tc>
        <w:tc>
          <w:tcPr>
            <w:tcW w:w="929" w:type="pct"/>
          </w:tcPr>
          <w:p w14:paraId="6E1747F2" w14:textId="77777777" w:rsidR="002A4DDE" w:rsidRDefault="002A4DDE" w:rsidP="002A4DDE">
            <w:pPr>
              <w:rPr>
                <w:b/>
                <w:color w:val="000000" w:themeColor="text1"/>
                <w:szCs w:val="22"/>
              </w:rPr>
            </w:pPr>
          </w:p>
        </w:tc>
      </w:tr>
      <w:tr w:rsidR="002641C9" w:rsidRPr="00196E85" w14:paraId="2CA8072C" w14:textId="77777777" w:rsidTr="00C95207">
        <w:trPr>
          <w:cantSplit/>
          <w:jc w:val="center"/>
        </w:trPr>
        <w:tc>
          <w:tcPr>
            <w:tcW w:w="143" w:type="pct"/>
          </w:tcPr>
          <w:p w14:paraId="391732B5" w14:textId="02F904AF" w:rsidR="002641C9" w:rsidRDefault="002641C9" w:rsidP="002641C9">
            <w:pPr>
              <w:jc w:val="lef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7.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274A2A3B" w14:textId="583DAB69" w:rsidR="002641C9" w:rsidRDefault="002641C9" w:rsidP="002641C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Záruční doba nad </w:t>
            </w:r>
            <w:r w:rsidR="005317B2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rok</w:t>
            </w:r>
          </w:p>
          <w:p w14:paraId="50E5B236" w14:textId="77777777" w:rsidR="00277AFB" w:rsidRDefault="00277AFB" w:rsidP="002641C9">
            <w:pPr>
              <w:jc w:val="left"/>
              <w:rPr>
                <w:rFonts w:cs="Arial"/>
              </w:rPr>
            </w:pPr>
          </w:p>
          <w:p w14:paraId="1FC15DF1" w14:textId="77777777" w:rsidR="00277AFB" w:rsidRDefault="00277AFB" w:rsidP="00277AFB">
            <w:r w:rsidRPr="00A93D58">
              <w:rPr>
                <w:rFonts w:cs="Arial"/>
                <w:i/>
              </w:rPr>
              <w:t>Zadavatel požaduje délku záruky min.</w:t>
            </w:r>
            <w:r>
              <w:rPr>
                <w:rFonts w:cs="Arial"/>
                <w:i/>
              </w:rPr>
              <w:t xml:space="preserve"> 1</w:t>
            </w:r>
            <w:r w:rsidRPr="00A93D58">
              <w:rPr>
                <w:rFonts w:cs="Arial"/>
                <w:i/>
              </w:rPr>
              <w:t xml:space="preserve"> rok</w:t>
            </w:r>
          </w:p>
          <w:p w14:paraId="6342D6B9" w14:textId="77777777" w:rsidR="004E5CB0" w:rsidRDefault="004E5CB0" w:rsidP="002641C9">
            <w:pPr>
              <w:jc w:val="left"/>
              <w:rPr>
                <w:rFonts w:cs="Arial"/>
              </w:rPr>
            </w:pPr>
          </w:p>
          <w:p w14:paraId="4A011714" w14:textId="02A27BE7" w:rsidR="004E5CB0" w:rsidRPr="004E5CB0" w:rsidRDefault="004E5CB0" w:rsidP="002641C9">
            <w:pPr>
              <w:jc w:val="left"/>
              <w:rPr>
                <w:rFonts w:cs="Arial"/>
                <w:i/>
                <w:sz w:val="24"/>
              </w:rPr>
            </w:pPr>
          </w:p>
        </w:tc>
        <w:tc>
          <w:tcPr>
            <w:tcW w:w="1446" w:type="pct"/>
            <w:shd w:val="clear" w:color="auto" w:fill="auto"/>
          </w:tcPr>
          <w:p w14:paraId="03A51C29" w14:textId="77777777" w:rsidR="002641C9" w:rsidRPr="00196E85" w:rsidRDefault="002641C9" w:rsidP="002641C9">
            <w:pPr>
              <w:rPr>
                <w:b/>
                <w:color w:val="000000" w:themeColor="text1"/>
                <w:szCs w:val="22"/>
              </w:rPr>
            </w:pPr>
            <w:proofErr w:type="gramStart"/>
            <w:r>
              <w:rPr>
                <w:b/>
                <w:color w:val="000000" w:themeColor="text1"/>
                <w:szCs w:val="22"/>
                <w:u w:val="single"/>
              </w:rPr>
              <w:t xml:space="preserve">Max. </w:t>
            </w:r>
            <w:r w:rsidRPr="00196E85">
              <w:rPr>
                <w:b/>
                <w:color w:val="000000" w:themeColor="text1"/>
                <w:szCs w:val="22"/>
                <w:u w:val="single"/>
              </w:rPr>
              <w:t xml:space="preserve"> 10</w:t>
            </w:r>
            <w:proofErr w:type="gramEnd"/>
            <w:r w:rsidRPr="00196E85">
              <w:rPr>
                <w:color w:val="000000" w:themeColor="text1"/>
                <w:szCs w:val="22"/>
              </w:rPr>
              <w:t xml:space="preserve"> </w:t>
            </w:r>
            <w:r w:rsidRPr="00196E85">
              <w:rPr>
                <w:b/>
                <w:color w:val="000000" w:themeColor="text1"/>
                <w:szCs w:val="22"/>
              </w:rPr>
              <w:t>b</w:t>
            </w:r>
            <w:r>
              <w:rPr>
                <w:b/>
                <w:color w:val="000000" w:themeColor="text1"/>
                <w:szCs w:val="22"/>
              </w:rPr>
              <w:t>odů</w:t>
            </w:r>
          </w:p>
          <w:p w14:paraId="60EB5DDC" w14:textId="31B66AA4" w:rsidR="002641C9" w:rsidRDefault="002641C9" w:rsidP="002641C9">
            <w:pPr>
              <w:rPr>
                <w:i/>
                <w:color w:val="000000" w:themeColor="text1"/>
                <w:szCs w:val="22"/>
              </w:rPr>
            </w:pPr>
            <w:r w:rsidRPr="00196E85">
              <w:rPr>
                <w:i/>
                <w:color w:val="000000" w:themeColor="text1"/>
                <w:szCs w:val="22"/>
              </w:rPr>
              <w:t>Jedna z možností:</w:t>
            </w:r>
          </w:p>
          <w:p w14:paraId="3E25E36A" w14:textId="77777777" w:rsidR="00773ABE" w:rsidRPr="00196E85" w:rsidRDefault="00773ABE" w:rsidP="002641C9">
            <w:pPr>
              <w:rPr>
                <w:i/>
                <w:color w:val="000000" w:themeColor="text1"/>
                <w:szCs w:val="22"/>
              </w:rPr>
            </w:pPr>
          </w:p>
          <w:p w14:paraId="4DC10199" w14:textId="442DFA58" w:rsidR="00773ABE" w:rsidRDefault="00773ABE" w:rsidP="00773ABE">
            <w:pPr>
              <w:spacing w:line="252" w:lineRule="auto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≥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="005317B2">
              <w:rPr>
                <w:color w:val="000000" w:themeColor="text1"/>
                <w:szCs w:val="22"/>
              </w:rPr>
              <w:t>4</w:t>
            </w:r>
            <w:r>
              <w:rPr>
                <w:color w:val="000000" w:themeColor="text1"/>
                <w:szCs w:val="22"/>
              </w:rPr>
              <w:t xml:space="preserve"> rok</w:t>
            </w:r>
            <w:r w:rsidR="005317B2">
              <w:rPr>
                <w:color w:val="000000" w:themeColor="text1"/>
                <w:szCs w:val="22"/>
              </w:rPr>
              <w:t>y</w:t>
            </w:r>
            <w:r>
              <w:rPr>
                <w:color w:val="000000" w:themeColor="text1"/>
                <w:szCs w:val="22"/>
              </w:rPr>
              <w:t xml:space="preserve"> = 10 bodů</w:t>
            </w:r>
            <w:r>
              <w:rPr>
                <w:rFonts w:cstheme="minorHAnsi"/>
                <w:color w:val="000000" w:themeColor="text1"/>
                <w:szCs w:val="22"/>
              </w:rPr>
              <w:t xml:space="preserve"> </w:t>
            </w:r>
          </w:p>
          <w:p w14:paraId="00672E3E" w14:textId="31A1E379" w:rsidR="00773ABE" w:rsidRDefault="00773ABE" w:rsidP="00773ABE">
            <w:pPr>
              <w:spacing w:line="252" w:lineRule="auto"/>
              <w:rPr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≥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="005317B2">
              <w:rPr>
                <w:color w:val="000000" w:themeColor="text1"/>
                <w:szCs w:val="22"/>
              </w:rPr>
              <w:t>3</w:t>
            </w:r>
            <w:r>
              <w:rPr>
                <w:color w:val="000000" w:themeColor="text1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Cs w:val="22"/>
              </w:rPr>
              <w:t>roky  = 8 bodů</w:t>
            </w:r>
            <w:proofErr w:type="gramEnd"/>
            <w:r>
              <w:rPr>
                <w:color w:val="000000" w:themeColor="text1"/>
                <w:szCs w:val="22"/>
              </w:rPr>
              <w:t xml:space="preserve"> </w:t>
            </w:r>
          </w:p>
          <w:p w14:paraId="1165A3F8" w14:textId="27D05EB8" w:rsidR="00773ABE" w:rsidRDefault="00773ABE" w:rsidP="00773ABE">
            <w:pPr>
              <w:spacing w:line="252" w:lineRule="auto"/>
              <w:rPr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≥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="005317B2">
              <w:rPr>
                <w:color w:val="000000" w:themeColor="text1"/>
                <w:szCs w:val="22"/>
              </w:rPr>
              <w:t>2</w:t>
            </w:r>
            <w:r>
              <w:rPr>
                <w:color w:val="000000" w:themeColor="text1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Cs w:val="22"/>
              </w:rPr>
              <w:t>roky  = 4 bodů</w:t>
            </w:r>
            <w:proofErr w:type="gramEnd"/>
            <w:r>
              <w:rPr>
                <w:color w:val="000000" w:themeColor="text1"/>
                <w:szCs w:val="22"/>
              </w:rPr>
              <w:t xml:space="preserve"> </w:t>
            </w:r>
          </w:p>
          <w:p w14:paraId="0350115A" w14:textId="5141EDFB" w:rsidR="00773ABE" w:rsidRDefault="00773ABE" w:rsidP="00773ABE">
            <w:pPr>
              <w:spacing w:line="252" w:lineRule="auto"/>
              <w:rPr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≥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="005317B2">
              <w:rPr>
                <w:color w:val="000000" w:themeColor="text1"/>
                <w:szCs w:val="22"/>
              </w:rPr>
              <w:t>1</w:t>
            </w:r>
            <w:r>
              <w:rPr>
                <w:color w:val="000000" w:themeColor="text1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Cs w:val="22"/>
              </w:rPr>
              <w:t>rok  = 0 bodů</w:t>
            </w:r>
            <w:proofErr w:type="gramEnd"/>
            <w:r>
              <w:rPr>
                <w:color w:val="000000" w:themeColor="text1"/>
                <w:szCs w:val="22"/>
              </w:rPr>
              <w:t xml:space="preserve"> </w:t>
            </w:r>
          </w:p>
          <w:p w14:paraId="26DF457D" w14:textId="5B9066B4" w:rsidR="002641C9" w:rsidRPr="00400FD4" w:rsidRDefault="002641C9" w:rsidP="002641C9">
            <w:pPr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1227" w:type="pct"/>
            <w:shd w:val="clear" w:color="auto" w:fill="E2EFD9" w:themeFill="accent6" w:themeFillTint="33"/>
          </w:tcPr>
          <w:p w14:paraId="5E79A37A" w14:textId="07752AC3" w:rsidR="002641C9" w:rsidRDefault="00E969D1" w:rsidP="002641C9">
            <w:pPr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3 roky</w:t>
            </w:r>
          </w:p>
        </w:tc>
        <w:tc>
          <w:tcPr>
            <w:tcW w:w="929" w:type="pct"/>
          </w:tcPr>
          <w:p w14:paraId="7B815BB4" w14:textId="77777777" w:rsidR="002641C9" w:rsidRDefault="002641C9" w:rsidP="002641C9">
            <w:pPr>
              <w:rPr>
                <w:b/>
                <w:color w:val="000000" w:themeColor="text1"/>
                <w:szCs w:val="22"/>
              </w:rPr>
            </w:pPr>
          </w:p>
        </w:tc>
      </w:tr>
      <w:tr w:rsidR="002641C9" w:rsidRPr="00196E85" w14:paraId="56B3C820" w14:textId="77777777" w:rsidTr="002113B6">
        <w:trPr>
          <w:cantSplit/>
          <w:trHeight w:val="611"/>
          <w:jc w:val="center"/>
        </w:trPr>
        <w:tc>
          <w:tcPr>
            <w:tcW w:w="4071" w:type="pct"/>
            <w:gridSpan w:val="4"/>
          </w:tcPr>
          <w:p w14:paraId="6093A92F" w14:textId="77777777" w:rsidR="002641C9" w:rsidRPr="00A41A68" w:rsidRDefault="002641C9" w:rsidP="002641C9">
            <w:pPr>
              <w:jc w:val="right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 xml:space="preserve">BODY CELKEM </w:t>
            </w:r>
          </w:p>
        </w:tc>
        <w:tc>
          <w:tcPr>
            <w:tcW w:w="929" w:type="pct"/>
          </w:tcPr>
          <w:p w14:paraId="1BCE5C33" w14:textId="77777777" w:rsidR="002641C9" w:rsidRPr="00A41A68" w:rsidRDefault="002641C9" w:rsidP="002641C9">
            <w:pPr>
              <w:rPr>
                <w:b/>
                <w:color w:val="000000" w:themeColor="text1"/>
                <w:szCs w:val="22"/>
              </w:rPr>
            </w:pPr>
          </w:p>
        </w:tc>
      </w:tr>
    </w:tbl>
    <w:p w14:paraId="44143074" w14:textId="5593A430" w:rsidR="005A3F3B" w:rsidRDefault="005A3F3B" w:rsidP="002113B6">
      <w:bookmarkStart w:id="0" w:name="_GoBack"/>
      <w:bookmarkEnd w:id="0"/>
    </w:p>
    <w:sectPr w:rsidR="005A3F3B" w:rsidSect="002113B6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F7354" w14:textId="77777777" w:rsidR="006F3080" w:rsidRDefault="006F3080" w:rsidP="00011C17">
      <w:r>
        <w:separator/>
      </w:r>
    </w:p>
  </w:endnote>
  <w:endnote w:type="continuationSeparator" w:id="0">
    <w:p w14:paraId="4B170F76" w14:textId="77777777" w:rsidR="006F3080" w:rsidRDefault="006F3080" w:rsidP="0001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font">
    <w:altName w:val="MS Gothic"/>
    <w:charset w:val="80"/>
    <w:family w:val="auto"/>
    <w:pitch w:val="variable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A1C33" w14:textId="77777777" w:rsidR="006F3080" w:rsidRDefault="006F3080" w:rsidP="00011C17">
      <w:r>
        <w:separator/>
      </w:r>
    </w:p>
  </w:footnote>
  <w:footnote w:type="continuationSeparator" w:id="0">
    <w:p w14:paraId="397972EE" w14:textId="77777777" w:rsidR="006F3080" w:rsidRDefault="006F3080" w:rsidP="0001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2B1"/>
    <w:multiLevelType w:val="hybridMultilevel"/>
    <w:tmpl w:val="DF02D762"/>
    <w:lvl w:ilvl="0" w:tplc="2ED6358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98604C"/>
    <w:multiLevelType w:val="hybridMultilevel"/>
    <w:tmpl w:val="3F3069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03A0B"/>
    <w:multiLevelType w:val="hybridMultilevel"/>
    <w:tmpl w:val="504E4A0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3B58"/>
    <w:multiLevelType w:val="hybridMultilevel"/>
    <w:tmpl w:val="A05A34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1280E22"/>
    <w:multiLevelType w:val="hybridMultilevel"/>
    <w:tmpl w:val="AC1E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72229"/>
    <w:multiLevelType w:val="hybridMultilevel"/>
    <w:tmpl w:val="3B34A25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A32CE2"/>
    <w:multiLevelType w:val="multilevel"/>
    <w:tmpl w:val="6776A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17"/>
    <w:rsid w:val="00011C17"/>
    <w:rsid w:val="00067420"/>
    <w:rsid w:val="00133AF9"/>
    <w:rsid w:val="001752D8"/>
    <w:rsid w:val="00186D47"/>
    <w:rsid w:val="001A6ADB"/>
    <w:rsid w:val="001D01A6"/>
    <w:rsid w:val="001E160B"/>
    <w:rsid w:val="002113B6"/>
    <w:rsid w:val="002204AE"/>
    <w:rsid w:val="002641C9"/>
    <w:rsid w:val="00277AFB"/>
    <w:rsid w:val="002A4DDE"/>
    <w:rsid w:val="002B4434"/>
    <w:rsid w:val="0037305F"/>
    <w:rsid w:val="00400FD4"/>
    <w:rsid w:val="00474803"/>
    <w:rsid w:val="00475AE1"/>
    <w:rsid w:val="00480658"/>
    <w:rsid w:val="004E5CB0"/>
    <w:rsid w:val="00500AE9"/>
    <w:rsid w:val="005317B2"/>
    <w:rsid w:val="005A3F3B"/>
    <w:rsid w:val="005A7879"/>
    <w:rsid w:val="00683E8A"/>
    <w:rsid w:val="006F3080"/>
    <w:rsid w:val="007451C3"/>
    <w:rsid w:val="00762BA4"/>
    <w:rsid w:val="00773ABE"/>
    <w:rsid w:val="0082091A"/>
    <w:rsid w:val="00823409"/>
    <w:rsid w:val="0087527A"/>
    <w:rsid w:val="00927D8F"/>
    <w:rsid w:val="00972820"/>
    <w:rsid w:val="009D51F6"/>
    <w:rsid w:val="00A04224"/>
    <w:rsid w:val="00A41A68"/>
    <w:rsid w:val="00A670DE"/>
    <w:rsid w:val="00AF1604"/>
    <w:rsid w:val="00B24457"/>
    <w:rsid w:val="00B35C2F"/>
    <w:rsid w:val="00B57143"/>
    <w:rsid w:val="00B72DFD"/>
    <w:rsid w:val="00BA6974"/>
    <w:rsid w:val="00C00175"/>
    <w:rsid w:val="00C42D96"/>
    <w:rsid w:val="00C64151"/>
    <w:rsid w:val="00D31BC1"/>
    <w:rsid w:val="00D40DE1"/>
    <w:rsid w:val="00D437B6"/>
    <w:rsid w:val="00D76DBA"/>
    <w:rsid w:val="00E278A1"/>
    <w:rsid w:val="00E45B8C"/>
    <w:rsid w:val="00E640CE"/>
    <w:rsid w:val="00E969D1"/>
    <w:rsid w:val="00F67ECD"/>
    <w:rsid w:val="00F930E8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0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C17"/>
    <w:pPr>
      <w:spacing w:after="0" w:line="240" w:lineRule="auto"/>
      <w:jc w:val="both"/>
    </w:pPr>
    <w:rPr>
      <w:szCs w:val="24"/>
    </w:rPr>
  </w:style>
  <w:style w:type="paragraph" w:styleId="Nadpis2">
    <w:name w:val="heading 2"/>
    <w:basedOn w:val="Normln"/>
    <w:link w:val="Nadpis2Char"/>
    <w:qFormat/>
    <w:rsid w:val="002113B6"/>
    <w:pPr>
      <w:keepNext/>
      <w:widowControl w:val="0"/>
      <w:suppressAutoHyphens/>
      <w:spacing w:before="240" w:after="120"/>
      <w:jc w:val="left"/>
      <w:outlineLvl w:val="1"/>
    </w:pPr>
    <w:rPr>
      <w:rFonts w:ascii="Arial" w:eastAsia="unifont" w:hAnsi="Arial" w:cs="DejaVu Sans"/>
      <w:bCs/>
      <w:i/>
      <w:iCs/>
      <w:color w:val="00000A"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C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1C17"/>
    <w:rPr>
      <w:color w:val="0563C1" w:themeColor="hyperlink"/>
      <w:u w:val="single"/>
    </w:rPr>
  </w:style>
  <w:style w:type="character" w:customStyle="1" w:styleId="Zkladntext2Char">
    <w:name w:val="Základní text 2 Char"/>
    <w:link w:val="Zkladntext2"/>
    <w:qFormat/>
    <w:rsid w:val="00011C17"/>
    <w:rPr>
      <w:rFonts w:ascii="Verdana" w:hAnsi="Verdana"/>
    </w:rPr>
  </w:style>
  <w:style w:type="paragraph" w:styleId="Zkladntext2">
    <w:name w:val="Body Text 2"/>
    <w:basedOn w:val="Normln"/>
    <w:link w:val="Zkladntext2Char"/>
    <w:qFormat/>
    <w:rsid w:val="00011C17"/>
    <w:pPr>
      <w:suppressAutoHyphens/>
    </w:pPr>
    <w:rPr>
      <w:rFonts w:ascii="Verdana" w:hAnsi="Verdana"/>
      <w:szCs w:val="22"/>
    </w:rPr>
  </w:style>
  <w:style w:type="character" w:customStyle="1" w:styleId="Zkladntext2Char1">
    <w:name w:val="Základní text 2 Char1"/>
    <w:basedOn w:val="Standardnpsmoodstavce"/>
    <w:uiPriority w:val="99"/>
    <w:semiHidden/>
    <w:rsid w:val="00011C17"/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1C1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1C1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1C17"/>
    <w:rPr>
      <w:vertAlign w:val="superscript"/>
    </w:rPr>
  </w:style>
  <w:style w:type="character" w:customStyle="1" w:styleId="shorttext">
    <w:name w:val="short_text"/>
    <w:basedOn w:val="Standardnpsmoodstavce"/>
    <w:rsid w:val="00011C17"/>
  </w:style>
  <w:style w:type="paragraph" w:styleId="Zhlav">
    <w:name w:val="header"/>
    <w:basedOn w:val="Normln"/>
    <w:link w:val="ZhlavChar"/>
    <w:uiPriority w:val="99"/>
    <w:unhideWhenUsed/>
    <w:rsid w:val="00FF06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FF0639"/>
    <w:rPr>
      <w:szCs w:val="24"/>
    </w:rPr>
  </w:style>
  <w:style w:type="paragraph" w:styleId="Zpat">
    <w:name w:val="footer"/>
    <w:basedOn w:val="Normln"/>
    <w:link w:val="ZpatChar"/>
    <w:uiPriority w:val="99"/>
    <w:unhideWhenUsed/>
    <w:rsid w:val="00FF06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0639"/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42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qFormat/>
    <w:rsid w:val="002113B6"/>
    <w:rPr>
      <w:rFonts w:ascii="Arial" w:eastAsia="unifont" w:hAnsi="Arial" w:cs="DejaVu Sans"/>
      <w:bCs/>
      <w:i/>
      <w:iCs/>
      <w:color w:val="00000A"/>
      <w:sz w:val="28"/>
      <w:szCs w:val="28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1E16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16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16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6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160B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78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C17"/>
    <w:pPr>
      <w:spacing w:after="0" w:line="240" w:lineRule="auto"/>
      <w:jc w:val="both"/>
    </w:pPr>
    <w:rPr>
      <w:szCs w:val="24"/>
    </w:rPr>
  </w:style>
  <w:style w:type="paragraph" w:styleId="Nadpis2">
    <w:name w:val="heading 2"/>
    <w:basedOn w:val="Normln"/>
    <w:link w:val="Nadpis2Char"/>
    <w:qFormat/>
    <w:rsid w:val="002113B6"/>
    <w:pPr>
      <w:keepNext/>
      <w:widowControl w:val="0"/>
      <w:suppressAutoHyphens/>
      <w:spacing w:before="240" w:after="120"/>
      <w:jc w:val="left"/>
      <w:outlineLvl w:val="1"/>
    </w:pPr>
    <w:rPr>
      <w:rFonts w:ascii="Arial" w:eastAsia="unifont" w:hAnsi="Arial" w:cs="DejaVu Sans"/>
      <w:bCs/>
      <w:i/>
      <w:iCs/>
      <w:color w:val="00000A"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C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1C17"/>
    <w:rPr>
      <w:color w:val="0563C1" w:themeColor="hyperlink"/>
      <w:u w:val="single"/>
    </w:rPr>
  </w:style>
  <w:style w:type="character" w:customStyle="1" w:styleId="Zkladntext2Char">
    <w:name w:val="Základní text 2 Char"/>
    <w:link w:val="Zkladntext2"/>
    <w:qFormat/>
    <w:rsid w:val="00011C17"/>
    <w:rPr>
      <w:rFonts w:ascii="Verdana" w:hAnsi="Verdana"/>
    </w:rPr>
  </w:style>
  <w:style w:type="paragraph" w:styleId="Zkladntext2">
    <w:name w:val="Body Text 2"/>
    <w:basedOn w:val="Normln"/>
    <w:link w:val="Zkladntext2Char"/>
    <w:qFormat/>
    <w:rsid w:val="00011C17"/>
    <w:pPr>
      <w:suppressAutoHyphens/>
    </w:pPr>
    <w:rPr>
      <w:rFonts w:ascii="Verdana" w:hAnsi="Verdana"/>
      <w:szCs w:val="22"/>
    </w:rPr>
  </w:style>
  <w:style w:type="character" w:customStyle="1" w:styleId="Zkladntext2Char1">
    <w:name w:val="Základní text 2 Char1"/>
    <w:basedOn w:val="Standardnpsmoodstavce"/>
    <w:uiPriority w:val="99"/>
    <w:semiHidden/>
    <w:rsid w:val="00011C17"/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1C1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1C1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1C17"/>
    <w:rPr>
      <w:vertAlign w:val="superscript"/>
    </w:rPr>
  </w:style>
  <w:style w:type="character" w:customStyle="1" w:styleId="shorttext">
    <w:name w:val="short_text"/>
    <w:basedOn w:val="Standardnpsmoodstavce"/>
    <w:rsid w:val="00011C17"/>
  </w:style>
  <w:style w:type="paragraph" w:styleId="Zhlav">
    <w:name w:val="header"/>
    <w:basedOn w:val="Normln"/>
    <w:link w:val="ZhlavChar"/>
    <w:uiPriority w:val="99"/>
    <w:unhideWhenUsed/>
    <w:rsid w:val="00FF06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FF0639"/>
    <w:rPr>
      <w:szCs w:val="24"/>
    </w:rPr>
  </w:style>
  <w:style w:type="paragraph" w:styleId="Zpat">
    <w:name w:val="footer"/>
    <w:basedOn w:val="Normln"/>
    <w:link w:val="ZpatChar"/>
    <w:uiPriority w:val="99"/>
    <w:unhideWhenUsed/>
    <w:rsid w:val="00FF06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0639"/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42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qFormat/>
    <w:rsid w:val="002113B6"/>
    <w:rPr>
      <w:rFonts w:ascii="Arial" w:eastAsia="unifont" w:hAnsi="Arial" w:cs="DejaVu Sans"/>
      <w:bCs/>
      <w:i/>
      <w:iCs/>
      <w:color w:val="00000A"/>
      <w:sz w:val="28"/>
      <w:szCs w:val="28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1E16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16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16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6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160B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7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cechmiro</dc:creator>
  <cp:keywords/>
  <dc:description/>
  <cp:lastModifiedBy>Advokátní kancelář</cp:lastModifiedBy>
  <cp:revision>19</cp:revision>
  <cp:lastPrinted>2019-05-24T09:17:00Z</cp:lastPrinted>
  <dcterms:created xsi:type="dcterms:W3CDTF">2019-05-13T09:30:00Z</dcterms:created>
  <dcterms:modified xsi:type="dcterms:W3CDTF">2019-07-19T09:18:00Z</dcterms:modified>
</cp:coreProperties>
</file>