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7AE" w:rsidRDefault="008727AE" w:rsidP="007C31D6">
      <w:pPr>
        <w:pStyle w:val="Styl"/>
        <w:spacing w:line="379" w:lineRule="exact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Dodatek č.</w:t>
      </w:r>
      <w:r w:rsidR="00CD2C5A">
        <w:rPr>
          <w:b/>
          <w:bCs/>
          <w:sz w:val="34"/>
          <w:szCs w:val="34"/>
        </w:rPr>
        <w:t xml:space="preserve"> </w:t>
      </w:r>
      <w:r w:rsidR="00C20F05">
        <w:rPr>
          <w:b/>
          <w:bCs/>
          <w:sz w:val="34"/>
          <w:szCs w:val="34"/>
        </w:rPr>
        <w:t>I</w:t>
      </w:r>
    </w:p>
    <w:p w:rsidR="00BD7C2B" w:rsidRPr="008727AE" w:rsidRDefault="00BD7C2B" w:rsidP="007C31D6">
      <w:pPr>
        <w:pStyle w:val="Styl"/>
        <w:spacing w:line="379" w:lineRule="exact"/>
        <w:jc w:val="center"/>
        <w:rPr>
          <w:bCs/>
          <w:sz w:val="36"/>
          <w:szCs w:val="36"/>
        </w:rPr>
      </w:pPr>
    </w:p>
    <w:p w:rsidR="00BD7C2B" w:rsidRPr="00CD1976" w:rsidRDefault="007C31D6" w:rsidP="00372693">
      <w:pPr>
        <w:pStyle w:val="Styl"/>
        <w:spacing w:line="379" w:lineRule="exact"/>
        <w:jc w:val="center"/>
      </w:pPr>
      <w:r w:rsidRPr="00CD1976">
        <w:t xml:space="preserve">uzavřená podle </w:t>
      </w:r>
      <w:proofErr w:type="spellStart"/>
      <w:r w:rsidRPr="00CD1976">
        <w:t>ust</w:t>
      </w:r>
      <w:proofErr w:type="spellEnd"/>
      <w:r w:rsidRPr="00CD1976">
        <w:t>. § 2193 a násl. z.</w:t>
      </w:r>
      <w:r w:rsidR="00CD2C5A">
        <w:t xml:space="preserve"> </w:t>
      </w:r>
      <w:r w:rsidRPr="00CD1976">
        <w:t>č</w:t>
      </w:r>
      <w:r w:rsidR="00CD2C5A">
        <w:t>.</w:t>
      </w:r>
      <w:r w:rsidRPr="00CD1976">
        <w:t xml:space="preserve"> 89/2012 Sb., občanského zákoníku</w:t>
      </w:r>
    </w:p>
    <w:p w:rsidR="007C31D6" w:rsidRPr="0029064C" w:rsidRDefault="007C31D6" w:rsidP="007C31D6">
      <w:pPr>
        <w:pStyle w:val="Styl"/>
        <w:tabs>
          <w:tab w:val="left" w:pos="426"/>
        </w:tabs>
        <w:spacing w:line="240" w:lineRule="exact"/>
        <w:ind w:left="426"/>
        <w:jc w:val="both"/>
        <w:rPr>
          <w:w w:val="105"/>
        </w:rPr>
      </w:pPr>
    </w:p>
    <w:p w:rsidR="007C31D6" w:rsidRPr="0029064C" w:rsidRDefault="00EF330A" w:rsidP="001051B5">
      <w:pPr>
        <w:jc w:val="both"/>
        <w:rPr>
          <w:w w:val="105"/>
        </w:rPr>
      </w:pPr>
      <w:r>
        <w:rPr>
          <w:w w:val="105"/>
        </w:rPr>
        <w:t xml:space="preserve">1. </w:t>
      </w:r>
      <w:r w:rsidR="007C31D6" w:rsidRPr="0029064C">
        <w:rPr>
          <w:w w:val="105"/>
        </w:rPr>
        <w:t>Název subjektu:</w:t>
      </w:r>
    </w:p>
    <w:p w:rsidR="007C31D6" w:rsidRPr="001051B5" w:rsidRDefault="007C31D6" w:rsidP="001051B5">
      <w:pPr>
        <w:jc w:val="both"/>
        <w:rPr>
          <w:b/>
          <w:w w:val="105"/>
        </w:rPr>
      </w:pPr>
      <w:r w:rsidRPr="001051B5">
        <w:rPr>
          <w:b/>
          <w:w w:val="105"/>
        </w:rPr>
        <w:t>Technické muzeum v Brně</w:t>
      </w:r>
    </w:p>
    <w:p w:rsidR="007C31D6" w:rsidRPr="0029064C" w:rsidRDefault="00EF330A" w:rsidP="001051B5">
      <w:pPr>
        <w:jc w:val="both"/>
        <w:rPr>
          <w:w w:val="105"/>
        </w:rPr>
      </w:pPr>
      <w:r>
        <w:rPr>
          <w:w w:val="105"/>
        </w:rPr>
        <w:t>Jehož jménem jedná</w:t>
      </w:r>
      <w:r w:rsidR="007C31D6">
        <w:rPr>
          <w:w w:val="105"/>
        </w:rPr>
        <w:t>:</w:t>
      </w:r>
      <w:r w:rsidRPr="001051B5">
        <w:rPr>
          <w:w w:val="105"/>
        </w:rPr>
        <w:t xml:space="preserve">  </w:t>
      </w:r>
      <w:r w:rsidR="007C31D6" w:rsidRPr="001051B5">
        <w:rPr>
          <w:w w:val="105"/>
        </w:rPr>
        <w:t xml:space="preserve">Ing. </w:t>
      </w:r>
      <w:r w:rsidR="00673E38">
        <w:rPr>
          <w:w w:val="105"/>
        </w:rPr>
        <w:t xml:space="preserve">Ivo Štěpánek – ředitel </w:t>
      </w:r>
    </w:p>
    <w:p w:rsidR="007C31D6" w:rsidRPr="001051B5" w:rsidRDefault="007C31D6" w:rsidP="001051B5">
      <w:pPr>
        <w:jc w:val="both"/>
        <w:rPr>
          <w:w w:val="105"/>
        </w:rPr>
      </w:pPr>
      <w:r w:rsidRPr="001051B5">
        <w:rPr>
          <w:w w:val="105"/>
        </w:rPr>
        <w:t>se sídlem</w:t>
      </w:r>
      <w:r w:rsidR="00673E38">
        <w:rPr>
          <w:w w:val="105"/>
        </w:rPr>
        <w:t>: Purkyňova 105, Brno</w:t>
      </w:r>
      <w:r w:rsidRPr="001051B5">
        <w:rPr>
          <w:w w:val="105"/>
        </w:rPr>
        <w:t xml:space="preserve"> 612 00</w:t>
      </w:r>
    </w:p>
    <w:p w:rsidR="007C31D6" w:rsidRPr="001051B5" w:rsidRDefault="007C31D6" w:rsidP="001051B5">
      <w:pPr>
        <w:jc w:val="both"/>
        <w:rPr>
          <w:w w:val="105"/>
        </w:rPr>
      </w:pPr>
      <w:r w:rsidRPr="001051B5">
        <w:rPr>
          <w:w w:val="105"/>
        </w:rPr>
        <w:t>IČ:  00101435</w:t>
      </w:r>
    </w:p>
    <w:p w:rsidR="00CE485F" w:rsidRPr="001051B5" w:rsidRDefault="00EF330A" w:rsidP="001051B5">
      <w:pPr>
        <w:jc w:val="both"/>
        <w:rPr>
          <w:w w:val="105"/>
        </w:rPr>
      </w:pPr>
      <w:r w:rsidRPr="001051B5">
        <w:rPr>
          <w:w w:val="105"/>
        </w:rPr>
        <w:t xml:space="preserve">bankovní spojení:  </w:t>
      </w:r>
      <w:r w:rsidR="00CE485F" w:rsidRPr="001051B5">
        <w:rPr>
          <w:w w:val="105"/>
        </w:rPr>
        <w:t>ČNB, pobočka Brno</w:t>
      </w:r>
    </w:p>
    <w:p w:rsidR="007C31D6" w:rsidRPr="001051B5" w:rsidRDefault="00CE485F" w:rsidP="001051B5">
      <w:pPr>
        <w:jc w:val="both"/>
        <w:rPr>
          <w:w w:val="105"/>
        </w:rPr>
      </w:pPr>
      <w:r w:rsidRPr="001051B5">
        <w:rPr>
          <w:w w:val="105"/>
        </w:rPr>
        <w:t xml:space="preserve">číslo účtu: </w:t>
      </w:r>
      <w:r w:rsidR="00673E38">
        <w:rPr>
          <w:w w:val="105"/>
        </w:rPr>
        <w:t>197830621/</w:t>
      </w:r>
      <w:r w:rsidRPr="001051B5">
        <w:rPr>
          <w:w w:val="105"/>
        </w:rPr>
        <w:t>0710</w:t>
      </w:r>
    </w:p>
    <w:p w:rsidR="007C31D6" w:rsidRPr="001051B5" w:rsidRDefault="00587592" w:rsidP="001051B5">
      <w:pPr>
        <w:jc w:val="both"/>
        <w:rPr>
          <w:w w:val="105"/>
        </w:rPr>
      </w:pPr>
      <w:r>
        <w:rPr>
          <w:w w:val="105"/>
        </w:rPr>
        <w:t xml:space="preserve">adresa datové schránky: </w:t>
      </w:r>
      <w:r w:rsidR="00942ED6" w:rsidRPr="001051B5">
        <w:rPr>
          <w:w w:val="105"/>
        </w:rPr>
        <w:t>cmgp8ec</w:t>
      </w:r>
    </w:p>
    <w:p w:rsidR="007C31D6" w:rsidRDefault="007C31D6" w:rsidP="00EF330A">
      <w:r w:rsidRPr="0029064C">
        <w:t xml:space="preserve">      </w:t>
      </w:r>
    </w:p>
    <w:p w:rsidR="007C31D6" w:rsidRPr="0029064C" w:rsidRDefault="007C31D6" w:rsidP="00D04B2B">
      <w:r>
        <w:t xml:space="preserve"> </w:t>
      </w:r>
      <w:r w:rsidRPr="0029064C">
        <w:t xml:space="preserve">Technické muzeum v Brně je státní příspěvkovou organizací, zřízenou Ministerstvem kultury   </w:t>
      </w:r>
    </w:p>
    <w:p w:rsidR="007C31D6" w:rsidRPr="0029064C" w:rsidRDefault="007C31D6" w:rsidP="00D04B2B">
      <w:r w:rsidRPr="0029064C">
        <w:t xml:space="preserve"> ČR,  Zřizovací listinou č.</w:t>
      </w:r>
      <w:r w:rsidR="00CD2C5A">
        <w:t xml:space="preserve"> </w:t>
      </w:r>
      <w:r w:rsidRPr="0029064C">
        <w:t>j. 17474/2000 ve znění Rozhodnut</w:t>
      </w:r>
      <w:r w:rsidR="00CD2C5A">
        <w:t>í ministryně kultury č. 40/2012</w:t>
      </w:r>
      <w:r w:rsidR="00604DE0">
        <w:br/>
        <w:t xml:space="preserve"> z </w:t>
      </w:r>
      <w:r w:rsidRPr="0029064C">
        <w:t>20.</w:t>
      </w:r>
      <w:r w:rsidR="00CD2C5A">
        <w:t xml:space="preserve"> </w:t>
      </w:r>
      <w:r w:rsidRPr="0029064C">
        <w:t>12.</w:t>
      </w:r>
      <w:r w:rsidR="00CD2C5A">
        <w:t xml:space="preserve"> </w:t>
      </w:r>
      <w:r w:rsidRPr="0029064C">
        <w:t xml:space="preserve">2012 a je oprávněno nakládat s majetkem státu dle </w:t>
      </w:r>
      <w:r w:rsidRPr="00CD1976">
        <w:t>zákon</w:t>
      </w:r>
      <w:r>
        <w:t>a</w:t>
      </w:r>
      <w:r w:rsidRPr="00CD1976">
        <w:t xml:space="preserve"> o majetku státu</w:t>
      </w:r>
    </w:p>
    <w:p w:rsidR="007C31D6" w:rsidRPr="0029064C" w:rsidRDefault="00D04B2B" w:rsidP="00D04B2B">
      <w:r>
        <w:t xml:space="preserve"> </w:t>
      </w:r>
      <w:r w:rsidR="007C31D6" w:rsidRPr="0029064C">
        <w:t xml:space="preserve">Technické muzeum v Brně je plátce DPH, muzejní činnost je kulturní činností od DPH  </w:t>
      </w:r>
    </w:p>
    <w:p w:rsidR="007C31D6" w:rsidRDefault="00D04B2B" w:rsidP="00D04B2B">
      <w:pPr>
        <w:rPr>
          <w:b/>
        </w:rPr>
      </w:pPr>
      <w:r>
        <w:t xml:space="preserve"> </w:t>
      </w:r>
      <w:r w:rsidR="007C31D6" w:rsidRPr="0029064C">
        <w:t>osvobozenou dle § 61 ZDPH</w:t>
      </w:r>
      <w:r w:rsidR="007C31D6" w:rsidRPr="0029064C">
        <w:rPr>
          <w:b/>
        </w:rPr>
        <w:t>.</w:t>
      </w:r>
    </w:p>
    <w:p w:rsidR="001051B5" w:rsidRDefault="001051B5" w:rsidP="00D04B2B">
      <w:pPr>
        <w:rPr>
          <w:b/>
        </w:rPr>
      </w:pPr>
    </w:p>
    <w:p w:rsidR="007C31D6" w:rsidRDefault="001051B5" w:rsidP="00D04B2B">
      <w:r>
        <w:rPr>
          <w:b/>
        </w:rPr>
        <w:t xml:space="preserve"> </w:t>
      </w:r>
      <w:r w:rsidR="00435857">
        <w:t>(dále jen pronajímatel)</w:t>
      </w:r>
    </w:p>
    <w:p w:rsidR="00504391" w:rsidRPr="0029064C" w:rsidRDefault="00504391" w:rsidP="00D04B2B">
      <w:pPr>
        <w:rPr>
          <w:sz w:val="20"/>
          <w:szCs w:val="20"/>
        </w:rPr>
      </w:pPr>
    </w:p>
    <w:p w:rsidR="007C31D6" w:rsidRDefault="007C31D6" w:rsidP="00D04B2B">
      <w:pPr>
        <w:pStyle w:val="Styl"/>
        <w:tabs>
          <w:tab w:val="left" w:pos="426"/>
        </w:tabs>
        <w:spacing w:before="4" w:line="273" w:lineRule="exact"/>
        <w:ind w:right="6859"/>
      </w:pPr>
      <w:r w:rsidRPr="0029064C">
        <w:t xml:space="preserve">a </w:t>
      </w:r>
    </w:p>
    <w:p w:rsidR="00942ED6" w:rsidRPr="0029064C" w:rsidRDefault="00942ED6" w:rsidP="00D04B2B">
      <w:pPr>
        <w:pStyle w:val="Styl"/>
        <w:tabs>
          <w:tab w:val="left" w:pos="426"/>
        </w:tabs>
        <w:spacing w:before="4" w:line="273" w:lineRule="exact"/>
        <w:ind w:right="6859"/>
      </w:pPr>
    </w:p>
    <w:p w:rsidR="00070949" w:rsidRDefault="00940E63" w:rsidP="00CD2C5A">
      <w:pPr>
        <w:jc w:val="both"/>
        <w:rPr>
          <w:b/>
          <w:w w:val="105"/>
        </w:rPr>
      </w:pPr>
      <w:r>
        <w:rPr>
          <w:w w:val="105"/>
        </w:rPr>
        <w:t>2.</w:t>
      </w:r>
      <w:r w:rsidR="00D04B2B">
        <w:rPr>
          <w:w w:val="105"/>
        </w:rPr>
        <w:t xml:space="preserve">  </w:t>
      </w:r>
      <w:r w:rsidR="007C31D6" w:rsidRPr="00940E63">
        <w:rPr>
          <w:w w:val="105"/>
        </w:rPr>
        <w:t>Název subjektu</w:t>
      </w:r>
      <w:r w:rsidR="007C31D6" w:rsidRPr="00940E63">
        <w:rPr>
          <w:b/>
          <w:w w:val="105"/>
        </w:rPr>
        <w:t>:</w:t>
      </w:r>
      <w:r w:rsidRPr="00940E63">
        <w:rPr>
          <w:b/>
          <w:w w:val="105"/>
        </w:rPr>
        <w:t xml:space="preserve"> </w:t>
      </w:r>
    </w:p>
    <w:p w:rsidR="00940E63" w:rsidRPr="00435857" w:rsidRDefault="00BF0F0D" w:rsidP="00CD2C5A">
      <w:pPr>
        <w:jc w:val="both"/>
        <w:rPr>
          <w:b/>
          <w:w w:val="105"/>
        </w:rPr>
      </w:pPr>
      <w:r>
        <w:rPr>
          <w:b/>
          <w:w w:val="105"/>
        </w:rPr>
        <w:t xml:space="preserve">Auto BALVIN </w:t>
      </w:r>
      <w:r w:rsidR="00587592">
        <w:rPr>
          <w:b/>
          <w:w w:val="105"/>
        </w:rPr>
        <w:t xml:space="preserve">spol. s.r.o. </w:t>
      </w:r>
    </w:p>
    <w:p w:rsidR="00940E63" w:rsidRPr="00940E63" w:rsidRDefault="00940E63" w:rsidP="00CD2C5A">
      <w:pPr>
        <w:jc w:val="both"/>
        <w:rPr>
          <w:b/>
          <w:w w:val="105"/>
        </w:rPr>
      </w:pPr>
      <w:r>
        <w:rPr>
          <w:w w:val="105"/>
        </w:rPr>
        <w:t xml:space="preserve">Zapsáno v obchodním rejstříku </w:t>
      </w:r>
      <w:r w:rsidR="0010740C">
        <w:rPr>
          <w:w w:val="105"/>
        </w:rPr>
        <w:t xml:space="preserve">Krajského soudu Brno </w:t>
      </w:r>
      <w:r w:rsidR="002162E6">
        <w:rPr>
          <w:w w:val="105"/>
        </w:rPr>
        <w:t>oddíl C vložka 8523</w:t>
      </w:r>
    </w:p>
    <w:p w:rsidR="007C31D6" w:rsidRPr="003413DB" w:rsidRDefault="003413DB" w:rsidP="00CD2C5A">
      <w:pPr>
        <w:jc w:val="both"/>
        <w:rPr>
          <w:w w:val="105"/>
        </w:rPr>
      </w:pPr>
      <w:r w:rsidRPr="003413DB">
        <w:rPr>
          <w:w w:val="105"/>
        </w:rPr>
        <w:t>se</w:t>
      </w:r>
      <w:r w:rsidR="007C31D6" w:rsidRPr="003413DB">
        <w:rPr>
          <w:w w:val="105"/>
        </w:rPr>
        <w:t xml:space="preserve"> </w:t>
      </w:r>
      <w:r w:rsidRPr="003413DB">
        <w:rPr>
          <w:w w:val="105"/>
        </w:rPr>
        <w:t>sídlem:</w:t>
      </w:r>
      <w:r w:rsidR="007C31D6" w:rsidRPr="003413DB">
        <w:rPr>
          <w:w w:val="105"/>
        </w:rPr>
        <w:t xml:space="preserve"> </w:t>
      </w:r>
      <w:r w:rsidR="002162E6">
        <w:rPr>
          <w:w w:val="105"/>
        </w:rPr>
        <w:t>U Červeného mlýna 570/3,Ponava, 612 00 Brno</w:t>
      </w:r>
      <w:r>
        <w:rPr>
          <w:w w:val="105"/>
        </w:rPr>
        <w:t xml:space="preserve"> </w:t>
      </w:r>
    </w:p>
    <w:p w:rsidR="007C31D6" w:rsidRPr="003413DB" w:rsidRDefault="005B5ED3" w:rsidP="00CD2C5A">
      <w:pPr>
        <w:jc w:val="both"/>
        <w:rPr>
          <w:b/>
        </w:rPr>
      </w:pPr>
      <w:r>
        <w:t xml:space="preserve">zastoupená:  Ing. </w:t>
      </w:r>
      <w:proofErr w:type="spellStart"/>
      <w:r>
        <w:t>Tea</w:t>
      </w:r>
      <w:proofErr w:type="spellEnd"/>
      <w:r>
        <w:t xml:space="preserve"> Balabánová, Petra Bendová -</w:t>
      </w:r>
      <w:r w:rsidR="00FA38C3">
        <w:t xml:space="preserve"> jednatelka</w:t>
      </w:r>
      <w:r>
        <w:t xml:space="preserve"> </w:t>
      </w:r>
      <w:r w:rsidR="007C31D6" w:rsidRPr="0029064C">
        <w:t xml:space="preserve"> </w:t>
      </w:r>
    </w:p>
    <w:p w:rsidR="003413DB" w:rsidRPr="0029064C" w:rsidRDefault="00FA38C3" w:rsidP="00CD2C5A">
      <w:pPr>
        <w:jc w:val="both"/>
      </w:pPr>
      <w:r>
        <w:t>IČ: 469 912 47</w:t>
      </w:r>
    </w:p>
    <w:p w:rsidR="00CD2C5A" w:rsidRDefault="00070949" w:rsidP="00CD2C5A">
      <w:pPr>
        <w:jc w:val="both"/>
      </w:pPr>
      <w:r>
        <w:t>b</w:t>
      </w:r>
      <w:r w:rsidR="007C31D6" w:rsidRPr="0029064C">
        <w:t>an</w:t>
      </w:r>
      <w:r w:rsidR="005975E8">
        <w:t>kovní spojení</w:t>
      </w:r>
      <w:r w:rsidR="00FA38C3">
        <w:t>:</w:t>
      </w:r>
      <w:r w:rsidR="00587592">
        <w:t xml:space="preserve"> </w:t>
      </w:r>
      <w:r w:rsidR="00FA38C3">
        <w:t>KB Brno</w:t>
      </w:r>
    </w:p>
    <w:p w:rsidR="001051B5" w:rsidRDefault="00FA38C3" w:rsidP="001051B5">
      <w:pPr>
        <w:jc w:val="both"/>
      </w:pPr>
      <w:r>
        <w:t>číslo účtu:  7204910227/0100</w:t>
      </w:r>
    </w:p>
    <w:p w:rsidR="007C31D6" w:rsidRDefault="00CD2C5A" w:rsidP="001051B5">
      <w:pPr>
        <w:jc w:val="both"/>
      </w:pPr>
      <w:r w:rsidRPr="00CD2C5A">
        <w:t xml:space="preserve"> </w:t>
      </w:r>
      <w:r w:rsidR="003413DB">
        <w:t xml:space="preserve">     </w:t>
      </w:r>
    </w:p>
    <w:p w:rsidR="007C31D6" w:rsidRDefault="00435857" w:rsidP="00D04B2B">
      <w:pPr>
        <w:spacing w:after="120"/>
        <w:jc w:val="both"/>
      </w:pPr>
      <w:r>
        <w:t>(dále jen nájemce)</w:t>
      </w:r>
    </w:p>
    <w:p w:rsidR="00337FD1" w:rsidRDefault="00337FD1" w:rsidP="008727AE">
      <w:pPr>
        <w:pStyle w:val="Styl"/>
        <w:spacing w:line="292" w:lineRule="exact"/>
        <w:jc w:val="both"/>
      </w:pPr>
    </w:p>
    <w:p w:rsidR="002B3918" w:rsidRDefault="007C31D6" w:rsidP="008727AE">
      <w:pPr>
        <w:pStyle w:val="Styl"/>
        <w:spacing w:line="292" w:lineRule="exact"/>
        <w:jc w:val="both"/>
      </w:pPr>
      <w:r w:rsidRPr="0029064C">
        <w:t>Smluvní strany se dohodly na následujícím obsahu</w:t>
      </w:r>
      <w:r>
        <w:t xml:space="preserve"> </w:t>
      </w:r>
      <w:r w:rsidR="008727AE">
        <w:t xml:space="preserve">Dodatku </w:t>
      </w:r>
      <w:r w:rsidR="008727AE" w:rsidRPr="00376307">
        <w:t>č.</w:t>
      </w:r>
      <w:r w:rsidR="009541F0" w:rsidRPr="00376307">
        <w:t xml:space="preserve"> </w:t>
      </w:r>
      <w:r w:rsidR="00C20F05" w:rsidRPr="00C006A0">
        <w:t>I</w:t>
      </w:r>
      <w:r w:rsidR="008727AE" w:rsidRPr="00C006A0">
        <w:t xml:space="preserve"> </w:t>
      </w:r>
      <w:r w:rsidR="002B3918">
        <w:t xml:space="preserve">smlouvy. </w:t>
      </w:r>
    </w:p>
    <w:p w:rsidR="00AE2D88" w:rsidRDefault="00AE2D88" w:rsidP="00BD77FA">
      <w:pPr>
        <w:ind w:left="426"/>
        <w:rPr>
          <w:b/>
        </w:rPr>
      </w:pPr>
    </w:p>
    <w:p w:rsidR="00587592" w:rsidRDefault="002B3918" w:rsidP="00330474">
      <w:r w:rsidRPr="002B3918">
        <w:rPr>
          <w:b/>
        </w:rPr>
        <w:t>Článek III.</w:t>
      </w:r>
      <w:r w:rsidR="00993C73">
        <w:rPr>
          <w:b/>
        </w:rPr>
        <w:t xml:space="preserve"> </w:t>
      </w:r>
      <w:r w:rsidR="00993C73">
        <w:t xml:space="preserve">Se nově </w:t>
      </w:r>
      <w:r w:rsidR="00991C41">
        <w:t xml:space="preserve">nahrazuje v tomto </w:t>
      </w:r>
      <w:r w:rsidR="003C39DF">
        <w:t xml:space="preserve">znění: </w:t>
      </w:r>
    </w:p>
    <w:p w:rsidR="00587592" w:rsidRDefault="00587592" w:rsidP="00330474"/>
    <w:p w:rsidR="00587592" w:rsidRDefault="00587592" w:rsidP="00587592">
      <w:pPr>
        <w:jc w:val="center"/>
        <w:rPr>
          <w:b/>
        </w:rPr>
      </w:pPr>
      <w:r w:rsidRPr="00587592">
        <w:rPr>
          <w:b/>
        </w:rPr>
        <w:t>III.</w:t>
      </w:r>
    </w:p>
    <w:p w:rsidR="00587592" w:rsidRDefault="00587592" w:rsidP="00587592">
      <w:pPr>
        <w:jc w:val="center"/>
        <w:rPr>
          <w:b/>
        </w:rPr>
      </w:pPr>
    </w:p>
    <w:p w:rsidR="00587592" w:rsidRPr="00993C73" w:rsidRDefault="00587592" w:rsidP="00993C73">
      <w:pPr>
        <w:jc w:val="center"/>
        <w:rPr>
          <w:b/>
        </w:rPr>
      </w:pPr>
      <w:r>
        <w:rPr>
          <w:b/>
        </w:rPr>
        <w:t>Nájem</w:t>
      </w:r>
      <w:r>
        <w:t xml:space="preserve">                      </w:t>
      </w:r>
    </w:p>
    <w:p w:rsidR="00587592" w:rsidRDefault="00587592" w:rsidP="00330474"/>
    <w:p w:rsidR="00BD77FA" w:rsidRPr="00F74D78" w:rsidRDefault="00993C73" w:rsidP="00330474">
      <w:r>
        <w:t xml:space="preserve">1. </w:t>
      </w:r>
      <w:r w:rsidR="00587592">
        <w:t>Smluvní strany se dohodly, že nájemné je stanoveno dle cenového výměru č. 1/2015 o nájemném v areálu Technického muzea v Brně, v celkové hodn</w:t>
      </w:r>
      <w:r>
        <w:t xml:space="preserve">otě </w:t>
      </w:r>
      <w:r w:rsidR="00587592" w:rsidRPr="00993C73">
        <w:rPr>
          <w:b/>
        </w:rPr>
        <w:t>52.500,-Kč za rok + platné DPH.</w:t>
      </w:r>
      <w:r w:rsidR="00587592">
        <w:t xml:space="preserve"> </w:t>
      </w:r>
      <w:r>
        <w:br/>
      </w:r>
      <w:r w:rsidR="003C39DF">
        <w:t>Předmět pronájmu je č</w:t>
      </w:r>
      <w:r>
        <w:t>ást v areálu Technického muzea v</w:t>
      </w:r>
      <w:r w:rsidR="003C39DF">
        <w:t> Brně – Řečkovicích pozemek p.</w:t>
      </w:r>
      <w:r w:rsidR="00587592">
        <w:t xml:space="preserve"> </w:t>
      </w:r>
      <w:r w:rsidR="003C39DF">
        <w:t xml:space="preserve">č. 224/3 </w:t>
      </w:r>
      <w:r w:rsidR="00587592">
        <w:br/>
      </w:r>
      <w:r w:rsidR="003C39DF">
        <w:t>o výměře 350 m2</w:t>
      </w:r>
      <w:r w:rsidR="00587592">
        <w:t xml:space="preserve"> </w:t>
      </w:r>
      <w:r w:rsidR="003C39DF">
        <w:t>(dále jen pozemek).</w:t>
      </w:r>
      <w:r w:rsidR="00587592">
        <w:t xml:space="preserve"> </w:t>
      </w:r>
      <w:r w:rsidR="003C39DF">
        <w:t>Nájem ve výši 150,-Kč/m2, rok x 350 m2 =</w:t>
      </w:r>
      <w:r>
        <w:t xml:space="preserve"> </w:t>
      </w:r>
      <w:r w:rsidR="003C39DF" w:rsidRPr="00CD6BE2">
        <w:rPr>
          <w:b/>
        </w:rPr>
        <w:t>52 500,</w:t>
      </w:r>
      <w:r w:rsidR="00D40E6B" w:rsidRPr="00CD6BE2">
        <w:rPr>
          <w:b/>
        </w:rPr>
        <w:t>- Kč/rok</w:t>
      </w:r>
      <w:r w:rsidR="00D40E6B">
        <w:t xml:space="preserve">. Nájemné je splatné </w:t>
      </w:r>
      <w:r w:rsidR="00D40E6B" w:rsidRPr="00CD6BE2">
        <w:rPr>
          <w:b/>
        </w:rPr>
        <w:t>čtvrtletně ve výši 13 125,- Kč + platné</w:t>
      </w:r>
      <w:r w:rsidR="00D40E6B">
        <w:t xml:space="preserve"> </w:t>
      </w:r>
      <w:r>
        <w:rPr>
          <w:b/>
        </w:rPr>
        <w:t xml:space="preserve">DPH </w:t>
      </w:r>
      <w:bookmarkStart w:id="0" w:name="_GoBack"/>
      <w:bookmarkEnd w:id="0"/>
      <w:r w:rsidR="00D40E6B">
        <w:t xml:space="preserve">předem, vždy 20 kalendářnímu dni posledního kalendářního </w:t>
      </w:r>
      <w:r w:rsidR="00CD6BE2">
        <w:t>měsíce předcházejícího kalendářního čtvrtletí, na které je nájemné určeno.</w:t>
      </w:r>
      <w:r w:rsidR="00D40E6B">
        <w:t xml:space="preserve"> </w:t>
      </w:r>
      <w:r w:rsidR="00BD77FA" w:rsidRPr="00F74D78">
        <w:t>Nájemné bude hrazeno bezhotovostně, na bankovní účet pronajímatele, uvedeného v záhlaví smlouvy.</w:t>
      </w:r>
    </w:p>
    <w:p w:rsidR="00FA2A93" w:rsidRDefault="00BD77FA" w:rsidP="00330474">
      <w:pPr>
        <w:jc w:val="both"/>
      </w:pPr>
      <w:r w:rsidRPr="00F74D78">
        <w:t xml:space="preserve">Nájemné se každoročně bude upravovat o vyhlášenou míru inflace, která bude vyjádřena přírůstkem indexu spotřebitelských cen, vyhlášenou ČSÚ, za uplynulých 12 měsíců, oproti průměru za předchozí rok. </w:t>
      </w:r>
    </w:p>
    <w:p w:rsidR="00BD77FA" w:rsidRDefault="00993C73" w:rsidP="00330474">
      <w:pPr>
        <w:jc w:val="both"/>
      </w:pPr>
      <w:r>
        <w:lastRenderedPageBreak/>
        <w:t xml:space="preserve">2. </w:t>
      </w:r>
      <w:r w:rsidR="00BD77FA" w:rsidRPr="00F74D78">
        <w:t xml:space="preserve">Vedle nájemného </w:t>
      </w:r>
      <w:r w:rsidR="00BD77FA">
        <w:t>ne</w:t>
      </w:r>
      <w:r w:rsidR="00BD77FA" w:rsidRPr="00F74D78">
        <w:t>poskytuje pronajímatel</w:t>
      </w:r>
      <w:r>
        <w:t xml:space="preserve"> žádné jiné </w:t>
      </w:r>
      <w:r w:rsidR="00BD77FA">
        <w:t>služby.</w:t>
      </w:r>
    </w:p>
    <w:p w:rsidR="00BD77FA" w:rsidRDefault="00BD77FA" w:rsidP="00330474">
      <w:pPr>
        <w:jc w:val="both"/>
      </w:pPr>
    </w:p>
    <w:p w:rsidR="00BD77FA" w:rsidRDefault="00BD77FA" w:rsidP="00330474">
      <w:pPr>
        <w:jc w:val="both"/>
      </w:pPr>
      <w:r>
        <w:t xml:space="preserve">3. Faktury za nájemné pronajímatel vystaví za čtvrtletí předem a jsou splatné vždy do 20. dne </w:t>
      </w:r>
    </w:p>
    <w:p w:rsidR="00BD77FA" w:rsidRDefault="00AE2D88" w:rsidP="00330474">
      <w:pPr>
        <w:jc w:val="both"/>
      </w:pPr>
      <w:r>
        <w:t>p</w:t>
      </w:r>
      <w:r w:rsidR="00BD77FA">
        <w:t xml:space="preserve">říslušného kalendářního </w:t>
      </w:r>
      <w:r>
        <w:t xml:space="preserve">měsíce předchozího příslušného čtvrtletí. </w:t>
      </w:r>
    </w:p>
    <w:p w:rsidR="00D40E6B" w:rsidRDefault="00D40E6B" w:rsidP="00330474">
      <w:pPr>
        <w:pStyle w:val="Styl"/>
        <w:spacing w:line="292" w:lineRule="exact"/>
        <w:jc w:val="both"/>
      </w:pPr>
    </w:p>
    <w:p w:rsidR="00AE2D88" w:rsidRPr="00993C73" w:rsidRDefault="003C39DF" w:rsidP="00330474">
      <w:pPr>
        <w:pStyle w:val="Styl"/>
        <w:spacing w:line="292" w:lineRule="exact"/>
        <w:jc w:val="both"/>
      </w:pPr>
      <w:r>
        <w:t xml:space="preserve"> </w:t>
      </w:r>
    </w:p>
    <w:p w:rsidR="00666433" w:rsidRDefault="00666433" w:rsidP="00330474">
      <w:pPr>
        <w:pStyle w:val="Styl"/>
        <w:spacing w:line="292" w:lineRule="exact"/>
        <w:jc w:val="both"/>
      </w:pPr>
      <w:r>
        <w:t>V ostatních ustanoveních se Smlouva nemění.</w:t>
      </w:r>
    </w:p>
    <w:p w:rsidR="00E84AA0" w:rsidRDefault="00E84AA0" w:rsidP="00330474">
      <w:pPr>
        <w:pStyle w:val="Styl"/>
        <w:spacing w:line="292" w:lineRule="exact"/>
        <w:jc w:val="both"/>
      </w:pPr>
    </w:p>
    <w:p w:rsidR="00666433" w:rsidRDefault="00666433" w:rsidP="00330474">
      <w:pPr>
        <w:pStyle w:val="Styl"/>
        <w:spacing w:line="292" w:lineRule="exact"/>
        <w:jc w:val="both"/>
      </w:pPr>
      <w:r>
        <w:t>Platnost tohoto Dodatku č.</w:t>
      </w:r>
      <w:r w:rsidR="00CD2C5A">
        <w:t xml:space="preserve"> </w:t>
      </w:r>
      <w:r>
        <w:t>1 je dnem jeho podpisu obou smluvních stran</w:t>
      </w:r>
      <w:r w:rsidR="00AE2D88">
        <w:t>.</w:t>
      </w:r>
      <w:r w:rsidR="00E84AA0">
        <w:t xml:space="preserve"> Účinnost nabude splnění povinnosti ji zveřejnit dle Zákona č. 340/2015 Sb., Zákona o zvláštních podmínkách účinnosti některých smluv, uveřejňování těchto smluv a o registru smluv v platném znění, dnem jejího zveřejnění do Registru smluv. </w:t>
      </w:r>
    </w:p>
    <w:p w:rsidR="00AE2D88" w:rsidRDefault="00AE2D88" w:rsidP="00330474">
      <w:pPr>
        <w:pStyle w:val="Styl"/>
        <w:spacing w:line="292" w:lineRule="exact"/>
        <w:jc w:val="both"/>
        <w:rPr>
          <w:b/>
        </w:rPr>
      </w:pPr>
    </w:p>
    <w:p w:rsidR="00666433" w:rsidRDefault="00666433" w:rsidP="00330474">
      <w:pPr>
        <w:pStyle w:val="Styl"/>
        <w:spacing w:line="292" w:lineRule="exact"/>
        <w:jc w:val="both"/>
        <w:rPr>
          <w:b/>
        </w:rPr>
      </w:pPr>
      <w:r w:rsidRPr="0094055A">
        <w:t>Zveřejnění Smlouvy a Dodatku č.</w:t>
      </w:r>
      <w:r w:rsidR="00CD2C5A">
        <w:t xml:space="preserve"> </w:t>
      </w:r>
      <w:r w:rsidRPr="0094055A">
        <w:t>1 nejsou dotčené práva druhé smluvní strany ve smyslu Zákona č.101/2000 Sb., o ochraně osobních údajů, v platném znění a oprávněná smluvní strana dává tímto souhlas Technickému muzeu v Brně ke zpracování a zveřejnění osobních údajů druhé smluvní strany, dle § 5 Zákona č. 101/2000 Sb., o ochraně osobních údajů, v platném znění</w:t>
      </w:r>
      <w:r>
        <w:rPr>
          <w:b/>
        </w:rPr>
        <w:t xml:space="preserve">. </w:t>
      </w:r>
    </w:p>
    <w:p w:rsidR="00666433" w:rsidRDefault="00666433" w:rsidP="00330474">
      <w:pPr>
        <w:pStyle w:val="Styl"/>
        <w:spacing w:line="292" w:lineRule="exact"/>
        <w:jc w:val="both"/>
        <w:rPr>
          <w:b/>
        </w:rPr>
      </w:pPr>
      <w:r>
        <w:rPr>
          <w:b/>
        </w:rPr>
        <w:t xml:space="preserve">  </w:t>
      </w:r>
    </w:p>
    <w:p w:rsidR="00666433" w:rsidRPr="0094055A" w:rsidRDefault="00666433" w:rsidP="00330474">
      <w:pPr>
        <w:pStyle w:val="Styl"/>
        <w:spacing w:line="292" w:lineRule="exact"/>
        <w:jc w:val="both"/>
      </w:pPr>
      <w:r w:rsidRPr="0094055A">
        <w:t>Dodatek je vyhotoven ve dvou výtiscích z nich každá ze smluvních stran obdrží po jednom vyhotovení.</w:t>
      </w:r>
    </w:p>
    <w:p w:rsidR="00337FD1" w:rsidRPr="004C5F48" w:rsidRDefault="00337FD1" w:rsidP="00330474">
      <w:pPr>
        <w:pStyle w:val="Zkladntextodsazen"/>
        <w:ind w:left="0" w:hanging="709"/>
        <w:rPr>
          <w:rFonts w:ascii="Times New Roman" w:hAnsi="Times New Roman"/>
          <w:sz w:val="24"/>
          <w:szCs w:val="24"/>
        </w:rPr>
      </w:pPr>
    </w:p>
    <w:p w:rsidR="00337FD1" w:rsidRDefault="00337FD1" w:rsidP="00337FD1">
      <w:pPr>
        <w:ind w:left="426"/>
      </w:pPr>
      <w:r>
        <w:t xml:space="preserve">              </w:t>
      </w:r>
    </w:p>
    <w:p w:rsidR="00604DE0" w:rsidRDefault="00604DE0" w:rsidP="00604DE0"/>
    <w:p w:rsidR="00337FD1" w:rsidRDefault="00337FD1" w:rsidP="00604DE0">
      <w:r>
        <w:t xml:space="preserve">V Brně dne ……………………       </w:t>
      </w:r>
    </w:p>
    <w:p w:rsidR="00337FD1" w:rsidRDefault="00337FD1" w:rsidP="00337FD1"/>
    <w:p w:rsidR="00AE2774" w:rsidRDefault="00337FD1" w:rsidP="00337FD1">
      <w:r>
        <w:t xml:space="preserve">         </w:t>
      </w:r>
    </w:p>
    <w:p w:rsidR="00AE2774" w:rsidRDefault="00AE2774" w:rsidP="00337FD1"/>
    <w:p w:rsidR="00AE2774" w:rsidRDefault="00AE2774" w:rsidP="00337FD1"/>
    <w:p w:rsidR="00337FD1" w:rsidRPr="0066575F" w:rsidRDefault="00AE2774" w:rsidP="00337FD1">
      <w:pPr>
        <w:rPr>
          <w:b/>
        </w:rPr>
      </w:pPr>
      <w:r>
        <w:t xml:space="preserve">         </w:t>
      </w:r>
      <w:r w:rsidR="00337FD1">
        <w:t xml:space="preserve"> Technické muzeum v Brně                                                    </w:t>
      </w:r>
      <w:r w:rsidR="00AE2D88">
        <w:t xml:space="preserve">        </w:t>
      </w:r>
      <w:r w:rsidR="00491337">
        <w:t xml:space="preserve">      </w:t>
      </w:r>
      <w:r w:rsidR="00AE2D88">
        <w:t>Auto BALVIN spol. s.r.o.</w:t>
      </w:r>
    </w:p>
    <w:p w:rsidR="00337FD1" w:rsidRDefault="00337FD1" w:rsidP="00337FD1">
      <w:r>
        <w:t xml:space="preserve">               Ing. Ivo ŠTĚPÁNEK                                                        </w:t>
      </w:r>
      <w:r w:rsidR="00491337">
        <w:t xml:space="preserve">              Ing. </w:t>
      </w:r>
      <w:proofErr w:type="spellStart"/>
      <w:r w:rsidR="00491337">
        <w:t>Tea</w:t>
      </w:r>
      <w:proofErr w:type="spellEnd"/>
      <w:r w:rsidR="00491337">
        <w:t xml:space="preserve"> Balabánová </w:t>
      </w:r>
    </w:p>
    <w:p w:rsidR="00337FD1" w:rsidRDefault="00337FD1" w:rsidP="00337FD1">
      <w:pPr>
        <w:pStyle w:val="Styl"/>
        <w:spacing w:line="273" w:lineRule="exact"/>
        <w:ind w:left="782" w:right="4"/>
      </w:pPr>
      <w:r>
        <w:t xml:space="preserve">           </w:t>
      </w:r>
      <w:r w:rsidR="00491337">
        <w:t>Ř</w:t>
      </w:r>
      <w:r>
        <w:t>editel</w:t>
      </w:r>
      <w:r w:rsidR="00491337">
        <w:t xml:space="preserve">                                                                                    Ing. Petra Bendová </w:t>
      </w:r>
    </w:p>
    <w:p w:rsidR="00491337" w:rsidRDefault="00491337" w:rsidP="00337FD1">
      <w:pPr>
        <w:pStyle w:val="Styl"/>
        <w:spacing w:line="273" w:lineRule="exact"/>
        <w:ind w:left="782" w:right="4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jednatelé</w:t>
      </w:r>
    </w:p>
    <w:p w:rsidR="00CD2C5A" w:rsidRDefault="00CD2C5A" w:rsidP="00337FD1">
      <w:pPr>
        <w:pStyle w:val="Styl"/>
        <w:spacing w:line="273" w:lineRule="exact"/>
        <w:ind w:left="782" w:right="4"/>
      </w:pPr>
    </w:p>
    <w:p w:rsidR="00993C73" w:rsidRDefault="00337FD1" w:rsidP="00337FD1">
      <w:pPr>
        <w:pStyle w:val="Styl"/>
        <w:spacing w:line="273" w:lineRule="exact"/>
        <w:ind w:left="782" w:right="4"/>
      </w:pPr>
      <w:r>
        <w:t xml:space="preserve">                      </w:t>
      </w:r>
    </w:p>
    <w:p w:rsidR="00337FD1" w:rsidRDefault="00337FD1" w:rsidP="00337FD1">
      <w:pPr>
        <w:pStyle w:val="Styl"/>
        <w:spacing w:line="273" w:lineRule="exact"/>
        <w:ind w:left="782" w:right="4"/>
      </w:pPr>
      <w:r>
        <w:t xml:space="preserve">                                                               </w:t>
      </w:r>
    </w:p>
    <w:p w:rsidR="00337FD1" w:rsidRDefault="00337FD1" w:rsidP="00337FD1">
      <w:pPr>
        <w:pStyle w:val="Styl"/>
        <w:spacing w:line="273" w:lineRule="exact"/>
        <w:ind w:left="782" w:right="4"/>
      </w:pPr>
      <w:r>
        <w:t>.........................................                                                                 ........................................</w:t>
      </w:r>
    </w:p>
    <w:p w:rsidR="00337FD1" w:rsidRDefault="00337FD1" w:rsidP="00337FD1">
      <w:pPr>
        <w:pStyle w:val="Styl"/>
        <w:spacing w:line="273" w:lineRule="exact"/>
        <w:ind w:left="782" w:right="4"/>
      </w:pPr>
      <w:r>
        <w:t xml:space="preserve">       Pronajímatel                                                                                            Nájemce</w:t>
      </w:r>
    </w:p>
    <w:p w:rsidR="00337FD1" w:rsidRDefault="00337FD1" w:rsidP="00337FD1">
      <w:pPr>
        <w:pStyle w:val="Styl"/>
        <w:spacing w:line="273" w:lineRule="exact"/>
        <w:ind w:left="782" w:right="4"/>
      </w:pPr>
      <w:r>
        <w:t xml:space="preserve">                                                                   </w:t>
      </w:r>
    </w:p>
    <w:p w:rsidR="00337FD1" w:rsidRDefault="00337FD1" w:rsidP="00337FD1"/>
    <w:p w:rsidR="00337FD1" w:rsidRDefault="00337FD1" w:rsidP="00337FD1">
      <w:r>
        <w:t xml:space="preserve">             </w:t>
      </w:r>
    </w:p>
    <w:p w:rsidR="00666433" w:rsidRDefault="00337FD1" w:rsidP="00337FD1">
      <w:r>
        <w:t xml:space="preserve">         </w:t>
      </w:r>
    </w:p>
    <w:p w:rsidR="00337FD1" w:rsidRDefault="00337FD1" w:rsidP="00337FD1"/>
    <w:p w:rsidR="000617C0" w:rsidRDefault="000617C0" w:rsidP="007C31D6">
      <w:pPr>
        <w:pStyle w:val="Styl"/>
        <w:spacing w:line="292" w:lineRule="exact"/>
        <w:jc w:val="both"/>
      </w:pPr>
    </w:p>
    <w:p w:rsidR="000617C0" w:rsidRDefault="000617C0" w:rsidP="007C31D6">
      <w:pPr>
        <w:pStyle w:val="Styl"/>
        <w:spacing w:line="292" w:lineRule="exact"/>
        <w:jc w:val="both"/>
      </w:pPr>
    </w:p>
    <w:p w:rsidR="000617C0" w:rsidRDefault="000617C0" w:rsidP="007C31D6">
      <w:pPr>
        <w:pStyle w:val="Styl"/>
        <w:spacing w:line="292" w:lineRule="exact"/>
        <w:jc w:val="both"/>
      </w:pPr>
    </w:p>
    <w:p w:rsidR="007C31D6" w:rsidRPr="0029064C" w:rsidRDefault="007C31D6" w:rsidP="007C31D6">
      <w:pPr>
        <w:jc w:val="both"/>
      </w:pPr>
    </w:p>
    <w:p w:rsidR="007D4FD0" w:rsidRDefault="007D4FD0"/>
    <w:sectPr w:rsidR="007D4FD0">
      <w:footerReference w:type="even" r:id="rId9"/>
      <w:pgSz w:w="11907" w:h="16840"/>
      <w:pgMar w:top="1421" w:right="1253" w:bottom="360" w:left="85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A88" w:rsidRDefault="005B4A88">
      <w:r>
        <w:separator/>
      </w:r>
    </w:p>
  </w:endnote>
  <w:endnote w:type="continuationSeparator" w:id="0">
    <w:p w:rsidR="005B4A88" w:rsidRDefault="005B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FE3" w:rsidRDefault="007C31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D3FE3" w:rsidRDefault="005B4A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A88" w:rsidRDefault="005B4A88">
      <w:r>
        <w:separator/>
      </w:r>
    </w:p>
  </w:footnote>
  <w:footnote w:type="continuationSeparator" w:id="0">
    <w:p w:rsidR="005B4A88" w:rsidRDefault="005B4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6C28"/>
    <w:multiLevelType w:val="hybridMultilevel"/>
    <w:tmpl w:val="BA9EE7FE"/>
    <w:lvl w:ilvl="0" w:tplc="82847C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0F2152"/>
    <w:multiLevelType w:val="hybridMultilevel"/>
    <w:tmpl w:val="296C65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E5C6C"/>
    <w:multiLevelType w:val="hybridMultilevel"/>
    <w:tmpl w:val="AFAA9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644AC"/>
    <w:multiLevelType w:val="hybridMultilevel"/>
    <w:tmpl w:val="CF964D9A"/>
    <w:lvl w:ilvl="0" w:tplc="52D054E8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2" w:hanging="360"/>
      </w:pPr>
    </w:lvl>
    <w:lvl w:ilvl="2" w:tplc="0405001B" w:tentative="1">
      <w:start w:val="1"/>
      <w:numFmt w:val="lowerRoman"/>
      <w:lvlText w:val="%3."/>
      <w:lvlJc w:val="right"/>
      <w:pPr>
        <w:ind w:left="2112" w:hanging="180"/>
      </w:pPr>
    </w:lvl>
    <w:lvl w:ilvl="3" w:tplc="0405000F" w:tentative="1">
      <w:start w:val="1"/>
      <w:numFmt w:val="decimal"/>
      <w:lvlText w:val="%4."/>
      <w:lvlJc w:val="left"/>
      <w:pPr>
        <w:ind w:left="2832" w:hanging="360"/>
      </w:pPr>
    </w:lvl>
    <w:lvl w:ilvl="4" w:tplc="04050019" w:tentative="1">
      <w:start w:val="1"/>
      <w:numFmt w:val="lowerLetter"/>
      <w:lvlText w:val="%5."/>
      <w:lvlJc w:val="left"/>
      <w:pPr>
        <w:ind w:left="3552" w:hanging="360"/>
      </w:pPr>
    </w:lvl>
    <w:lvl w:ilvl="5" w:tplc="0405001B" w:tentative="1">
      <w:start w:val="1"/>
      <w:numFmt w:val="lowerRoman"/>
      <w:lvlText w:val="%6."/>
      <w:lvlJc w:val="right"/>
      <w:pPr>
        <w:ind w:left="4272" w:hanging="180"/>
      </w:pPr>
    </w:lvl>
    <w:lvl w:ilvl="6" w:tplc="0405000F" w:tentative="1">
      <w:start w:val="1"/>
      <w:numFmt w:val="decimal"/>
      <w:lvlText w:val="%7."/>
      <w:lvlJc w:val="left"/>
      <w:pPr>
        <w:ind w:left="4992" w:hanging="360"/>
      </w:pPr>
    </w:lvl>
    <w:lvl w:ilvl="7" w:tplc="04050019" w:tentative="1">
      <w:start w:val="1"/>
      <w:numFmt w:val="lowerLetter"/>
      <w:lvlText w:val="%8."/>
      <w:lvlJc w:val="left"/>
      <w:pPr>
        <w:ind w:left="5712" w:hanging="360"/>
      </w:pPr>
    </w:lvl>
    <w:lvl w:ilvl="8" w:tplc="040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">
    <w:nsid w:val="3E603B43"/>
    <w:multiLevelType w:val="hybridMultilevel"/>
    <w:tmpl w:val="34CCF6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72E28"/>
    <w:multiLevelType w:val="hybridMultilevel"/>
    <w:tmpl w:val="3C6A1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D6"/>
    <w:rsid w:val="00005090"/>
    <w:rsid w:val="000531BB"/>
    <w:rsid w:val="000562C6"/>
    <w:rsid w:val="000617C0"/>
    <w:rsid w:val="00070949"/>
    <w:rsid w:val="0007260E"/>
    <w:rsid w:val="000A4E32"/>
    <w:rsid w:val="000F3BDA"/>
    <w:rsid w:val="001051B5"/>
    <w:rsid w:val="0010740C"/>
    <w:rsid w:val="00143DB7"/>
    <w:rsid w:val="00185A4B"/>
    <w:rsid w:val="001A0545"/>
    <w:rsid w:val="001D3EB5"/>
    <w:rsid w:val="00216152"/>
    <w:rsid w:val="002162E6"/>
    <w:rsid w:val="0023425C"/>
    <w:rsid w:val="00253ABB"/>
    <w:rsid w:val="00286522"/>
    <w:rsid w:val="002A4644"/>
    <w:rsid w:val="002B1AE7"/>
    <w:rsid w:val="002B3918"/>
    <w:rsid w:val="002D4C2E"/>
    <w:rsid w:val="00305C1B"/>
    <w:rsid w:val="00330474"/>
    <w:rsid w:val="00337FD1"/>
    <w:rsid w:val="003413DB"/>
    <w:rsid w:val="00354A3E"/>
    <w:rsid w:val="00372693"/>
    <w:rsid w:val="00376307"/>
    <w:rsid w:val="003775B7"/>
    <w:rsid w:val="00395F5B"/>
    <w:rsid w:val="003B703D"/>
    <w:rsid w:val="003C39DF"/>
    <w:rsid w:val="003D7892"/>
    <w:rsid w:val="003D7B10"/>
    <w:rsid w:val="004240BF"/>
    <w:rsid w:val="00435857"/>
    <w:rsid w:val="00442CB8"/>
    <w:rsid w:val="00443EE2"/>
    <w:rsid w:val="00454D90"/>
    <w:rsid w:val="00491337"/>
    <w:rsid w:val="00504391"/>
    <w:rsid w:val="005075B3"/>
    <w:rsid w:val="005143B5"/>
    <w:rsid w:val="00587592"/>
    <w:rsid w:val="00591E0C"/>
    <w:rsid w:val="005975E8"/>
    <w:rsid w:val="005B4A88"/>
    <w:rsid w:val="005B5ED3"/>
    <w:rsid w:val="005D1098"/>
    <w:rsid w:val="005F166A"/>
    <w:rsid w:val="005F53BB"/>
    <w:rsid w:val="00601811"/>
    <w:rsid w:val="00604DE0"/>
    <w:rsid w:val="00654F96"/>
    <w:rsid w:val="00666433"/>
    <w:rsid w:val="00666D87"/>
    <w:rsid w:val="0067163C"/>
    <w:rsid w:val="00673E38"/>
    <w:rsid w:val="00691E31"/>
    <w:rsid w:val="006B33FA"/>
    <w:rsid w:val="006B4A93"/>
    <w:rsid w:val="006D7F6A"/>
    <w:rsid w:val="006E106E"/>
    <w:rsid w:val="006F691D"/>
    <w:rsid w:val="00701897"/>
    <w:rsid w:val="00771FA9"/>
    <w:rsid w:val="007C31D6"/>
    <w:rsid w:val="007C54F1"/>
    <w:rsid w:val="007C617B"/>
    <w:rsid w:val="007D4FD0"/>
    <w:rsid w:val="007E11D4"/>
    <w:rsid w:val="00801B27"/>
    <w:rsid w:val="00834A5A"/>
    <w:rsid w:val="00842F1A"/>
    <w:rsid w:val="008727AE"/>
    <w:rsid w:val="00883901"/>
    <w:rsid w:val="008A0C6C"/>
    <w:rsid w:val="008A1E41"/>
    <w:rsid w:val="008F38D3"/>
    <w:rsid w:val="0094055A"/>
    <w:rsid w:val="00940E63"/>
    <w:rsid w:val="00940FE7"/>
    <w:rsid w:val="00942ED6"/>
    <w:rsid w:val="009536D1"/>
    <w:rsid w:val="009541F0"/>
    <w:rsid w:val="0098550F"/>
    <w:rsid w:val="00991C41"/>
    <w:rsid w:val="00993C73"/>
    <w:rsid w:val="00A64C80"/>
    <w:rsid w:val="00AE2774"/>
    <w:rsid w:val="00AE2D88"/>
    <w:rsid w:val="00AE65EB"/>
    <w:rsid w:val="00AF4302"/>
    <w:rsid w:val="00B1636E"/>
    <w:rsid w:val="00B31430"/>
    <w:rsid w:val="00B7743D"/>
    <w:rsid w:val="00B77C3C"/>
    <w:rsid w:val="00B859CD"/>
    <w:rsid w:val="00BC7279"/>
    <w:rsid w:val="00BD77FA"/>
    <w:rsid w:val="00BD7C2B"/>
    <w:rsid w:val="00BE06A7"/>
    <w:rsid w:val="00BF0F0D"/>
    <w:rsid w:val="00BF5D51"/>
    <w:rsid w:val="00C006A0"/>
    <w:rsid w:val="00C20F05"/>
    <w:rsid w:val="00C25AE0"/>
    <w:rsid w:val="00C35022"/>
    <w:rsid w:val="00C37E12"/>
    <w:rsid w:val="00CB6496"/>
    <w:rsid w:val="00CC06CF"/>
    <w:rsid w:val="00CC7067"/>
    <w:rsid w:val="00CD2C5A"/>
    <w:rsid w:val="00CD6BE2"/>
    <w:rsid w:val="00CE004A"/>
    <w:rsid w:val="00CE485F"/>
    <w:rsid w:val="00D04B2B"/>
    <w:rsid w:val="00D319BA"/>
    <w:rsid w:val="00D40E6B"/>
    <w:rsid w:val="00D45B64"/>
    <w:rsid w:val="00D53234"/>
    <w:rsid w:val="00D760FF"/>
    <w:rsid w:val="00D774BE"/>
    <w:rsid w:val="00DA1291"/>
    <w:rsid w:val="00DA5155"/>
    <w:rsid w:val="00DD40CF"/>
    <w:rsid w:val="00DD6192"/>
    <w:rsid w:val="00DE6E4E"/>
    <w:rsid w:val="00E01CA4"/>
    <w:rsid w:val="00E17C28"/>
    <w:rsid w:val="00E23A6D"/>
    <w:rsid w:val="00E45279"/>
    <w:rsid w:val="00E84AA0"/>
    <w:rsid w:val="00EC45A2"/>
    <w:rsid w:val="00EF330A"/>
    <w:rsid w:val="00EF3E2E"/>
    <w:rsid w:val="00F01E56"/>
    <w:rsid w:val="00F20FEA"/>
    <w:rsid w:val="00FA102C"/>
    <w:rsid w:val="00FA16D5"/>
    <w:rsid w:val="00FA2A93"/>
    <w:rsid w:val="00FA36F3"/>
    <w:rsid w:val="00FA38C3"/>
    <w:rsid w:val="00FE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1D6"/>
    <w:rPr>
      <w:rFonts w:eastAsia="Times New Roman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37FD1"/>
    <w:pPr>
      <w:keepNext/>
      <w:ind w:right="-1"/>
      <w:outlineLvl w:val="1"/>
    </w:pPr>
    <w:rPr>
      <w:b/>
      <w:lang w:val="en-US" w:eastAsia="en-US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37FD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7C31D6"/>
    <w:pPr>
      <w:widowControl w:val="0"/>
      <w:autoSpaceDE w:val="0"/>
      <w:autoSpaceDN w:val="0"/>
      <w:adjustRightInd w:val="0"/>
    </w:pPr>
    <w:rPr>
      <w:rFonts w:eastAsia="Times New Roman"/>
      <w:lang w:eastAsia="cs-CZ"/>
    </w:rPr>
  </w:style>
  <w:style w:type="paragraph" w:styleId="Zpat">
    <w:name w:val="footer"/>
    <w:basedOn w:val="Normln"/>
    <w:link w:val="ZpatChar"/>
    <w:rsid w:val="007C31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C31D6"/>
    <w:rPr>
      <w:rFonts w:eastAsia="Times New Roman"/>
      <w:lang w:eastAsia="cs-CZ"/>
    </w:rPr>
  </w:style>
  <w:style w:type="character" w:styleId="slostrnky">
    <w:name w:val="page number"/>
    <w:basedOn w:val="Standardnpsmoodstavce"/>
    <w:rsid w:val="007C31D6"/>
  </w:style>
  <w:style w:type="paragraph" w:styleId="Textbubliny">
    <w:name w:val="Balloon Text"/>
    <w:basedOn w:val="Normln"/>
    <w:link w:val="TextbublinyChar"/>
    <w:uiPriority w:val="99"/>
    <w:semiHidden/>
    <w:unhideWhenUsed/>
    <w:rsid w:val="00B314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43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40E6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337FD1"/>
    <w:rPr>
      <w:rFonts w:eastAsia="Times New Roman"/>
      <w:b/>
      <w:lang w:val="en-US"/>
    </w:rPr>
  </w:style>
  <w:style w:type="character" w:customStyle="1" w:styleId="Nadpis6Char">
    <w:name w:val="Nadpis 6 Char"/>
    <w:basedOn w:val="Standardnpsmoodstavce"/>
    <w:link w:val="Nadpis6"/>
    <w:semiHidden/>
    <w:rsid w:val="00337FD1"/>
    <w:rPr>
      <w:rFonts w:ascii="Calibri" w:eastAsia="Times New Roman" w:hAnsi="Calibri"/>
      <w:b/>
      <w:bCs/>
      <w:sz w:val="22"/>
      <w:szCs w:val="22"/>
      <w:lang w:eastAsia="cs-CZ"/>
    </w:rPr>
  </w:style>
  <w:style w:type="paragraph" w:styleId="Zkladntextodsazen">
    <w:name w:val="Body Text Indent"/>
    <w:basedOn w:val="Normln"/>
    <w:link w:val="ZkladntextodsazenChar"/>
    <w:rsid w:val="00337FD1"/>
    <w:pPr>
      <w:ind w:left="284" w:hanging="284"/>
      <w:jc w:val="both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37FD1"/>
    <w:rPr>
      <w:rFonts w:ascii="Arial" w:eastAsia="Times New Roman" w:hAnsi="Arial"/>
      <w:sz w:val="22"/>
      <w:szCs w:val="20"/>
      <w:lang w:eastAsia="cs-CZ"/>
    </w:rPr>
  </w:style>
  <w:style w:type="paragraph" w:customStyle="1" w:styleId="Zkladntext31">
    <w:name w:val="Základní text 31"/>
    <w:basedOn w:val="Normln"/>
    <w:rsid w:val="00337FD1"/>
    <w:pPr>
      <w:jc w:val="both"/>
    </w:pPr>
    <w:rPr>
      <w:rFonts w:ascii="Arial" w:hAnsi="Arial"/>
      <w:color w:val="000000"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AE27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2774"/>
    <w:rPr>
      <w:rFonts w:eastAsia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1D6"/>
    <w:rPr>
      <w:rFonts w:eastAsia="Times New Roman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37FD1"/>
    <w:pPr>
      <w:keepNext/>
      <w:ind w:right="-1"/>
      <w:outlineLvl w:val="1"/>
    </w:pPr>
    <w:rPr>
      <w:b/>
      <w:lang w:val="en-US" w:eastAsia="en-US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37FD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7C31D6"/>
    <w:pPr>
      <w:widowControl w:val="0"/>
      <w:autoSpaceDE w:val="0"/>
      <w:autoSpaceDN w:val="0"/>
      <w:adjustRightInd w:val="0"/>
    </w:pPr>
    <w:rPr>
      <w:rFonts w:eastAsia="Times New Roman"/>
      <w:lang w:eastAsia="cs-CZ"/>
    </w:rPr>
  </w:style>
  <w:style w:type="paragraph" w:styleId="Zpat">
    <w:name w:val="footer"/>
    <w:basedOn w:val="Normln"/>
    <w:link w:val="ZpatChar"/>
    <w:rsid w:val="007C31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C31D6"/>
    <w:rPr>
      <w:rFonts w:eastAsia="Times New Roman"/>
      <w:lang w:eastAsia="cs-CZ"/>
    </w:rPr>
  </w:style>
  <w:style w:type="character" w:styleId="slostrnky">
    <w:name w:val="page number"/>
    <w:basedOn w:val="Standardnpsmoodstavce"/>
    <w:rsid w:val="007C31D6"/>
  </w:style>
  <w:style w:type="paragraph" w:styleId="Textbubliny">
    <w:name w:val="Balloon Text"/>
    <w:basedOn w:val="Normln"/>
    <w:link w:val="TextbublinyChar"/>
    <w:uiPriority w:val="99"/>
    <w:semiHidden/>
    <w:unhideWhenUsed/>
    <w:rsid w:val="00B314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43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40E6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337FD1"/>
    <w:rPr>
      <w:rFonts w:eastAsia="Times New Roman"/>
      <w:b/>
      <w:lang w:val="en-US"/>
    </w:rPr>
  </w:style>
  <w:style w:type="character" w:customStyle="1" w:styleId="Nadpis6Char">
    <w:name w:val="Nadpis 6 Char"/>
    <w:basedOn w:val="Standardnpsmoodstavce"/>
    <w:link w:val="Nadpis6"/>
    <w:semiHidden/>
    <w:rsid w:val="00337FD1"/>
    <w:rPr>
      <w:rFonts w:ascii="Calibri" w:eastAsia="Times New Roman" w:hAnsi="Calibri"/>
      <w:b/>
      <w:bCs/>
      <w:sz w:val="22"/>
      <w:szCs w:val="22"/>
      <w:lang w:eastAsia="cs-CZ"/>
    </w:rPr>
  </w:style>
  <w:style w:type="paragraph" w:styleId="Zkladntextodsazen">
    <w:name w:val="Body Text Indent"/>
    <w:basedOn w:val="Normln"/>
    <w:link w:val="ZkladntextodsazenChar"/>
    <w:rsid w:val="00337FD1"/>
    <w:pPr>
      <w:ind w:left="284" w:hanging="284"/>
      <w:jc w:val="both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37FD1"/>
    <w:rPr>
      <w:rFonts w:ascii="Arial" w:eastAsia="Times New Roman" w:hAnsi="Arial"/>
      <w:sz w:val="22"/>
      <w:szCs w:val="20"/>
      <w:lang w:eastAsia="cs-CZ"/>
    </w:rPr>
  </w:style>
  <w:style w:type="paragraph" w:customStyle="1" w:styleId="Zkladntext31">
    <w:name w:val="Základní text 31"/>
    <w:basedOn w:val="Normln"/>
    <w:rsid w:val="00337FD1"/>
    <w:pPr>
      <w:jc w:val="both"/>
    </w:pPr>
    <w:rPr>
      <w:rFonts w:ascii="Arial" w:hAnsi="Arial"/>
      <w:color w:val="000000"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AE27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2774"/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A5383-5BA1-495E-9208-217D8556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Surynková</dc:creator>
  <cp:lastModifiedBy>Haiser</cp:lastModifiedBy>
  <cp:revision>2</cp:revision>
  <cp:lastPrinted>2019-07-11T08:18:00Z</cp:lastPrinted>
  <dcterms:created xsi:type="dcterms:W3CDTF">2019-07-16T07:38:00Z</dcterms:created>
  <dcterms:modified xsi:type="dcterms:W3CDTF">2019-07-16T07:38:00Z</dcterms:modified>
</cp:coreProperties>
</file>