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9DF" w:rsidRPr="00B969DF" w:rsidRDefault="00B969DF" w:rsidP="001021A4">
      <w:pPr>
        <w:spacing w:after="0"/>
        <w:jc w:val="center"/>
        <w:rPr>
          <w:b/>
          <w:sz w:val="32"/>
          <w:szCs w:val="32"/>
        </w:rPr>
      </w:pPr>
      <w:r w:rsidRPr="00B969DF">
        <w:rPr>
          <w:b/>
          <w:sz w:val="32"/>
          <w:szCs w:val="32"/>
        </w:rPr>
        <w:t>Smlouva</w:t>
      </w:r>
    </w:p>
    <w:p w:rsidR="00B969DF" w:rsidRPr="00B969DF" w:rsidRDefault="00B969DF" w:rsidP="00B969DF">
      <w:pPr>
        <w:jc w:val="center"/>
        <w:rPr>
          <w:b/>
        </w:rPr>
      </w:pPr>
      <w:r w:rsidRPr="00B969DF">
        <w:rPr>
          <w:b/>
        </w:rPr>
        <w:t>o poskytnutí odborných poradenských služeb v oblasti bezpečnosti nemocnice</w:t>
      </w:r>
    </w:p>
    <w:p w:rsidR="00B969DF" w:rsidRDefault="00B969DF" w:rsidP="0047669E">
      <w:pPr>
        <w:jc w:val="center"/>
      </w:pPr>
      <w:r>
        <w:t>uzavřená dle ustanovení § 1746 odst. 2 zákona č. 89/2012 Sb., občanský zákoník, ve znění pozdějších předpisů (dále jen: „Občanský zákoník“)</w:t>
      </w:r>
    </w:p>
    <w:p w:rsidR="00B969DF" w:rsidRDefault="00B969DF" w:rsidP="00B969DF">
      <w:r>
        <w:t xml:space="preserve">(dále jen „Smlouva“) </w:t>
      </w:r>
    </w:p>
    <w:tbl>
      <w:tblPr>
        <w:tblStyle w:val="Mkatabulky"/>
        <w:tblW w:w="6135"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021"/>
      </w:tblGrid>
      <w:tr w:rsidR="00B969DF" w:rsidTr="0047669E">
        <w:tc>
          <w:tcPr>
            <w:tcW w:w="3114" w:type="dxa"/>
          </w:tcPr>
          <w:p w:rsidR="00B969DF" w:rsidRDefault="00B969DF" w:rsidP="00B969DF">
            <w:r>
              <w:t>Vedená Objednatelem pod Čj.:</w:t>
            </w:r>
          </w:p>
        </w:tc>
        <w:tc>
          <w:tcPr>
            <w:tcW w:w="3021" w:type="dxa"/>
          </w:tcPr>
          <w:p w:rsidR="00B969DF" w:rsidRPr="00E67BC4" w:rsidRDefault="00E67BC4" w:rsidP="00B969DF">
            <w:r w:rsidRPr="00E67BC4">
              <w:t>O</w:t>
            </w:r>
            <w:r>
              <w:t>/1880/2019</w:t>
            </w:r>
          </w:p>
        </w:tc>
      </w:tr>
      <w:tr w:rsidR="00B969DF" w:rsidTr="0047669E">
        <w:tc>
          <w:tcPr>
            <w:tcW w:w="3114" w:type="dxa"/>
          </w:tcPr>
          <w:p w:rsidR="00B969DF" w:rsidRDefault="00B969DF" w:rsidP="00B969DF">
            <w:r>
              <w:t>Vedená Poskytovatelem pod Čj.:</w:t>
            </w:r>
          </w:p>
        </w:tc>
        <w:tc>
          <w:tcPr>
            <w:tcW w:w="3021" w:type="dxa"/>
          </w:tcPr>
          <w:p w:rsidR="00B969DF" w:rsidRDefault="00900604" w:rsidP="007D35E9">
            <w:r>
              <w:t>SA_</w:t>
            </w:r>
            <w:r w:rsidR="007D35E9">
              <w:t>166</w:t>
            </w:r>
            <w:r w:rsidR="001C6ADA">
              <w:t>/19_</w:t>
            </w:r>
            <w:r w:rsidR="00E8673F">
              <w:t>F</w:t>
            </w:r>
            <w:r w:rsidR="001C6ADA">
              <w:t>N</w:t>
            </w:r>
            <w:r w:rsidR="009D1875">
              <w:t xml:space="preserve"> BRNO-</w:t>
            </w:r>
            <w:r w:rsidR="001C6ADA">
              <w:t>OMC</w:t>
            </w:r>
          </w:p>
        </w:tc>
      </w:tr>
    </w:tbl>
    <w:p w:rsidR="00B969DF" w:rsidRDefault="00B969DF" w:rsidP="00B969DF">
      <w:r>
        <w:t>Smluvní strany: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75"/>
        <w:gridCol w:w="3636"/>
        <w:gridCol w:w="909"/>
      </w:tblGrid>
      <w:tr w:rsidR="00403B74" w:rsidTr="00461EB0">
        <w:trPr>
          <w:gridAfter w:val="1"/>
          <w:wAfter w:w="909" w:type="dxa"/>
        </w:trPr>
        <w:tc>
          <w:tcPr>
            <w:tcW w:w="6316" w:type="dxa"/>
            <w:gridSpan w:val="3"/>
          </w:tcPr>
          <w:p w:rsidR="00403B74" w:rsidRDefault="00F10412" w:rsidP="00F10412">
            <w:pPr>
              <w:pStyle w:val="Odstavecseseznamem"/>
              <w:numPr>
                <w:ilvl w:val="0"/>
                <w:numId w:val="1"/>
              </w:numPr>
              <w:ind w:left="426" w:hanging="426"/>
            </w:pPr>
            <w:r>
              <w:rPr>
                <w:b/>
                <w:sz w:val="24"/>
                <w:szCs w:val="24"/>
              </w:rPr>
              <w:t>Fakultní</w:t>
            </w:r>
            <w:r w:rsidR="00403B74" w:rsidRPr="00B969DF">
              <w:rPr>
                <w:b/>
                <w:sz w:val="24"/>
                <w:szCs w:val="24"/>
              </w:rPr>
              <w:t xml:space="preserve"> nemocnice </w:t>
            </w:r>
            <w:r>
              <w:rPr>
                <w:b/>
                <w:sz w:val="24"/>
                <w:szCs w:val="24"/>
              </w:rPr>
              <w:t>Brno</w:t>
            </w:r>
          </w:p>
        </w:tc>
      </w:tr>
      <w:tr w:rsidR="00403B74" w:rsidTr="00461EB0">
        <w:tc>
          <w:tcPr>
            <w:tcW w:w="2405" w:type="dxa"/>
          </w:tcPr>
          <w:p w:rsidR="00403B74" w:rsidRDefault="00403B74" w:rsidP="00403B74">
            <w:pPr>
              <w:ind w:firstLine="454"/>
            </w:pPr>
            <w:r>
              <w:t>Se sídlem</w:t>
            </w:r>
          </w:p>
        </w:tc>
        <w:tc>
          <w:tcPr>
            <w:tcW w:w="275" w:type="dxa"/>
          </w:tcPr>
          <w:p w:rsidR="00403B74" w:rsidRDefault="00403B74" w:rsidP="00B969DF">
            <w:r>
              <w:t>:</w:t>
            </w:r>
          </w:p>
        </w:tc>
        <w:tc>
          <w:tcPr>
            <w:tcW w:w="4545" w:type="dxa"/>
            <w:gridSpan w:val="2"/>
          </w:tcPr>
          <w:p w:rsidR="00403B74" w:rsidRDefault="00F10412" w:rsidP="00B969DF">
            <w:r>
              <w:t>Jihlavská 20, Brno, PSČ: 625 00</w:t>
            </w:r>
          </w:p>
        </w:tc>
      </w:tr>
      <w:tr w:rsidR="00403B74" w:rsidTr="00461EB0">
        <w:tc>
          <w:tcPr>
            <w:tcW w:w="2405" w:type="dxa"/>
          </w:tcPr>
          <w:p w:rsidR="00403B74" w:rsidRDefault="00403B74" w:rsidP="00403B74">
            <w:pPr>
              <w:ind w:firstLine="454"/>
            </w:pPr>
            <w:r>
              <w:t>Zastoupená</w:t>
            </w:r>
          </w:p>
        </w:tc>
        <w:tc>
          <w:tcPr>
            <w:tcW w:w="275" w:type="dxa"/>
          </w:tcPr>
          <w:p w:rsidR="00403B74" w:rsidRDefault="00403B74" w:rsidP="00B969DF">
            <w:r>
              <w:t>:</w:t>
            </w:r>
          </w:p>
        </w:tc>
        <w:tc>
          <w:tcPr>
            <w:tcW w:w="4545" w:type="dxa"/>
            <w:gridSpan w:val="2"/>
          </w:tcPr>
          <w:p w:rsidR="00403B74" w:rsidRDefault="00254DC9" w:rsidP="007D35E9">
            <w:r w:rsidRPr="00254DC9">
              <w:t>MUDr. Roman Kraus, MBA</w:t>
            </w:r>
          </w:p>
        </w:tc>
      </w:tr>
      <w:tr w:rsidR="00403B74" w:rsidTr="00461EB0">
        <w:tc>
          <w:tcPr>
            <w:tcW w:w="2405" w:type="dxa"/>
          </w:tcPr>
          <w:p w:rsidR="00403B74" w:rsidRDefault="00403B74" w:rsidP="00403B74">
            <w:pPr>
              <w:ind w:firstLine="454"/>
            </w:pPr>
            <w:r>
              <w:t>IČO</w:t>
            </w:r>
          </w:p>
        </w:tc>
        <w:tc>
          <w:tcPr>
            <w:tcW w:w="275" w:type="dxa"/>
          </w:tcPr>
          <w:p w:rsidR="00403B74" w:rsidRDefault="00403B74" w:rsidP="00B969DF">
            <w:r>
              <w:t>:</w:t>
            </w:r>
          </w:p>
        </w:tc>
        <w:tc>
          <w:tcPr>
            <w:tcW w:w="4545" w:type="dxa"/>
            <w:gridSpan w:val="2"/>
          </w:tcPr>
          <w:p w:rsidR="00403B74" w:rsidRDefault="00F10412" w:rsidP="00B969DF">
            <w:r w:rsidRPr="00F10412">
              <w:t>652 69 705</w:t>
            </w:r>
          </w:p>
        </w:tc>
      </w:tr>
      <w:tr w:rsidR="00403B74" w:rsidTr="00461EB0">
        <w:tc>
          <w:tcPr>
            <w:tcW w:w="2405" w:type="dxa"/>
          </w:tcPr>
          <w:p w:rsidR="00403B74" w:rsidRDefault="00403B74" w:rsidP="00403B74">
            <w:pPr>
              <w:ind w:firstLine="454"/>
            </w:pPr>
            <w:r>
              <w:t>DIČ</w:t>
            </w:r>
          </w:p>
        </w:tc>
        <w:tc>
          <w:tcPr>
            <w:tcW w:w="275" w:type="dxa"/>
          </w:tcPr>
          <w:p w:rsidR="00403B74" w:rsidRDefault="00403B74" w:rsidP="00B969DF">
            <w:r>
              <w:t>:</w:t>
            </w:r>
          </w:p>
        </w:tc>
        <w:tc>
          <w:tcPr>
            <w:tcW w:w="4545" w:type="dxa"/>
            <w:gridSpan w:val="2"/>
          </w:tcPr>
          <w:p w:rsidR="00403B74" w:rsidRDefault="00F10412" w:rsidP="00B969DF">
            <w:r>
              <w:t xml:space="preserve">CZ </w:t>
            </w:r>
            <w:r w:rsidRPr="00F10412">
              <w:t>652 69 705</w:t>
            </w:r>
          </w:p>
        </w:tc>
      </w:tr>
      <w:tr w:rsidR="00403B74" w:rsidTr="00461EB0">
        <w:tc>
          <w:tcPr>
            <w:tcW w:w="2405" w:type="dxa"/>
          </w:tcPr>
          <w:p w:rsidR="00403B74" w:rsidRDefault="00403B74" w:rsidP="00403B74">
            <w:pPr>
              <w:ind w:firstLine="454"/>
            </w:pPr>
            <w:r>
              <w:t>Bankovní spojení</w:t>
            </w:r>
          </w:p>
        </w:tc>
        <w:tc>
          <w:tcPr>
            <w:tcW w:w="275" w:type="dxa"/>
          </w:tcPr>
          <w:p w:rsidR="00403B74" w:rsidRDefault="00403B74" w:rsidP="00B969DF">
            <w:r>
              <w:t>:</w:t>
            </w:r>
          </w:p>
        </w:tc>
        <w:tc>
          <w:tcPr>
            <w:tcW w:w="4545" w:type="dxa"/>
            <w:gridSpan w:val="2"/>
          </w:tcPr>
          <w:p w:rsidR="00403B74" w:rsidRDefault="00F10412" w:rsidP="00F10412">
            <w:pPr>
              <w:ind w:firstLine="42"/>
              <w:jc w:val="both"/>
            </w:pPr>
            <w:r>
              <w:t>Česká národní banka, Rooseveltova 18, Brno</w:t>
            </w:r>
          </w:p>
        </w:tc>
      </w:tr>
      <w:tr w:rsidR="00403B74" w:rsidTr="00461EB0">
        <w:tc>
          <w:tcPr>
            <w:tcW w:w="2405" w:type="dxa"/>
          </w:tcPr>
          <w:p w:rsidR="00403B74" w:rsidRDefault="00403B74" w:rsidP="00403B74">
            <w:pPr>
              <w:ind w:firstLine="454"/>
            </w:pPr>
            <w:r>
              <w:t>Číslo účtu</w:t>
            </w:r>
          </w:p>
        </w:tc>
        <w:tc>
          <w:tcPr>
            <w:tcW w:w="275" w:type="dxa"/>
          </w:tcPr>
          <w:p w:rsidR="00403B74" w:rsidRDefault="00403B74" w:rsidP="00B969DF">
            <w:r>
              <w:t>:</w:t>
            </w:r>
          </w:p>
        </w:tc>
        <w:tc>
          <w:tcPr>
            <w:tcW w:w="4545" w:type="dxa"/>
            <w:gridSpan w:val="2"/>
          </w:tcPr>
          <w:p w:rsidR="00403B74" w:rsidRDefault="00F10412" w:rsidP="00B969DF">
            <w:r>
              <w:t>712 346 21/0710</w:t>
            </w:r>
          </w:p>
        </w:tc>
      </w:tr>
      <w:tr w:rsidR="00403B74" w:rsidTr="00461EB0">
        <w:tc>
          <w:tcPr>
            <w:tcW w:w="2405" w:type="dxa"/>
          </w:tcPr>
          <w:p w:rsidR="00403B74" w:rsidRDefault="00403B74" w:rsidP="00403B74">
            <w:pPr>
              <w:ind w:firstLine="454"/>
            </w:pPr>
            <w:r>
              <w:t>Datová schránka</w:t>
            </w:r>
          </w:p>
        </w:tc>
        <w:tc>
          <w:tcPr>
            <w:tcW w:w="275" w:type="dxa"/>
          </w:tcPr>
          <w:p w:rsidR="00403B74" w:rsidRDefault="00403B74" w:rsidP="00B969DF">
            <w:r>
              <w:t>:</w:t>
            </w:r>
          </w:p>
        </w:tc>
        <w:tc>
          <w:tcPr>
            <w:tcW w:w="4545" w:type="dxa"/>
            <w:gridSpan w:val="2"/>
          </w:tcPr>
          <w:p w:rsidR="00403B74" w:rsidRDefault="00F10412" w:rsidP="00B969DF">
            <w:r w:rsidRPr="00F10412">
              <w:t>4twn9vt</w:t>
            </w:r>
          </w:p>
        </w:tc>
      </w:tr>
    </w:tbl>
    <w:p w:rsidR="00C55BEF" w:rsidRDefault="00C55BEF" w:rsidP="00B969DF">
      <w:pPr>
        <w:spacing w:after="0" w:line="240" w:lineRule="auto"/>
        <w:ind w:firstLine="426"/>
      </w:pPr>
    </w:p>
    <w:p w:rsidR="00B969DF" w:rsidRDefault="00B969DF" w:rsidP="00B969DF">
      <w:pPr>
        <w:spacing w:after="0" w:line="240" w:lineRule="auto"/>
        <w:ind w:firstLine="426"/>
      </w:pPr>
      <w:r>
        <w:t>(dále jen „Objednatel“</w:t>
      </w:r>
      <w:r w:rsidR="00C55BEF">
        <w:t>)</w:t>
      </w:r>
    </w:p>
    <w:p w:rsidR="00B969DF" w:rsidRDefault="00B969DF" w:rsidP="00B969DF">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75"/>
        <w:gridCol w:w="3636"/>
        <w:gridCol w:w="2326"/>
      </w:tblGrid>
      <w:tr w:rsidR="00403B74" w:rsidTr="00461EB0">
        <w:trPr>
          <w:gridAfter w:val="1"/>
          <w:wAfter w:w="2326" w:type="dxa"/>
        </w:trPr>
        <w:tc>
          <w:tcPr>
            <w:tcW w:w="6316" w:type="dxa"/>
            <w:gridSpan w:val="3"/>
          </w:tcPr>
          <w:p w:rsidR="00403B74" w:rsidRDefault="00403B74" w:rsidP="00403B74">
            <w:pPr>
              <w:pStyle w:val="Odstavecseseznamem"/>
              <w:numPr>
                <w:ilvl w:val="0"/>
                <w:numId w:val="1"/>
              </w:numPr>
              <w:ind w:left="426" w:hanging="426"/>
            </w:pPr>
            <w:proofErr w:type="gramStart"/>
            <w:r>
              <w:rPr>
                <w:b/>
                <w:sz w:val="24"/>
                <w:szCs w:val="24"/>
              </w:rPr>
              <w:t>F.S.</w:t>
            </w:r>
            <w:proofErr w:type="gramEnd"/>
            <w:r>
              <w:rPr>
                <w:b/>
                <w:sz w:val="24"/>
                <w:szCs w:val="24"/>
              </w:rPr>
              <w:t>C. BEZPEČNOSTNÍ PORADENSTVÍ, a.s.</w:t>
            </w:r>
          </w:p>
        </w:tc>
      </w:tr>
      <w:tr w:rsidR="00403B74" w:rsidTr="00461EB0">
        <w:tc>
          <w:tcPr>
            <w:tcW w:w="2405" w:type="dxa"/>
          </w:tcPr>
          <w:p w:rsidR="00403B74" w:rsidRDefault="00403B74" w:rsidP="001D403E">
            <w:pPr>
              <w:ind w:firstLine="454"/>
            </w:pPr>
            <w:r>
              <w:t>Se sídlem</w:t>
            </w:r>
          </w:p>
        </w:tc>
        <w:tc>
          <w:tcPr>
            <w:tcW w:w="275" w:type="dxa"/>
          </w:tcPr>
          <w:p w:rsidR="00403B74" w:rsidRDefault="00403B74" w:rsidP="001D403E">
            <w:r>
              <w:t>:</w:t>
            </w:r>
          </w:p>
        </w:tc>
        <w:tc>
          <w:tcPr>
            <w:tcW w:w="5962" w:type="dxa"/>
            <w:gridSpan w:val="2"/>
          </w:tcPr>
          <w:p w:rsidR="00403B74" w:rsidRDefault="00461EB0" w:rsidP="00461EB0">
            <w:r>
              <w:t xml:space="preserve">Vítkovická 22/1994, Ostrava – Moravská Ostrava, PSČ: </w:t>
            </w:r>
            <w:r w:rsidR="00403B74" w:rsidRPr="00B969DF">
              <w:tab/>
            </w:r>
          </w:p>
        </w:tc>
      </w:tr>
      <w:tr w:rsidR="00403B74" w:rsidTr="00461EB0">
        <w:tc>
          <w:tcPr>
            <w:tcW w:w="2405" w:type="dxa"/>
          </w:tcPr>
          <w:p w:rsidR="00403B74" w:rsidRDefault="00403B74" w:rsidP="001D403E">
            <w:pPr>
              <w:ind w:firstLine="454"/>
            </w:pPr>
            <w:r>
              <w:t>Zastoupená</w:t>
            </w:r>
          </w:p>
        </w:tc>
        <w:tc>
          <w:tcPr>
            <w:tcW w:w="275" w:type="dxa"/>
          </w:tcPr>
          <w:p w:rsidR="00403B74" w:rsidRDefault="00403B74" w:rsidP="001D403E">
            <w:r>
              <w:t>:</w:t>
            </w:r>
          </w:p>
        </w:tc>
        <w:tc>
          <w:tcPr>
            <w:tcW w:w="5962" w:type="dxa"/>
            <w:gridSpan w:val="2"/>
          </w:tcPr>
          <w:p w:rsidR="00403B74" w:rsidRDefault="00C14765" w:rsidP="00461EB0">
            <w:proofErr w:type="spellStart"/>
            <w:r>
              <w:t>xxxxxxxxxxxxxxxx</w:t>
            </w:r>
            <w:proofErr w:type="spellEnd"/>
          </w:p>
        </w:tc>
      </w:tr>
      <w:tr w:rsidR="00403B74" w:rsidTr="00461EB0">
        <w:tc>
          <w:tcPr>
            <w:tcW w:w="2405" w:type="dxa"/>
          </w:tcPr>
          <w:p w:rsidR="00403B74" w:rsidRDefault="00403B74" w:rsidP="001D403E">
            <w:pPr>
              <w:ind w:firstLine="454"/>
            </w:pPr>
            <w:r>
              <w:t>IČO</w:t>
            </w:r>
          </w:p>
        </w:tc>
        <w:tc>
          <w:tcPr>
            <w:tcW w:w="275" w:type="dxa"/>
          </w:tcPr>
          <w:p w:rsidR="00403B74" w:rsidRDefault="00403B74" w:rsidP="001D403E">
            <w:r>
              <w:t>:</w:t>
            </w:r>
          </w:p>
        </w:tc>
        <w:tc>
          <w:tcPr>
            <w:tcW w:w="5962" w:type="dxa"/>
            <w:gridSpan w:val="2"/>
          </w:tcPr>
          <w:p w:rsidR="00403B74" w:rsidRDefault="00155139" w:rsidP="001D403E">
            <w:r>
              <w:t>25884646</w:t>
            </w:r>
          </w:p>
        </w:tc>
      </w:tr>
      <w:tr w:rsidR="00403B74" w:rsidTr="00461EB0">
        <w:tc>
          <w:tcPr>
            <w:tcW w:w="2405" w:type="dxa"/>
          </w:tcPr>
          <w:p w:rsidR="00403B74" w:rsidRDefault="00403B74" w:rsidP="001D403E">
            <w:pPr>
              <w:ind w:firstLine="454"/>
            </w:pPr>
            <w:r>
              <w:t>DIČ</w:t>
            </w:r>
          </w:p>
        </w:tc>
        <w:tc>
          <w:tcPr>
            <w:tcW w:w="275" w:type="dxa"/>
          </w:tcPr>
          <w:p w:rsidR="00403B74" w:rsidRDefault="00403B74" w:rsidP="001D403E">
            <w:r>
              <w:t>:</w:t>
            </w:r>
          </w:p>
        </w:tc>
        <w:tc>
          <w:tcPr>
            <w:tcW w:w="5962" w:type="dxa"/>
            <w:gridSpan w:val="2"/>
          </w:tcPr>
          <w:p w:rsidR="00403B74" w:rsidRDefault="00403B74" w:rsidP="00461EB0">
            <w:r>
              <w:t>CZ</w:t>
            </w:r>
            <w:r w:rsidR="00155139">
              <w:t>25884646</w:t>
            </w:r>
          </w:p>
        </w:tc>
      </w:tr>
      <w:tr w:rsidR="00403B74" w:rsidTr="00461EB0">
        <w:tc>
          <w:tcPr>
            <w:tcW w:w="2405" w:type="dxa"/>
          </w:tcPr>
          <w:p w:rsidR="00403B74" w:rsidRDefault="00403B74" w:rsidP="001D403E">
            <w:pPr>
              <w:ind w:firstLine="454"/>
            </w:pPr>
            <w:r>
              <w:t>Bankovní spojení</w:t>
            </w:r>
          </w:p>
        </w:tc>
        <w:tc>
          <w:tcPr>
            <w:tcW w:w="275" w:type="dxa"/>
          </w:tcPr>
          <w:p w:rsidR="00403B74" w:rsidRDefault="00403B74" w:rsidP="001D403E">
            <w:r>
              <w:t>:</w:t>
            </w:r>
          </w:p>
        </w:tc>
        <w:tc>
          <w:tcPr>
            <w:tcW w:w="5962" w:type="dxa"/>
            <w:gridSpan w:val="2"/>
          </w:tcPr>
          <w:p w:rsidR="00403B74" w:rsidRPr="00461EB0" w:rsidRDefault="00C14765" w:rsidP="00461EB0">
            <w:pPr>
              <w:ind w:firstLine="42"/>
              <w:jc w:val="both"/>
            </w:pPr>
            <w:proofErr w:type="spellStart"/>
            <w:r>
              <w:t>xxxxxxxxxxxxx</w:t>
            </w:r>
            <w:proofErr w:type="spellEnd"/>
          </w:p>
        </w:tc>
      </w:tr>
      <w:tr w:rsidR="00403B74" w:rsidTr="00461EB0">
        <w:tc>
          <w:tcPr>
            <w:tcW w:w="2405" w:type="dxa"/>
          </w:tcPr>
          <w:p w:rsidR="00403B74" w:rsidRDefault="00403B74" w:rsidP="001D403E">
            <w:pPr>
              <w:ind w:firstLine="454"/>
            </w:pPr>
            <w:r>
              <w:t>Číslo účtu</w:t>
            </w:r>
          </w:p>
        </w:tc>
        <w:tc>
          <w:tcPr>
            <w:tcW w:w="275" w:type="dxa"/>
          </w:tcPr>
          <w:p w:rsidR="00403B74" w:rsidRDefault="00403B74" w:rsidP="001D403E">
            <w:r>
              <w:t>:</w:t>
            </w:r>
          </w:p>
        </w:tc>
        <w:tc>
          <w:tcPr>
            <w:tcW w:w="5962" w:type="dxa"/>
            <w:gridSpan w:val="2"/>
          </w:tcPr>
          <w:p w:rsidR="00403B74" w:rsidRPr="00461EB0" w:rsidRDefault="00C14765" w:rsidP="001D403E">
            <w:proofErr w:type="spellStart"/>
            <w:r>
              <w:t>xxxxxxxxxxxxxx</w:t>
            </w:r>
            <w:proofErr w:type="spellEnd"/>
          </w:p>
        </w:tc>
      </w:tr>
      <w:tr w:rsidR="00403B74" w:rsidTr="00461EB0">
        <w:tc>
          <w:tcPr>
            <w:tcW w:w="2405" w:type="dxa"/>
          </w:tcPr>
          <w:p w:rsidR="00403B74" w:rsidRDefault="00403B74" w:rsidP="001D403E">
            <w:pPr>
              <w:ind w:firstLine="454"/>
            </w:pPr>
            <w:r>
              <w:t>Datová schránka</w:t>
            </w:r>
          </w:p>
        </w:tc>
        <w:tc>
          <w:tcPr>
            <w:tcW w:w="275" w:type="dxa"/>
          </w:tcPr>
          <w:p w:rsidR="00403B74" w:rsidRDefault="00403B74" w:rsidP="001D403E">
            <w:r>
              <w:t>:</w:t>
            </w:r>
          </w:p>
        </w:tc>
        <w:tc>
          <w:tcPr>
            <w:tcW w:w="5962" w:type="dxa"/>
            <w:gridSpan w:val="2"/>
          </w:tcPr>
          <w:p w:rsidR="00403B74" w:rsidRPr="00461EB0" w:rsidRDefault="00376CE4" w:rsidP="001D403E">
            <w:r>
              <w:t>atud7ai</w:t>
            </w:r>
          </w:p>
        </w:tc>
      </w:tr>
    </w:tbl>
    <w:p w:rsidR="00B969DF" w:rsidRDefault="00B969DF" w:rsidP="00403B74">
      <w:pPr>
        <w:spacing w:after="0" w:line="240" w:lineRule="auto"/>
        <w:ind w:firstLine="426"/>
      </w:pPr>
    </w:p>
    <w:p w:rsidR="00B969DF" w:rsidRDefault="00B969DF" w:rsidP="00461EB0">
      <w:pPr>
        <w:spacing w:after="0" w:line="240" w:lineRule="auto"/>
        <w:ind w:firstLine="426"/>
      </w:pPr>
      <w:r>
        <w:t>(dále jen „Poskytovatel“)</w:t>
      </w:r>
    </w:p>
    <w:p w:rsidR="00461EB0" w:rsidRDefault="00461EB0" w:rsidP="00461EB0">
      <w:pPr>
        <w:spacing w:after="0" w:line="240" w:lineRule="auto"/>
        <w:ind w:firstLine="66"/>
      </w:pPr>
    </w:p>
    <w:p w:rsidR="00B969DF" w:rsidRDefault="00B969DF" w:rsidP="00461EB0">
      <w:pPr>
        <w:spacing w:line="240" w:lineRule="auto"/>
        <w:ind w:firstLine="66"/>
      </w:pPr>
      <w:r>
        <w:t xml:space="preserve">(společně též „smluvní strany“ nebo jednotlivě „smluvní strana“) </w:t>
      </w:r>
    </w:p>
    <w:p w:rsidR="0047669E" w:rsidRDefault="0047669E" w:rsidP="00461EB0">
      <w:pPr>
        <w:jc w:val="center"/>
        <w:rPr>
          <w:b/>
        </w:rPr>
      </w:pPr>
    </w:p>
    <w:p w:rsidR="00B969DF" w:rsidRPr="00461EB0" w:rsidRDefault="00B969DF" w:rsidP="00461EB0">
      <w:pPr>
        <w:jc w:val="center"/>
        <w:rPr>
          <w:b/>
        </w:rPr>
      </w:pPr>
      <w:r w:rsidRPr="00461EB0">
        <w:rPr>
          <w:b/>
        </w:rPr>
        <w:t>Preambule</w:t>
      </w:r>
    </w:p>
    <w:p w:rsidR="00B969DF" w:rsidRDefault="00B969DF" w:rsidP="00CE415F">
      <w:pPr>
        <w:spacing w:after="0"/>
        <w:ind w:left="567" w:hanging="567"/>
        <w:jc w:val="both"/>
      </w:pPr>
      <w:r>
        <w:t>1.</w:t>
      </w:r>
      <w:r>
        <w:tab/>
        <w:t xml:space="preserve">Tato Smlouva upravuje práva a povinnosti mezi smluvními stranami, které vzešly z výsledku veřejné zakázky malého rozsahu s názvem </w:t>
      </w:r>
      <w:r w:rsidRPr="00461EB0">
        <w:rPr>
          <w:b/>
        </w:rPr>
        <w:t>„</w:t>
      </w:r>
      <w:r w:rsidR="00461EB0" w:rsidRPr="00461EB0">
        <w:rPr>
          <w:b/>
        </w:rPr>
        <w:t>Analýza hrozeb a rizik, bezpečnostní studie areálu nemocnice</w:t>
      </w:r>
      <w:r w:rsidR="009D1875">
        <w:rPr>
          <w:b/>
        </w:rPr>
        <w:t>, včetně zpracování</w:t>
      </w:r>
      <w:r w:rsidR="00461EB0" w:rsidRPr="00461EB0">
        <w:rPr>
          <w:b/>
        </w:rPr>
        <w:t xml:space="preserve"> metodik</w:t>
      </w:r>
      <w:r w:rsidR="009D1875">
        <w:rPr>
          <w:b/>
        </w:rPr>
        <w:t>y</w:t>
      </w:r>
      <w:r w:rsidR="00461EB0" w:rsidRPr="00461EB0">
        <w:rPr>
          <w:b/>
        </w:rPr>
        <w:t xml:space="preserve"> výkonu služby fyzické ostrahy ve vztahu k ochraně měkk</w:t>
      </w:r>
      <w:r w:rsidR="009D1875">
        <w:rPr>
          <w:b/>
        </w:rPr>
        <w:t>ého</w:t>
      </w:r>
      <w:r w:rsidR="00461EB0" w:rsidRPr="00461EB0">
        <w:rPr>
          <w:b/>
        </w:rPr>
        <w:t xml:space="preserve"> cíl</w:t>
      </w:r>
      <w:r w:rsidR="009D1875">
        <w:rPr>
          <w:b/>
        </w:rPr>
        <w:t>e</w:t>
      </w:r>
      <w:r w:rsidRPr="00461EB0">
        <w:rPr>
          <w:b/>
        </w:rPr>
        <w:t>“</w:t>
      </w:r>
      <w:r>
        <w:t>. Nabídka Poskytovatele byla pro účely této Smlouvy vybrána jako nejvýhodnější.</w:t>
      </w:r>
    </w:p>
    <w:p w:rsidR="00B969DF" w:rsidRDefault="00B969DF" w:rsidP="00461EB0">
      <w:pPr>
        <w:ind w:left="567" w:hanging="567"/>
        <w:jc w:val="both"/>
      </w:pPr>
      <w:r>
        <w:t>2.</w:t>
      </w:r>
      <w:r>
        <w:tab/>
        <w:t xml:space="preserve">Smlouva stanovuje základní obsah právního vztahu na poskytování požadovaného předmětu plnění mezi smluvními stranami. Ustanovení této Smlouvy je třeba vykládat v souladu se zadávacími podmínkami předmětné veřejné zakázky malého rozsahu, jakož i v souladu s nabídkou </w:t>
      </w:r>
      <w:r w:rsidR="00461EB0">
        <w:t>P</w:t>
      </w:r>
      <w:r>
        <w:t>oskytovatele na plnění uvedené veřejné zakázky malého rozsahu.</w:t>
      </w:r>
    </w:p>
    <w:p w:rsidR="0047669E" w:rsidRDefault="0047669E" w:rsidP="00461EB0">
      <w:pPr>
        <w:spacing w:after="0" w:line="240" w:lineRule="auto"/>
        <w:jc w:val="center"/>
        <w:rPr>
          <w:b/>
        </w:rPr>
      </w:pPr>
    </w:p>
    <w:p w:rsidR="0047669E" w:rsidRDefault="0047669E" w:rsidP="00461EB0">
      <w:pPr>
        <w:spacing w:after="0" w:line="240" w:lineRule="auto"/>
        <w:jc w:val="center"/>
        <w:rPr>
          <w:b/>
        </w:rPr>
      </w:pPr>
    </w:p>
    <w:p w:rsidR="0047669E" w:rsidRDefault="0047669E" w:rsidP="00461EB0">
      <w:pPr>
        <w:spacing w:after="0" w:line="240" w:lineRule="auto"/>
        <w:jc w:val="center"/>
        <w:rPr>
          <w:b/>
        </w:rPr>
      </w:pPr>
    </w:p>
    <w:p w:rsidR="007D35E9" w:rsidRDefault="007D35E9" w:rsidP="00461EB0">
      <w:pPr>
        <w:spacing w:after="0" w:line="240" w:lineRule="auto"/>
        <w:jc w:val="center"/>
        <w:rPr>
          <w:b/>
        </w:rPr>
      </w:pPr>
    </w:p>
    <w:p w:rsidR="007D35E9" w:rsidRDefault="007D35E9" w:rsidP="00461EB0">
      <w:pPr>
        <w:spacing w:after="0" w:line="240" w:lineRule="auto"/>
        <w:jc w:val="center"/>
        <w:rPr>
          <w:b/>
        </w:rPr>
      </w:pPr>
    </w:p>
    <w:p w:rsidR="00B969DF" w:rsidRPr="00461EB0" w:rsidRDefault="00B969DF" w:rsidP="00461EB0">
      <w:pPr>
        <w:spacing w:after="0" w:line="240" w:lineRule="auto"/>
        <w:jc w:val="center"/>
        <w:rPr>
          <w:b/>
        </w:rPr>
      </w:pPr>
      <w:r w:rsidRPr="00461EB0">
        <w:rPr>
          <w:b/>
        </w:rPr>
        <w:lastRenderedPageBreak/>
        <w:t>Článek I.</w:t>
      </w:r>
    </w:p>
    <w:p w:rsidR="00B969DF" w:rsidRDefault="00B969DF" w:rsidP="00100064">
      <w:pPr>
        <w:spacing w:line="240" w:lineRule="auto"/>
        <w:jc w:val="center"/>
        <w:rPr>
          <w:b/>
        </w:rPr>
      </w:pPr>
      <w:r w:rsidRPr="00461EB0">
        <w:rPr>
          <w:b/>
        </w:rPr>
        <w:t>Předmět Smlouvy</w:t>
      </w:r>
    </w:p>
    <w:p w:rsidR="009D1875" w:rsidRDefault="00155139" w:rsidP="009D1875">
      <w:pPr>
        <w:pStyle w:val="Odstavecseseznamem"/>
        <w:numPr>
          <w:ilvl w:val="0"/>
          <w:numId w:val="2"/>
        </w:numPr>
        <w:jc w:val="both"/>
      </w:pPr>
      <w:r>
        <w:t>Předmětem smlouvy je</w:t>
      </w:r>
      <w:r w:rsidR="009D1875">
        <w:t>:</w:t>
      </w:r>
    </w:p>
    <w:p w:rsidR="009D1875" w:rsidRDefault="009D1875" w:rsidP="009D1875">
      <w:pPr>
        <w:pStyle w:val="Odstavecseseznamem"/>
        <w:numPr>
          <w:ilvl w:val="0"/>
          <w:numId w:val="24"/>
        </w:numPr>
        <w:ind w:hanging="132"/>
        <w:jc w:val="both"/>
      </w:pPr>
      <w:r>
        <w:t>provedení a</w:t>
      </w:r>
      <w:r w:rsidRPr="009D1875">
        <w:t>nalýz</w:t>
      </w:r>
      <w:r>
        <w:t>y</w:t>
      </w:r>
      <w:r w:rsidRPr="009D1875">
        <w:t xml:space="preserve"> hrozeb a rizik</w:t>
      </w:r>
      <w:r>
        <w:t>;</w:t>
      </w:r>
    </w:p>
    <w:p w:rsidR="009D1875" w:rsidRDefault="009D1875" w:rsidP="009D1875">
      <w:pPr>
        <w:pStyle w:val="Odstavecseseznamem"/>
        <w:numPr>
          <w:ilvl w:val="0"/>
          <w:numId w:val="24"/>
        </w:numPr>
        <w:ind w:left="1418" w:hanging="425"/>
        <w:jc w:val="both"/>
      </w:pPr>
      <w:r>
        <w:t>zpracování</w:t>
      </w:r>
      <w:r w:rsidRPr="009D1875">
        <w:t xml:space="preserve"> bezpečnostní studie areálu nemocnice, včetně zpracování metodiky výkonu služby fyzické ostrahy ve vztahu k ochraně měkkého cíle</w:t>
      </w:r>
      <w:r>
        <w:t>;</w:t>
      </w:r>
    </w:p>
    <w:p w:rsidR="00B969DF" w:rsidRDefault="00100064" w:rsidP="009D1875">
      <w:pPr>
        <w:ind w:left="633" w:firstLine="360"/>
        <w:jc w:val="both"/>
      </w:pPr>
      <w:r>
        <w:t>Obsahov</w:t>
      </w:r>
      <w:r w:rsidR="00B32C0B">
        <w:t>ou</w:t>
      </w:r>
      <w:r>
        <w:t xml:space="preserve"> specifikac</w:t>
      </w:r>
      <w:r w:rsidR="00B32C0B">
        <w:t>i</w:t>
      </w:r>
      <w:r>
        <w:t xml:space="preserve"> předmětu smlouvy a harmonogram plnění </w:t>
      </w:r>
      <w:r w:rsidR="00B32C0B">
        <w:t>obsahuje příloha č. 1.</w:t>
      </w:r>
    </w:p>
    <w:p w:rsidR="00B969DF" w:rsidRPr="006A5E6E" w:rsidRDefault="00B969DF" w:rsidP="006A5E6E">
      <w:pPr>
        <w:spacing w:after="0" w:line="240" w:lineRule="auto"/>
        <w:jc w:val="center"/>
        <w:rPr>
          <w:b/>
        </w:rPr>
      </w:pPr>
      <w:r w:rsidRPr="006A5E6E">
        <w:rPr>
          <w:b/>
        </w:rPr>
        <w:t>Článek II.</w:t>
      </w:r>
    </w:p>
    <w:p w:rsidR="00B969DF" w:rsidRDefault="00B969DF" w:rsidP="004D134D">
      <w:pPr>
        <w:spacing w:line="240" w:lineRule="auto"/>
        <w:jc w:val="center"/>
        <w:rPr>
          <w:b/>
        </w:rPr>
      </w:pPr>
      <w:r w:rsidRPr="006A5E6E">
        <w:rPr>
          <w:b/>
        </w:rPr>
        <w:t>Podmínky a způsob plnění Smlouvy</w:t>
      </w:r>
    </w:p>
    <w:p w:rsidR="006A5E6E" w:rsidRPr="004D134D" w:rsidRDefault="004D134D" w:rsidP="004A361A">
      <w:pPr>
        <w:pStyle w:val="Odstavecseseznamem"/>
        <w:numPr>
          <w:ilvl w:val="0"/>
          <w:numId w:val="5"/>
        </w:numPr>
        <w:spacing w:after="0" w:line="240" w:lineRule="auto"/>
        <w:ind w:left="567" w:hanging="567"/>
        <w:jc w:val="both"/>
      </w:pPr>
      <w:r w:rsidRPr="004D134D">
        <w:t>Poskytovatel plní předmět Smlouvy v součinnosti s Objednatelem.</w:t>
      </w:r>
      <w:r w:rsidR="004A361A">
        <w:t xml:space="preserve"> Rozsah součinnosti je dán dohodou smluvních stran. </w:t>
      </w:r>
      <w:r w:rsidR="004A361A" w:rsidRPr="004A361A">
        <w:t>Pro účely této Smlouvy se nepoužije ustanovení § 2591 Občanského zákoníku.</w:t>
      </w:r>
    </w:p>
    <w:p w:rsidR="004D134D" w:rsidRDefault="004D134D" w:rsidP="00FC4926">
      <w:pPr>
        <w:pStyle w:val="Odstavecseseznamem"/>
        <w:numPr>
          <w:ilvl w:val="0"/>
          <w:numId w:val="5"/>
        </w:numPr>
        <w:spacing w:after="0" w:line="240" w:lineRule="auto"/>
        <w:ind w:left="567" w:hanging="567"/>
        <w:jc w:val="both"/>
      </w:pPr>
      <w:r w:rsidRPr="004D134D">
        <w:t xml:space="preserve">Poskytovatel se zavazuje brát plně v potaz </w:t>
      </w:r>
      <w:r>
        <w:t xml:space="preserve">pokyny, </w:t>
      </w:r>
      <w:r w:rsidRPr="004D134D">
        <w:t>přání a připomínky Objednatele, vztahující se k předmětu smlouvy.</w:t>
      </w:r>
    </w:p>
    <w:p w:rsidR="00FC4926" w:rsidRDefault="00AD5B6C" w:rsidP="00FC4926">
      <w:pPr>
        <w:pStyle w:val="Odstavecseseznamem"/>
        <w:numPr>
          <w:ilvl w:val="0"/>
          <w:numId w:val="5"/>
        </w:numPr>
        <w:spacing w:after="0" w:line="240" w:lineRule="auto"/>
        <w:ind w:left="567" w:hanging="567"/>
        <w:jc w:val="both"/>
      </w:pPr>
      <w:r>
        <w:t xml:space="preserve">Kontaktní osobou Poskytovatel ve věci </w:t>
      </w:r>
      <w:r w:rsidR="00FC4926">
        <w:t>řeš</w:t>
      </w:r>
      <w:r>
        <w:t>ení</w:t>
      </w:r>
      <w:r w:rsidR="00FC4926">
        <w:t xml:space="preserve"> otáz</w:t>
      </w:r>
      <w:r>
        <w:t>e</w:t>
      </w:r>
      <w:r w:rsidR="00FC4926">
        <w:t>k součinnosti smluvních stran</w:t>
      </w:r>
      <w:r>
        <w:t>, je</w:t>
      </w:r>
      <w:r w:rsidR="00FC4926">
        <w:t xml:space="preserve"> </w:t>
      </w:r>
    </w:p>
    <w:p w:rsidR="003B059C" w:rsidRDefault="00C14765" w:rsidP="00B370FF">
      <w:pPr>
        <w:spacing w:after="0" w:line="240" w:lineRule="auto"/>
        <w:jc w:val="center"/>
      </w:pPr>
      <w:proofErr w:type="spellStart"/>
      <w:r>
        <w:t>xxxxxxxxxxxxxxxxxx</w:t>
      </w:r>
      <w:proofErr w:type="spellEnd"/>
    </w:p>
    <w:p w:rsidR="003B059C" w:rsidRDefault="003B059C" w:rsidP="003B059C">
      <w:pPr>
        <w:pStyle w:val="Odstavecseseznamem"/>
        <w:numPr>
          <w:ilvl w:val="0"/>
          <w:numId w:val="5"/>
        </w:numPr>
        <w:spacing w:after="0" w:line="240" w:lineRule="auto"/>
        <w:ind w:left="567" w:hanging="567"/>
      </w:pPr>
      <w:r>
        <w:t>Celkovou odpovědnost za plnění zakázky, nese</w:t>
      </w:r>
    </w:p>
    <w:p w:rsidR="00FC4926" w:rsidRPr="004D134D" w:rsidRDefault="00C14765" w:rsidP="00B370FF">
      <w:pPr>
        <w:spacing w:after="0" w:line="240" w:lineRule="auto"/>
        <w:jc w:val="center"/>
      </w:pPr>
      <w:proofErr w:type="spellStart"/>
      <w:r>
        <w:t>xxxxxxxxxxxxxxxxxxxxx</w:t>
      </w:r>
      <w:proofErr w:type="spellEnd"/>
    </w:p>
    <w:p w:rsidR="004D134D" w:rsidRDefault="004D134D" w:rsidP="00FC4926">
      <w:pPr>
        <w:pStyle w:val="Odstavecseseznamem"/>
        <w:numPr>
          <w:ilvl w:val="0"/>
          <w:numId w:val="5"/>
        </w:numPr>
        <w:spacing w:after="0" w:line="240" w:lineRule="auto"/>
        <w:ind w:left="567" w:hanging="567"/>
        <w:jc w:val="both"/>
      </w:pPr>
      <w:r w:rsidRPr="004D134D">
        <w:t>Objednatel se zavazuje poskytnout Poskytovateli potřebnou informační a organizační podporu, důvodnou pro zdárné plnění předmětu smlouvy</w:t>
      </w:r>
      <w:r>
        <w:t xml:space="preserve"> v souladu s harmonogramem, uvedeným v </w:t>
      </w:r>
      <w:r w:rsidR="0047669E">
        <w:t>P</w:t>
      </w:r>
      <w:r>
        <w:t>říloze č. 1</w:t>
      </w:r>
      <w:r w:rsidR="00FC4926">
        <w:t>.</w:t>
      </w:r>
      <w:r w:rsidRPr="004D134D">
        <w:t xml:space="preserve"> </w:t>
      </w:r>
    </w:p>
    <w:p w:rsidR="00FC4926" w:rsidRDefault="00B370FF" w:rsidP="00FC4926">
      <w:pPr>
        <w:pStyle w:val="Odstavecseseznamem"/>
        <w:numPr>
          <w:ilvl w:val="0"/>
          <w:numId w:val="5"/>
        </w:numPr>
        <w:spacing w:after="0" w:line="240" w:lineRule="auto"/>
        <w:ind w:left="567" w:hanging="567"/>
        <w:jc w:val="both"/>
      </w:pPr>
      <w:r>
        <w:t xml:space="preserve">Kontaktní osobou </w:t>
      </w:r>
      <w:r w:rsidR="004D134D">
        <w:t>Objednatel</w:t>
      </w:r>
      <w:r>
        <w:t>e ve věci řešení otázek součinnosti smluvních stran, je</w:t>
      </w:r>
    </w:p>
    <w:p w:rsidR="00FC4926" w:rsidRPr="00E67BC4" w:rsidRDefault="00C14765" w:rsidP="00B370FF">
      <w:pPr>
        <w:spacing w:after="0" w:line="240" w:lineRule="auto"/>
        <w:jc w:val="center"/>
      </w:pPr>
      <w:proofErr w:type="spellStart"/>
      <w:r>
        <w:t>xxxxxxxxxxxxxxxxxxxx</w:t>
      </w:r>
      <w:proofErr w:type="spellEnd"/>
    </w:p>
    <w:p w:rsidR="00B969DF" w:rsidRDefault="00B370FF" w:rsidP="00B370FF">
      <w:pPr>
        <w:pStyle w:val="Odstavecseseznamem"/>
        <w:numPr>
          <w:ilvl w:val="0"/>
          <w:numId w:val="5"/>
        </w:numPr>
        <w:ind w:left="567" w:hanging="567"/>
      </w:pPr>
      <w:r>
        <w:t xml:space="preserve">Ze všech jednání mezi Objednatelem a Poskytovatelem ve věci plnění předmětu Smlouvy, pořídí přítomný zástupce Poskytovatele písemný zápis, který zašle kontaktní osobě Objednatele k posouzení.   </w:t>
      </w:r>
    </w:p>
    <w:p w:rsidR="00B969DF" w:rsidRPr="00155139" w:rsidRDefault="00B969DF" w:rsidP="00B370FF">
      <w:pPr>
        <w:spacing w:after="0" w:line="240" w:lineRule="auto"/>
        <w:jc w:val="center"/>
        <w:rPr>
          <w:b/>
        </w:rPr>
      </w:pPr>
      <w:r w:rsidRPr="00155139">
        <w:rPr>
          <w:b/>
        </w:rPr>
        <w:t>Článek III.</w:t>
      </w:r>
    </w:p>
    <w:p w:rsidR="00B969DF" w:rsidRPr="00155139" w:rsidRDefault="00B969DF" w:rsidP="00B32C0B">
      <w:pPr>
        <w:spacing w:line="240" w:lineRule="auto"/>
        <w:jc w:val="center"/>
        <w:rPr>
          <w:b/>
        </w:rPr>
      </w:pPr>
      <w:r w:rsidRPr="00155139">
        <w:rPr>
          <w:b/>
        </w:rPr>
        <w:t>Doba a místo plnění</w:t>
      </w:r>
    </w:p>
    <w:p w:rsidR="00B969DF" w:rsidRDefault="00B969DF" w:rsidP="008A0E9C">
      <w:pPr>
        <w:pStyle w:val="Odstavecseseznamem"/>
        <w:numPr>
          <w:ilvl w:val="0"/>
          <w:numId w:val="3"/>
        </w:numPr>
        <w:ind w:left="567" w:hanging="567"/>
        <w:jc w:val="both"/>
      </w:pPr>
      <w:r>
        <w:t>Poskytovatel se zavazuje provést Služby dle Článku I. této Smlouvy v</w:t>
      </w:r>
      <w:r w:rsidR="00CE415F">
        <w:t> </w:t>
      </w:r>
      <w:r>
        <w:t>termín</w:t>
      </w:r>
      <w:r w:rsidR="00CE415F">
        <w:t xml:space="preserve">u </w:t>
      </w:r>
      <w:r w:rsidR="00CE415F" w:rsidRPr="00CE415F">
        <w:rPr>
          <w:b/>
        </w:rPr>
        <w:t>do 3</w:t>
      </w:r>
      <w:r w:rsidR="009D1875">
        <w:rPr>
          <w:b/>
        </w:rPr>
        <w:t>1</w:t>
      </w:r>
      <w:r w:rsidR="00CE415F" w:rsidRPr="00CE415F">
        <w:rPr>
          <w:b/>
        </w:rPr>
        <w:t>. 8. 2019</w:t>
      </w:r>
      <w:r w:rsidR="00CE415F">
        <w:t xml:space="preserve">. Postup realizace a dílčí termíny jsou </w:t>
      </w:r>
      <w:r>
        <w:t>uveden</w:t>
      </w:r>
      <w:r w:rsidR="00CE415F">
        <w:t>y</w:t>
      </w:r>
      <w:r>
        <w:t xml:space="preserve"> v</w:t>
      </w:r>
      <w:r w:rsidR="00CE415F">
        <w:t> Příloze č. 1</w:t>
      </w:r>
      <w:r>
        <w:t xml:space="preserve"> </w:t>
      </w:r>
      <w:r w:rsidR="00B32C0B">
        <w:t>Smlouvy.</w:t>
      </w:r>
      <w:r>
        <w:t xml:space="preserve"> </w:t>
      </w:r>
    </w:p>
    <w:p w:rsidR="00B969DF" w:rsidRDefault="00CE415F" w:rsidP="008A0E9C">
      <w:pPr>
        <w:pStyle w:val="Odstavecseseznamem"/>
        <w:numPr>
          <w:ilvl w:val="0"/>
          <w:numId w:val="3"/>
        </w:numPr>
        <w:ind w:left="567" w:hanging="567"/>
        <w:jc w:val="both"/>
      </w:pPr>
      <w:r>
        <w:t xml:space="preserve">Místem plnění je areál Objednatele, </w:t>
      </w:r>
      <w:r w:rsidR="009D1875">
        <w:t>Jihlavská 20, Brno</w:t>
      </w:r>
      <w:r>
        <w:t xml:space="preserve">. </w:t>
      </w:r>
    </w:p>
    <w:p w:rsidR="00CE415F" w:rsidRDefault="00B969DF" w:rsidP="008A0E9C">
      <w:pPr>
        <w:pStyle w:val="Odstavecseseznamem"/>
        <w:numPr>
          <w:ilvl w:val="0"/>
          <w:numId w:val="3"/>
        </w:numPr>
        <w:ind w:left="567" w:hanging="567"/>
        <w:jc w:val="both"/>
      </w:pPr>
      <w:r>
        <w:t xml:space="preserve">Části předmětu plnění, jejichž povaha umožňuje plnění mimo </w:t>
      </w:r>
      <w:r w:rsidR="00CE415F">
        <w:t>areál</w:t>
      </w:r>
      <w:r>
        <w:t xml:space="preserve"> Objednatele, může Poskytovatel plnit ve svých prostorách. </w:t>
      </w:r>
    </w:p>
    <w:p w:rsidR="00B969DF" w:rsidRDefault="00B969DF" w:rsidP="008A0E9C">
      <w:pPr>
        <w:pStyle w:val="Odstavecseseznamem"/>
        <w:numPr>
          <w:ilvl w:val="0"/>
          <w:numId w:val="3"/>
        </w:numPr>
        <w:ind w:left="567" w:hanging="567"/>
        <w:jc w:val="both"/>
      </w:pPr>
      <w:r>
        <w:t>Místem předání veškerých podkladů, dokladů a výstupů v rámci plnění této Smlouvy je sídlo Objednatele uvedené v záhlaví této Smlouvy.</w:t>
      </w:r>
    </w:p>
    <w:p w:rsidR="00B969DF" w:rsidRPr="00155139" w:rsidRDefault="00B969DF" w:rsidP="00155139">
      <w:pPr>
        <w:spacing w:after="0" w:line="240" w:lineRule="auto"/>
        <w:jc w:val="center"/>
        <w:rPr>
          <w:b/>
        </w:rPr>
      </w:pPr>
      <w:r w:rsidRPr="00155139">
        <w:rPr>
          <w:b/>
        </w:rPr>
        <w:t>Článek IV.</w:t>
      </w:r>
    </w:p>
    <w:p w:rsidR="00B969DF" w:rsidRPr="00155139" w:rsidRDefault="00B969DF" w:rsidP="00155139">
      <w:pPr>
        <w:jc w:val="center"/>
        <w:rPr>
          <w:b/>
        </w:rPr>
      </w:pPr>
      <w:r w:rsidRPr="00155139">
        <w:rPr>
          <w:b/>
        </w:rPr>
        <w:t>Cena plnění</w:t>
      </w:r>
    </w:p>
    <w:p w:rsidR="00B969DF" w:rsidRDefault="00B969DF" w:rsidP="008A0E9C">
      <w:pPr>
        <w:ind w:left="567" w:hanging="567"/>
      </w:pPr>
      <w:r>
        <w:t>1.</w:t>
      </w:r>
      <w:r>
        <w:tab/>
        <w:t xml:space="preserve">Celková cena plnění dle této Smlouvy byla sjednána </w:t>
      </w:r>
      <w:r w:rsidR="008A0E9C">
        <w:t>na základě výběrového řízení,</w:t>
      </w:r>
      <w:r>
        <w:t xml:space="preserve"> výši:</w:t>
      </w:r>
    </w:p>
    <w:p w:rsidR="00B969DF" w:rsidRPr="007D35E9" w:rsidRDefault="00E83339" w:rsidP="00541602">
      <w:pPr>
        <w:spacing w:after="0"/>
        <w:jc w:val="center"/>
        <w:rPr>
          <w:b/>
        </w:rPr>
      </w:pPr>
      <w:r>
        <w:rPr>
          <w:b/>
        </w:rPr>
        <w:t>862</w:t>
      </w:r>
      <w:r w:rsidR="007D35E9" w:rsidRPr="007D35E9">
        <w:rPr>
          <w:b/>
        </w:rPr>
        <w:t xml:space="preserve"> 000</w:t>
      </w:r>
      <w:r w:rsidR="00B370FF" w:rsidRPr="007D35E9">
        <w:rPr>
          <w:b/>
        </w:rPr>
        <w:t>,00 Kč bez DPH</w:t>
      </w:r>
    </w:p>
    <w:p w:rsidR="00B370FF" w:rsidRPr="007D35E9" w:rsidRDefault="00B370FF" w:rsidP="008A0E9C">
      <w:pPr>
        <w:jc w:val="center"/>
      </w:pPr>
      <w:r w:rsidRPr="007D35E9">
        <w:t>(slovy///</w:t>
      </w:r>
      <w:proofErr w:type="spellStart"/>
      <w:r w:rsidR="00E83339">
        <w:t>osmsetšedesátdva</w:t>
      </w:r>
      <w:r w:rsidR="007D35E9" w:rsidRPr="007D35E9">
        <w:t>tisíc</w:t>
      </w:r>
      <w:r w:rsidRPr="007D35E9">
        <w:t>korunčeskýchbezDPH</w:t>
      </w:r>
      <w:proofErr w:type="spellEnd"/>
      <w:r w:rsidRPr="007D35E9">
        <w:t>///)</w:t>
      </w:r>
    </w:p>
    <w:p w:rsidR="00541602" w:rsidRPr="007D35E9" w:rsidRDefault="00541602" w:rsidP="00541602">
      <w:pPr>
        <w:spacing w:after="0" w:line="240" w:lineRule="auto"/>
        <w:ind w:firstLine="567"/>
      </w:pPr>
      <w:r w:rsidRPr="007D35E9">
        <w:t>Sazba DPH: 21 %</w:t>
      </w:r>
    </w:p>
    <w:p w:rsidR="00541602" w:rsidRPr="007D35E9" w:rsidRDefault="00541602" w:rsidP="00541602">
      <w:pPr>
        <w:spacing w:after="0" w:line="240" w:lineRule="auto"/>
        <w:ind w:firstLine="567"/>
      </w:pPr>
      <w:r w:rsidRPr="007D35E9">
        <w:t xml:space="preserve">Výše DPH:  </w:t>
      </w:r>
      <w:r w:rsidR="00E83339">
        <w:t>181 020</w:t>
      </w:r>
      <w:r w:rsidRPr="007D35E9">
        <w:t>,00 Kč</w:t>
      </w:r>
    </w:p>
    <w:p w:rsidR="00541602" w:rsidRDefault="00541602" w:rsidP="00541602">
      <w:pPr>
        <w:ind w:firstLine="567"/>
      </w:pPr>
      <w:r w:rsidRPr="007D35E9">
        <w:t>Cena včetně DPH:</w:t>
      </w:r>
      <w:r w:rsidR="007D35E9" w:rsidRPr="007D35E9">
        <w:t xml:space="preserve"> </w:t>
      </w:r>
      <w:r w:rsidR="00E83339">
        <w:t>1 043 020</w:t>
      </w:r>
      <w:r w:rsidRPr="007D35E9">
        <w:t>,00 Kč</w:t>
      </w:r>
      <w:r>
        <w:t xml:space="preserve">  </w:t>
      </w:r>
    </w:p>
    <w:p w:rsidR="00B969DF" w:rsidRDefault="00B370FF" w:rsidP="0047669E">
      <w:pPr>
        <w:spacing w:after="0" w:line="240" w:lineRule="auto"/>
        <w:ind w:left="567" w:hanging="567"/>
        <w:jc w:val="both"/>
      </w:pPr>
      <w:r>
        <w:t>2</w:t>
      </w:r>
      <w:r w:rsidR="00B969DF">
        <w:t>.</w:t>
      </w:r>
      <w:r w:rsidR="00B969DF">
        <w:tab/>
        <w:t xml:space="preserve">Cenu včetně DPH je možné překročit pouze tehdy, dojde-li po uzavření této Smlouvy ke změně právních předpisů upravujících sazbu DPH náležící k předmětu této Smlouvy.  </w:t>
      </w:r>
    </w:p>
    <w:p w:rsidR="00B969DF" w:rsidRDefault="008A0E9C" w:rsidP="0047669E">
      <w:pPr>
        <w:spacing w:after="0" w:line="240" w:lineRule="auto"/>
        <w:ind w:left="567" w:hanging="567"/>
        <w:jc w:val="both"/>
      </w:pPr>
      <w:r>
        <w:t>3</w:t>
      </w:r>
      <w:r w:rsidR="00B969DF">
        <w:t>.</w:t>
      </w:r>
      <w:r w:rsidR="00B969DF">
        <w:tab/>
        <w:t xml:space="preserve">Celková cena plnění dle odstavce </w:t>
      </w:r>
      <w:r>
        <w:t>1</w:t>
      </w:r>
      <w:r w:rsidR="00B969DF">
        <w:t xml:space="preserve">. tohoto Článku je stanovena jako pevná a nepřekročitelná a zahrnuje veškeré náklady Poskytovatele potřebné ke splnění jeho závazků ze Smlouvy plynoucích, tj. </w:t>
      </w:r>
      <w:r w:rsidR="00B969DF">
        <w:lastRenderedPageBreak/>
        <w:t>náklady na provedení Služeb dle Článku I. Smlouvy. Celková cena zahrnuje dále i vedlejší náklady Poskytovatele (zejména cestovné, ubytování, administrativní náklady apod.).</w:t>
      </w:r>
    </w:p>
    <w:p w:rsidR="008A0E9C" w:rsidRDefault="008A0E9C" w:rsidP="00155139">
      <w:pPr>
        <w:spacing w:after="0" w:line="240" w:lineRule="auto"/>
        <w:jc w:val="center"/>
        <w:rPr>
          <w:b/>
        </w:rPr>
      </w:pPr>
    </w:p>
    <w:p w:rsidR="0047669E" w:rsidRDefault="0047669E" w:rsidP="00155139">
      <w:pPr>
        <w:spacing w:after="0" w:line="240" w:lineRule="auto"/>
        <w:jc w:val="center"/>
        <w:rPr>
          <w:b/>
        </w:rPr>
      </w:pPr>
    </w:p>
    <w:p w:rsidR="00B969DF" w:rsidRPr="00155139" w:rsidRDefault="00B969DF" w:rsidP="00155139">
      <w:pPr>
        <w:spacing w:after="0" w:line="240" w:lineRule="auto"/>
        <w:jc w:val="center"/>
        <w:rPr>
          <w:b/>
        </w:rPr>
      </w:pPr>
      <w:r w:rsidRPr="00155139">
        <w:rPr>
          <w:b/>
        </w:rPr>
        <w:t>Článek V.</w:t>
      </w:r>
    </w:p>
    <w:p w:rsidR="00B969DF" w:rsidRPr="00155139" w:rsidRDefault="00B969DF" w:rsidP="008A0E9C">
      <w:pPr>
        <w:spacing w:line="240" w:lineRule="auto"/>
        <w:jc w:val="center"/>
        <w:rPr>
          <w:b/>
        </w:rPr>
      </w:pPr>
      <w:r w:rsidRPr="00155139">
        <w:rPr>
          <w:b/>
        </w:rPr>
        <w:t>Fakturační a platební podmínky</w:t>
      </w:r>
    </w:p>
    <w:p w:rsidR="00B969DF" w:rsidRDefault="00B969DF" w:rsidP="0047669E">
      <w:pPr>
        <w:spacing w:after="0"/>
        <w:ind w:left="567" w:hanging="567"/>
        <w:jc w:val="both"/>
      </w:pPr>
      <w:r>
        <w:t>1.</w:t>
      </w:r>
      <w:r>
        <w:tab/>
        <w:t>Smluvní strany se dohodly, že celková cena plnění dle Článku IV. odst. 2. Smlouvy bude Objednatelem hrazena bezhotovostně, na základě daňového dokladu (dále jen „faktura“), zaslaného Poskytovatelem do sídla Objednatele uvedeného v záhlaví této Smlouvy.</w:t>
      </w:r>
    </w:p>
    <w:p w:rsidR="00B969DF" w:rsidRDefault="00B969DF" w:rsidP="0047669E">
      <w:pPr>
        <w:ind w:left="567" w:hanging="567"/>
        <w:jc w:val="both"/>
      </w:pPr>
      <w:r>
        <w:t>2.</w:t>
      </w:r>
      <w:r>
        <w:tab/>
        <w:t>Platba za plnění předmětu této Smlouvy bude realizována na základě jedné faktury vystavené Poskytovatelem nejdříve pro realizaci všech činností dle této Smlouvy a předání všech dokumentů vyhotovených Poskytovatelem na základě této Smlouvy, a to na základě písemného potvrzení Objednatele o řádné realizaci všech činností, příp. předání všech dokumentů dle této Smlouvy bez vad (ve formě akceptačního a/nebo předávacího protokolu/ů). Objednatel obdrží vždy originál faktury v listinné podobě.</w:t>
      </w:r>
    </w:p>
    <w:p w:rsidR="00B969DF" w:rsidRDefault="00B969DF" w:rsidP="0047669E">
      <w:pPr>
        <w:spacing w:after="0"/>
        <w:ind w:left="567" w:hanging="567"/>
        <w:jc w:val="both"/>
      </w:pPr>
      <w:r>
        <w:t>3.</w:t>
      </w:r>
      <w:r>
        <w:tab/>
        <w:t>Faktura musí obsahovat náležitosti daňového dokladu stanovené zákonem</w:t>
      </w:r>
      <w:r w:rsidR="008A0E9C">
        <w:t xml:space="preserve"> </w:t>
      </w:r>
      <w:r>
        <w:t xml:space="preserve">č. 563/1991 Sb., o účetnictví, ve znění pozdějších předpisů, zákonem č. 235/2004 Sb., o dani z přidané hodnoty, ve znění pozdějších předpisů a § 435 Občanského zákoníku. Přílohou faktury musí být kopie oboustranně podepsaného přísl. akceptačního a/nebo předávacího protokolu/ů. </w:t>
      </w:r>
    </w:p>
    <w:p w:rsidR="00B969DF" w:rsidRDefault="00B969DF" w:rsidP="0047669E">
      <w:pPr>
        <w:spacing w:after="0"/>
        <w:ind w:left="567" w:hanging="567"/>
        <w:jc w:val="both"/>
      </w:pPr>
      <w:r>
        <w:t>4.</w:t>
      </w:r>
      <w:r>
        <w:tab/>
        <w:t>Smluvní strany se dohodly na lhůtě splatnosti faktury do třiceti (30) kalendářních dnů od data doručení faktury do sídla Objednatele.</w:t>
      </w:r>
    </w:p>
    <w:p w:rsidR="00B969DF" w:rsidRDefault="00B969DF" w:rsidP="0047669E">
      <w:pPr>
        <w:spacing w:after="0"/>
        <w:ind w:left="567" w:hanging="567"/>
        <w:jc w:val="both"/>
      </w:pPr>
      <w:r>
        <w:t>5.</w:t>
      </w:r>
      <w:r>
        <w:tab/>
        <w:t>Objednatel je oprávněn před uplynutím lhůty splatnosti vrátit bez zaplacení fakturu, která neobsahuje zákonem nebo touto Smlouvou stanovené náležitosti, obsahuje nesprávné údaje, není doplněna dohodnutými přílohami nebo má jiné vady v obsahu podle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 denní lhůta běží znovu ode dne doručení opravené nebo nově vyhotovené faktury.</w:t>
      </w:r>
    </w:p>
    <w:p w:rsidR="00B969DF" w:rsidRDefault="00B969DF" w:rsidP="0047669E">
      <w:pPr>
        <w:spacing w:after="0"/>
        <w:ind w:left="567" w:hanging="567"/>
        <w:jc w:val="both"/>
      </w:pPr>
      <w:r>
        <w:t>6.</w:t>
      </w:r>
      <w:r>
        <w:tab/>
        <w:t>Zaplacením faktury se rozumí odepsání celé fakturované částky z účtu Objednatele ve prospěch účtu Poskytovatele.</w:t>
      </w:r>
    </w:p>
    <w:p w:rsidR="00B969DF" w:rsidRDefault="00B969DF" w:rsidP="0047669E">
      <w:pPr>
        <w:spacing w:after="0"/>
        <w:ind w:left="567" w:hanging="567"/>
        <w:jc w:val="both"/>
      </w:pPr>
      <w:r>
        <w:t>7.</w:t>
      </w:r>
      <w:r>
        <w:tab/>
        <w:t>Objednatel nebude poskytovat Poskytovateli jakékoliv zálohy na úhradu ceny předmětu plnění nebo její části.</w:t>
      </w:r>
    </w:p>
    <w:p w:rsidR="00B969DF" w:rsidRPr="004A361A" w:rsidRDefault="00B969DF" w:rsidP="004A361A">
      <w:pPr>
        <w:spacing w:after="0" w:line="240" w:lineRule="auto"/>
        <w:jc w:val="center"/>
        <w:rPr>
          <w:b/>
        </w:rPr>
      </w:pPr>
      <w:r w:rsidRPr="004A361A">
        <w:rPr>
          <w:b/>
        </w:rPr>
        <w:t>Článek VI.</w:t>
      </w:r>
    </w:p>
    <w:p w:rsidR="00B969DF" w:rsidRPr="004A361A" w:rsidRDefault="00B969DF" w:rsidP="004A361A">
      <w:pPr>
        <w:jc w:val="center"/>
        <w:rPr>
          <w:b/>
        </w:rPr>
      </w:pPr>
      <w:r w:rsidRPr="004A361A">
        <w:rPr>
          <w:b/>
        </w:rPr>
        <w:t>Splnění závazku a odpovědnost za vady</w:t>
      </w:r>
    </w:p>
    <w:p w:rsidR="00B969DF" w:rsidRDefault="00B969DF" w:rsidP="0047669E">
      <w:pPr>
        <w:spacing w:after="0" w:line="240" w:lineRule="auto"/>
        <w:ind w:left="567" w:hanging="567"/>
        <w:jc w:val="both"/>
      </w:pPr>
      <w:r>
        <w:t>1.</w:t>
      </w:r>
      <w:r>
        <w:tab/>
        <w:t>Poskytovatel se zavazuje při plnění svých závazků z této Smlouvy postupovat v souladu s příslušnými právními předpisy, s maximální odbornou péčí, nestranným a profesionálním způsobem, neovlivněným jakýmkoliv obchodním zájmem svým nebo třetích osob tak, aby dosáhl výsledku určeného touto Smlouvou.</w:t>
      </w:r>
    </w:p>
    <w:p w:rsidR="00B969DF" w:rsidRDefault="00B969DF" w:rsidP="0047669E">
      <w:pPr>
        <w:spacing w:after="0" w:line="240" w:lineRule="auto"/>
        <w:ind w:left="567" w:hanging="567"/>
        <w:jc w:val="both"/>
      </w:pPr>
      <w:r>
        <w:t>2.</w:t>
      </w:r>
      <w:r>
        <w:tab/>
        <w:t xml:space="preserve">Poskytovatel je povinen poskytovat Objednateli plnění dle této Smlouvy v kvalitě odpovídající jeho odborným znalostem a zkušenostem, které lze od něj vzhledem k jeho profesnímu zaměření právem očekávat. </w:t>
      </w:r>
    </w:p>
    <w:p w:rsidR="00B969DF" w:rsidRDefault="00B969DF" w:rsidP="0047669E">
      <w:pPr>
        <w:spacing w:after="0" w:line="240" w:lineRule="auto"/>
        <w:ind w:left="567" w:hanging="567"/>
        <w:jc w:val="both"/>
      </w:pPr>
      <w:r>
        <w:t>3.</w:t>
      </w:r>
      <w:r>
        <w:tab/>
        <w:t xml:space="preserve">Poskytovatel odpovídá za to, že plnění dle této Smlouvy budou mít vlastnosti výslovně vymíněné touto Smlouvou nebo obvyklé a že je Objednatel bude moci použít podle jejich povahy a účelu jejich poskytnutí dle Smlouvy. Poskytovatel odpovídá za to, že jím poskytnutá plnění nebudou mít žádné vady, a to včetně právních vad. </w:t>
      </w:r>
    </w:p>
    <w:p w:rsidR="00B969DF" w:rsidRDefault="00B969DF" w:rsidP="0047669E">
      <w:pPr>
        <w:spacing w:after="0" w:line="240" w:lineRule="auto"/>
        <w:ind w:left="567" w:hanging="567"/>
        <w:jc w:val="both"/>
      </w:pPr>
      <w:r>
        <w:t>4.</w:t>
      </w:r>
      <w:r>
        <w:tab/>
        <w:t xml:space="preserve">Za řádně poskytnuté plnění dle této Smlouvy se považuje plnění bez jakýchkoliv vad, tj. předání finálních dokumentů a řádně provedených činností, kde bude v přísl. písemném akceptačním a/nebo předávacím protokolu oboustranně podepsaném smluvními stranami výslovně uvedeno, že plnění je bez vad. </w:t>
      </w:r>
    </w:p>
    <w:p w:rsidR="0047669E" w:rsidRDefault="0047669E" w:rsidP="004A361A">
      <w:pPr>
        <w:spacing w:after="0"/>
        <w:jc w:val="center"/>
        <w:rPr>
          <w:b/>
        </w:rPr>
      </w:pPr>
    </w:p>
    <w:p w:rsidR="007D35E9" w:rsidRDefault="007D35E9" w:rsidP="004A361A">
      <w:pPr>
        <w:spacing w:after="0"/>
        <w:jc w:val="center"/>
        <w:rPr>
          <w:b/>
        </w:rPr>
      </w:pPr>
    </w:p>
    <w:p w:rsidR="00B969DF" w:rsidRPr="004A361A" w:rsidRDefault="00B969DF" w:rsidP="004A361A">
      <w:pPr>
        <w:spacing w:after="0"/>
        <w:jc w:val="center"/>
        <w:rPr>
          <w:b/>
        </w:rPr>
      </w:pPr>
      <w:r w:rsidRPr="004A361A">
        <w:rPr>
          <w:b/>
        </w:rPr>
        <w:t xml:space="preserve">Článek </w:t>
      </w:r>
      <w:r w:rsidR="004A361A">
        <w:rPr>
          <w:b/>
        </w:rPr>
        <w:t>VII</w:t>
      </w:r>
      <w:r w:rsidRPr="004A361A">
        <w:rPr>
          <w:b/>
        </w:rPr>
        <w:t>.</w:t>
      </w:r>
    </w:p>
    <w:p w:rsidR="00B969DF" w:rsidRDefault="00B969DF" w:rsidP="004A361A">
      <w:pPr>
        <w:spacing w:line="240" w:lineRule="auto"/>
        <w:jc w:val="center"/>
        <w:rPr>
          <w:b/>
        </w:rPr>
      </w:pPr>
      <w:r w:rsidRPr="004A361A">
        <w:rPr>
          <w:b/>
        </w:rPr>
        <w:t>Odpovědnost za škodu</w:t>
      </w:r>
    </w:p>
    <w:p w:rsidR="00B969DF" w:rsidRDefault="00B969DF" w:rsidP="0047669E">
      <w:pPr>
        <w:spacing w:after="0" w:line="240" w:lineRule="auto"/>
        <w:ind w:left="567" w:hanging="567"/>
        <w:jc w:val="both"/>
      </w:pPr>
      <w:r>
        <w:t>1.</w:t>
      </w:r>
      <w:r>
        <w:tab/>
        <w:t>Odpovědnost za škodu se řídí ustanovením § 2894 a násl. Občanského zákoníku.</w:t>
      </w:r>
    </w:p>
    <w:p w:rsidR="00B969DF" w:rsidRDefault="00B969DF" w:rsidP="0047669E">
      <w:pPr>
        <w:spacing w:after="0" w:line="240" w:lineRule="auto"/>
        <w:ind w:left="567" w:hanging="567"/>
        <w:jc w:val="both"/>
      </w:pPr>
      <w:r>
        <w:t>2.</w:t>
      </w:r>
      <w:r>
        <w:tab/>
        <w:t xml:space="preserve">Není-li ve Smlouvě stanoveno jinak, 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 </w:t>
      </w:r>
    </w:p>
    <w:p w:rsidR="00B969DF" w:rsidRDefault="00B969DF" w:rsidP="0047669E">
      <w:pPr>
        <w:spacing w:after="0" w:line="240" w:lineRule="auto"/>
        <w:ind w:left="567" w:hanging="567"/>
        <w:jc w:val="both"/>
      </w:pPr>
      <w:r>
        <w:t>3.</w:t>
      </w:r>
      <w:r>
        <w:tab/>
        <w:t xml:space="preserve">Není-li ve Smlouvě stanoveno jinak, odpovídá zavázaná smluvní strana za jakoukoli škodu, která druhé smluvní straně vznikne v souvislosti s porušením povinností zavázané smluvní strany podle Smlouvy. </w:t>
      </w:r>
    </w:p>
    <w:p w:rsidR="00B969DF" w:rsidRDefault="00B969DF" w:rsidP="0047669E">
      <w:pPr>
        <w:spacing w:after="0" w:line="240" w:lineRule="auto"/>
        <w:ind w:left="567" w:hanging="567"/>
        <w:jc w:val="both"/>
      </w:pPr>
      <w:r>
        <w:t>4.</w:t>
      </w:r>
      <w:r>
        <w:tab/>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škody nezprostí. </w:t>
      </w:r>
    </w:p>
    <w:p w:rsidR="00B969DF" w:rsidRDefault="00B969DF" w:rsidP="0047669E">
      <w:pPr>
        <w:spacing w:after="0" w:line="240" w:lineRule="auto"/>
        <w:ind w:left="567" w:hanging="567"/>
        <w:jc w:val="both"/>
      </w:pPr>
      <w:r>
        <w:t>5.</w:t>
      </w:r>
      <w:r>
        <w:tab/>
        <w:t>Smluvní strana, která porušila právní povinnost, nebo smluvní strana, která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rsidR="0047669E" w:rsidRDefault="0047669E" w:rsidP="004A361A">
      <w:pPr>
        <w:spacing w:after="0" w:line="240" w:lineRule="auto"/>
        <w:jc w:val="center"/>
        <w:rPr>
          <w:b/>
        </w:rPr>
      </w:pPr>
    </w:p>
    <w:p w:rsidR="00B969DF" w:rsidRPr="004A361A" w:rsidRDefault="00B969DF" w:rsidP="004A361A">
      <w:pPr>
        <w:spacing w:after="0" w:line="240" w:lineRule="auto"/>
        <w:jc w:val="center"/>
        <w:rPr>
          <w:b/>
        </w:rPr>
      </w:pPr>
      <w:r w:rsidRPr="004A361A">
        <w:rPr>
          <w:b/>
        </w:rPr>
        <w:t>Článek</w:t>
      </w:r>
      <w:r w:rsidR="00220DEA">
        <w:rPr>
          <w:b/>
        </w:rPr>
        <w:t xml:space="preserve"> VIII</w:t>
      </w:r>
      <w:r w:rsidRPr="004A361A">
        <w:rPr>
          <w:b/>
        </w:rPr>
        <w:t>.</w:t>
      </w:r>
    </w:p>
    <w:p w:rsidR="00B969DF" w:rsidRPr="004A361A" w:rsidRDefault="00B969DF" w:rsidP="004A361A">
      <w:pPr>
        <w:jc w:val="center"/>
        <w:rPr>
          <w:b/>
        </w:rPr>
      </w:pPr>
      <w:r w:rsidRPr="004A361A">
        <w:rPr>
          <w:b/>
        </w:rPr>
        <w:t>Ochrana informací, údajů a dat</w:t>
      </w:r>
    </w:p>
    <w:p w:rsidR="00B969DF" w:rsidRDefault="00B969DF" w:rsidP="0047669E">
      <w:pPr>
        <w:spacing w:after="0"/>
        <w:ind w:left="567" w:hanging="567"/>
        <w:jc w:val="both"/>
      </w:pPr>
      <w:r>
        <w:t>1.</w:t>
      </w:r>
      <w:r>
        <w:tab/>
        <w:t xml:space="preserve">Smluvní strany konstatují, že označily při jednání o uzavření Smlouvy všechny informace týkající se specifických činností a postupů, strategických plánů a záměrů, know-how, smluvních stran jako důvěrné. Na tyto důvěrné informace se vztahuje ochrana podle § 1730 odst. 2 Občanského zákoníku. </w:t>
      </w:r>
    </w:p>
    <w:p w:rsidR="00B969DF" w:rsidRDefault="00B969DF" w:rsidP="0047669E">
      <w:pPr>
        <w:spacing w:after="0"/>
        <w:ind w:left="567" w:hanging="567"/>
        <w:jc w:val="both"/>
      </w:pPr>
      <w:r>
        <w:t>2.</w:t>
      </w:r>
      <w:r>
        <w:tab/>
        <w:t xml:space="preserve">Povinnost mlčenlivosti o důvěrných informacích a ochrany důvěrných informací podle této Smlouvy se vztahuje na smluvní strany, na jejich zaměstnance, pomocníky i na všechny další třetí osoby, které některá ze smluvních stran přizve podle Smlouvy nebo s předchozím písemným souhlasem strany druhé, byť i k parciálnímu jednání, nebo které se vzájemně se sdělovanými informacemi jinak seznámí. </w:t>
      </w:r>
    </w:p>
    <w:p w:rsidR="00B969DF" w:rsidRDefault="00B969DF" w:rsidP="0047669E">
      <w:pPr>
        <w:spacing w:after="0"/>
        <w:ind w:left="567" w:hanging="567"/>
        <w:jc w:val="both"/>
      </w:pPr>
      <w:r>
        <w:t>3.</w:t>
      </w:r>
      <w:r>
        <w:tab/>
        <w:t>Smluvní strany jsou oprávněny sdělit důvěrné informace třetí osobě pouze s předchozím písemným souhlasem druhé smluvní strany s tím, že tento souhlas je vázán na povinnost příslušné smluvní strany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rsidR="00B969DF" w:rsidRDefault="00B969DF" w:rsidP="0047669E">
      <w:pPr>
        <w:spacing w:after="0"/>
        <w:ind w:left="567" w:hanging="567"/>
        <w:jc w:val="both"/>
      </w:pPr>
      <w:r>
        <w:t>4.</w:t>
      </w:r>
      <w:r>
        <w:tab/>
        <w:t xml:space="preserve">Veškeré informace, které poskytne </w:t>
      </w:r>
      <w:r w:rsidR="00E8673F">
        <w:t>FN Brno</w:t>
      </w:r>
      <w:r>
        <w:t xml:space="preserve"> Poskytovateli, se považují za důvěrné, nevyplývá-li z této Smlouvy a/nebo z právního předpisu jinak. Veškeré informace, které poskytne Poskytovatel NNB, se považují za důvěrné, pouze pokud na jejich důvěrnost Poskytovatel Objednatele prokazatelným způsobem (např. v rámci nabídky) předem písemně upozornil a pokud zachování mlčenlivosti o takových informacích není v rozporu se zásadou transparentnosti zadávacího řízení zakotvenou v § 6 ZZVZ.</w:t>
      </w:r>
    </w:p>
    <w:p w:rsidR="00B969DF" w:rsidRDefault="00B969DF" w:rsidP="0047669E">
      <w:pPr>
        <w:spacing w:after="0"/>
        <w:ind w:left="567" w:hanging="567"/>
        <w:jc w:val="both"/>
      </w:pPr>
      <w:r>
        <w:t>5.</w:t>
      </w:r>
      <w:r>
        <w:tab/>
        <w:t xml:space="preserve">Poskytovatel se zavazuje bezodkladně informovat Objednatele o skutečnostech nebo okolnostech, které by mohly zpochybnit jeho objektivnost nebo nezávislost při plnění závazků Poskytovatele dle této Smlouvy. </w:t>
      </w:r>
    </w:p>
    <w:p w:rsidR="00B969DF" w:rsidRDefault="00B969DF" w:rsidP="0047669E">
      <w:pPr>
        <w:spacing w:after="0"/>
        <w:ind w:left="567" w:hanging="567"/>
        <w:jc w:val="both"/>
      </w:pPr>
      <w:r>
        <w:t>6.</w:t>
      </w:r>
      <w:r>
        <w:tab/>
        <w:t>Důvěrnými informacemi nejsou nebo přestávají být:</w:t>
      </w:r>
    </w:p>
    <w:p w:rsidR="00B969DF" w:rsidRDefault="00B969DF" w:rsidP="0047669E">
      <w:pPr>
        <w:spacing w:after="0"/>
        <w:ind w:left="993" w:hanging="426"/>
        <w:jc w:val="both"/>
      </w:pPr>
      <w:r>
        <w:t>a)</w:t>
      </w:r>
      <w:r>
        <w:tab/>
        <w:t>informace, které jsou jako součást zadávací dokumentace uveřejňovány na profilu zadavatele,</w:t>
      </w:r>
    </w:p>
    <w:p w:rsidR="00B969DF" w:rsidRDefault="00B969DF" w:rsidP="0047669E">
      <w:pPr>
        <w:spacing w:after="0"/>
        <w:ind w:left="993" w:hanging="426"/>
        <w:jc w:val="both"/>
      </w:pPr>
      <w:r>
        <w:t>b)</w:t>
      </w:r>
      <w:r>
        <w:tab/>
        <w:t>informace, které byly v době, kdy byly smluvní straně poskytnuty, veřejně známé, nebo</w:t>
      </w:r>
    </w:p>
    <w:p w:rsidR="00B969DF" w:rsidRDefault="00B969DF" w:rsidP="0047669E">
      <w:pPr>
        <w:spacing w:after="0"/>
        <w:ind w:left="993" w:hanging="426"/>
        <w:jc w:val="both"/>
      </w:pPr>
      <w:r>
        <w:t>c)</w:t>
      </w:r>
      <w:r>
        <w:tab/>
        <w:t>informace, které se stanou veřejně známými poté, co byly smluvní straně poskytnuty, s výjimkou případů, kdy se tyto informace stanou veřejně známými v důsledku porušení závazků smluvní strany podle této Smlouvy, nebo</w:t>
      </w:r>
    </w:p>
    <w:p w:rsidR="00B969DF" w:rsidRDefault="00B969DF" w:rsidP="0047669E">
      <w:pPr>
        <w:spacing w:after="0"/>
        <w:ind w:left="993" w:hanging="426"/>
        <w:jc w:val="both"/>
      </w:pPr>
      <w:r>
        <w:t>d)</w:t>
      </w:r>
      <w:r>
        <w:tab/>
        <w:t>informace, které byly smluvní straně prokazatelně známé před jejich poskytnutím, nebo</w:t>
      </w:r>
    </w:p>
    <w:p w:rsidR="00B969DF" w:rsidRDefault="00B969DF" w:rsidP="0047669E">
      <w:pPr>
        <w:spacing w:after="0"/>
        <w:ind w:left="993" w:hanging="426"/>
        <w:jc w:val="both"/>
      </w:pPr>
      <w:r>
        <w:t>e)</w:t>
      </w:r>
      <w:r>
        <w:tab/>
        <w:t>informace, které je smluvní strana povinna sdělit oprávněným osobám na základě obecně závazných právních předpisů.</w:t>
      </w:r>
    </w:p>
    <w:p w:rsidR="00B969DF" w:rsidRDefault="00B969DF" w:rsidP="0047669E">
      <w:pPr>
        <w:spacing w:after="0"/>
        <w:ind w:left="567" w:hanging="567"/>
        <w:jc w:val="both"/>
      </w:pPr>
      <w:r>
        <w:t>7.</w:t>
      </w:r>
      <w:r>
        <w:tab/>
        <w:t>Ve smyslu ustanovení § 504 Občanského zákoníku se smluvní strany zavazují uchovat v tajnosti skutečnosti a údaje, týkající se druhé smluvní strany, předmětu plnění této Smlouvy nebo s předmětem plnění související, které jsou považovány za obchodní tajemství.</w:t>
      </w:r>
    </w:p>
    <w:p w:rsidR="00B969DF" w:rsidRDefault="00B969DF" w:rsidP="0047669E">
      <w:pPr>
        <w:spacing w:after="0"/>
        <w:ind w:left="567" w:hanging="567"/>
        <w:jc w:val="both"/>
      </w:pPr>
      <w:r>
        <w:t>8.</w:t>
      </w:r>
      <w:r>
        <w:tab/>
        <w:t xml:space="preserve">Poskytnutí informací v rámci plnění povinností stanovených smluvním stranám obecně závaznými právními předpisy včetně předpisů EU není považováno za porušení povinností smluvních stran sjednaných v tomto článku (viz např. článek XII. Uveřejnění Smlouvy). </w:t>
      </w:r>
    </w:p>
    <w:p w:rsidR="00B969DF" w:rsidRDefault="00B969DF" w:rsidP="0047669E">
      <w:pPr>
        <w:spacing w:after="0"/>
        <w:ind w:left="567" w:hanging="567"/>
        <w:jc w:val="both"/>
      </w:pPr>
      <w:r>
        <w:t>9.</w:t>
      </w:r>
      <w:r>
        <w:tab/>
        <w:t>S odkazem na zákon č. 101/2000 Sb., o ochraně osobních údajů, ve znění pozdějších předpisů a nařízení Evropského parlamentu a Rady (EU) 2016/679 ze dne 27. dubna 2016 o ochraně fyzických osob v souvislosti se zpracováním osobních údajů a o volném pohybu těchto údajů a o zrušení směrnice 95/46/ES (obecné nařízení o ochraně osobních údajů) účinným od 25. 5. 2018, se Poskytovatel dále zavazuje učinit taková opatření, aby osoby, které se podílejí na realizaci jeho závazků ze Smlouvy, zachovávaly mlčenlivost o veškerých skutečnostech, osobních i citlivých údajích a datech, o nichž se dozvěděly při výkonu své práce v rámci plnění závazků Poskytovatele dle této Smlouvy, včetně těch, které Objednatel eviduje pomocí výpočetní techniky, či jinak. Za porušení tohoto závazku mlčenlivosti a zákonné povinnosti ochrany osobních a citlivých údajů se považuje i využití těchto údajů a dat pro vlastní prospěch Poskytovatele, prospěch třetí osoby nebo pro jiné účely. Toto ujednání platí i v případě nahrazení uvedených právních předpisů předpisy jinými.</w:t>
      </w:r>
    </w:p>
    <w:p w:rsidR="00B969DF" w:rsidRDefault="00B969DF" w:rsidP="0047669E">
      <w:pPr>
        <w:spacing w:after="0"/>
        <w:ind w:left="567" w:hanging="567"/>
        <w:jc w:val="both"/>
      </w:pPr>
      <w:r>
        <w:t>10.</w:t>
      </w:r>
      <w:r>
        <w:tab/>
        <w:t>Závazky smluvních stran uvedené v tomto článku trvají i po úplném splnění svých závazků dle této Smlouvy.</w:t>
      </w:r>
    </w:p>
    <w:p w:rsidR="00B969DF" w:rsidRPr="004A361A" w:rsidRDefault="00B969DF" w:rsidP="004A361A">
      <w:pPr>
        <w:spacing w:after="0" w:line="240" w:lineRule="auto"/>
        <w:jc w:val="center"/>
        <w:rPr>
          <w:b/>
        </w:rPr>
      </w:pPr>
      <w:r w:rsidRPr="004A361A">
        <w:rPr>
          <w:b/>
        </w:rPr>
        <w:t xml:space="preserve">Článek </w:t>
      </w:r>
      <w:r w:rsidR="00220DEA">
        <w:rPr>
          <w:b/>
        </w:rPr>
        <w:t>I</w:t>
      </w:r>
      <w:r w:rsidRPr="004A361A">
        <w:rPr>
          <w:b/>
        </w:rPr>
        <w:t>X.</w:t>
      </w:r>
    </w:p>
    <w:p w:rsidR="00B969DF" w:rsidRPr="004A361A" w:rsidRDefault="00B969DF" w:rsidP="004A361A">
      <w:pPr>
        <w:spacing w:line="240" w:lineRule="auto"/>
        <w:jc w:val="center"/>
        <w:rPr>
          <w:b/>
        </w:rPr>
      </w:pPr>
      <w:r w:rsidRPr="004A361A">
        <w:rPr>
          <w:b/>
        </w:rPr>
        <w:t>Autorskoprávní ujednání</w:t>
      </w:r>
    </w:p>
    <w:p w:rsidR="00B969DF" w:rsidRDefault="00B969DF" w:rsidP="0047669E">
      <w:pPr>
        <w:spacing w:after="0"/>
        <w:ind w:left="567" w:hanging="567"/>
        <w:jc w:val="both"/>
      </w:pPr>
      <w:r>
        <w:t>1.</w:t>
      </w:r>
      <w:r>
        <w:tab/>
        <w:t>Poskytovatel prohlašuje, že s ohledem na charakter předmětu plnění Smlouvy nejsou výstupy prací dílem ve smyslu zákona č. 121/2000 Sb., o právu autorském, o právech souvisejících s právem autorským a o změně některých zákonů, ve znění pozdějších předpisů (autorský zákon) a Objednatel je oprávněn výsledky činnosti Poskytovatele ve hmotné i nehmotné podobě od jejich převzetí od Poskytovatele užívat v původní podobě i v podobě jinak zpracované či změněné, samostatně nebo v souboru či ve spojení s jiným dílem nebo prvky, předané výstupy dále zpracovat nebo jinak změnit, zařadit do souboru či spojit s jinými díly či prvky děl třetích osob nebo nechat předané výstupy v původní či přetvořené podobě užít třetí osoby, a to bez nutnosti uzavřít licenční smlouvu s Poskytovatelem dle ustanovení § 2358 a násl. Občanského zákoníku.</w:t>
      </w:r>
    </w:p>
    <w:p w:rsidR="00B969DF" w:rsidRDefault="00B969DF" w:rsidP="0047669E">
      <w:pPr>
        <w:ind w:left="567" w:hanging="567"/>
        <w:jc w:val="both"/>
      </w:pPr>
      <w:r>
        <w:t xml:space="preserve">2.     </w:t>
      </w:r>
      <w:r w:rsidR="004A361A">
        <w:t xml:space="preserve">  </w:t>
      </w:r>
      <w:r>
        <w:t xml:space="preserve"> Vzhledem k úzce specifické povaze a účelu výstupů poskytnutých Služeb není Poskytovatel oprávněn poskytnout či zpřístupnit předmětné výstupy nebo informace o předmětu a obsahu plnění ani jejich části třetím osobám. Porušení této povinnosti je důvodem pro odstoupení od Smlouvy ze strany Objednatele. </w:t>
      </w:r>
    </w:p>
    <w:p w:rsidR="00B969DF" w:rsidRPr="004A361A" w:rsidRDefault="00B969DF" w:rsidP="004A361A">
      <w:pPr>
        <w:spacing w:after="0" w:line="240" w:lineRule="auto"/>
        <w:jc w:val="center"/>
        <w:rPr>
          <w:b/>
        </w:rPr>
      </w:pPr>
      <w:r w:rsidRPr="004A361A">
        <w:rPr>
          <w:b/>
        </w:rPr>
        <w:t>Článek X.</w:t>
      </w:r>
    </w:p>
    <w:p w:rsidR="00B969DF" w:rsidRPr="004A361A" w:rsidRDefault="00B969DF" w:rsidP="004A361A">
      <w:pPr>
        <w:spacing w:line="240" w:lineRule="auto"/>
        <w:jc w:val="center"/>
        <w:rPr>
          <w:b/>
        </w:rPr>
      </w:pPr>
      <w:r w:rsidRPr="004A361A">
        <w:rPr>
          <w:b/>
        </w:rPr>
        <w:t>Uveřejnění Smlouvy</w:t>
      </w:r>
    </w:p>
    <w:p w:rsidR="00B969DF" w:rsidRDefault="00B969DF" w:rsidP="0047669E">
      <w:pPr>
        <w:spacing w:after="0"/>
        <w:ind w:left="567" w:hanging="567"/>
        <w:jc w:val="both"/>
      </w:pPr>
      <w:r>
        <w:t>1.</w:t>
      </w:r>
      <w:r>
        <w:tab/>
        <w:t>Smluvní strany jsou si plně vědomy zákonné povinnosti smluvních stran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w:t>
      </w:r>
    </w:p>
    <w:p w:rsidR="00B969DF" w:rsidRDefault="00B969DF" w:rsidP="0047669E">
      <w:pPr>
        <w:spacing w:after="0"/>
        <w:ind w:left="567" w:hanging="567"/>
        <w:jc w:val="both"/>
      </w:pPr>
      <w:r>
        <w:t>2.</w:t>
      </w:r>
      <w:r>
        <w:tab/>
        <w:t xml:space="preserve">Uveřejněním Smlouvy dle odst. 1. tohoto článku se rozumí uveřejnění elektronického obrazu textového obsahu Smlouvy v otevřeném a strojově čitelném formátu a rovněž </w:t>
      </w:r>
      <w:proofErr w:type="spellStart"/>
      <w:r>
        <w:t>metadat</w:t>
      </w:r>
      <w:proofErr w:type="spellEnd"/>
      <w:r>
        <w:t>, podle § 5 odst. 1 zákona o registru smluv, prostřednictvím registru smluv.</w:t>
      </w:r>
    </w:p>
    <w:p w:rsidR="00B969DF" w:rsidRDefault="00B969DF" w:rsidP="0047669E">
      <w:pPr>
        <w:spacing w:after="0"/>
        <w:ind w:left="567" w:hanging="567"/>
        <w:jc w:val="both"/>
      </w:pPr>
      <w:r>
        <w:t>3.</w:t>
      </w:r>
      <w:r>
        <w:tab/>
        <w:t xml:space="preserve">Smluvní strany se dohodly, že tuto Smlouvu zašle správci registru smluv k uveřejnění prostřednictvím registru smluv </w:t>
      </w:r>
      <w:r w:rsidR="00E8673F">
        <w:t>FN Brno</w:t>
      </w:r>
      <w:r w:rsidR="000E3157">
        <w:t xml:space="preserve"> a následně tuto skutečnost oznámí Poskytovateli elektronicky na adresu </w:t>
      </w:r>
      <w:hyperlink r:id="rId10" w:history="1">
        <w:r w:rsidR="000E3157" w:rsidRPr="00D66E4F">
          <w:rPr>
            <w:rStyle w:val="Hypertextovodkaz"/>
          </w:rPr>
          <w:t>fscsekretariat@fsc-ov.cz</w:t>
        </w:r>
      </w:hyperlink>
      <w:r>
        <w:t xml:space="preserve">. V případě, že Poskytovatel zjistí jakékoli nepřesnosti či nedostatky, je povinen neprodleně o nich </w:t>
      </w:r>
      <w:r w:rsidR="00E8673F">
        <w:t>FN Brno</w:t>
      </w:r>
      <w:r>
        <w:t xml:space="preserve"> informovat. Výše uvedený postup se smluvní strany zavazují dodržovat i pro Smlouvy na plnění, nedohodnou-li se v konkrétní Smlouvě na plnění výslovně jinak.</w:t>
      </w:r>
    </w:p>
    <w:p w:rsidR="00B969DF" w:rsidRDefault="00B969DF" w:rsidP="0047669E">
      <w:pPr>
        <w:spacing w:after="0"/>
        <w:ind w:left="567" w:hanging="567"/>
        <w:jc w:val="both"/>
      </w:pPr>
      <w:r>
        <w:t>4.</w:t>
      </w:r>
      <w:r>
        <w:tab/>
        <w:t>Postup uvedený v odst. 3. tohoto článku se smluvní strany zavazují dodržovat i v případě uzavření dodatků k této Smlouvě, jakož i v případě jakýchkoli dalších smluv, kterými se tato Smlouva doplňuje, mění, nahrazuje nebo ruší.</w:t>
      </w:r>
    </w:p>
    <w:p w:rsidR="00B969DF" w:rsidRPr="00220DEA" w:rsidRDefault="00B969DF" w:rsidP="0047669E">
      <w:pPr>
        <w:spacing w:after="0"/>
        <w:jc w:val="center"/>
        <w:rPr>
          <w:b/>
        </w:rPr>
      </w:pPr>
      <w:r w:rsidRPr="00220DEA">
        <w:rPr>
          <w:b/>
        </w:rPr>
        <w:t>Článek XI.</w:t>
      </w:r>
    </w:p>
    <w:p w:rsidR="00B969DF" w:rsidRPr="00220DEA" w:rsidRDefault="00B969DF" w:rsidP="00220DEA">
      <w:pPr>
        <w:spacing w:line="240" w:lineRule="auto"/>
        <w:jc w:val="center"/>
        <w:rPr>
          <w:b/>
        </w:rPr>
      </w:pPr>
      <w:r w:rsidRPr="00220DEA">
        <w:rPr>
          <w:b/>
        </w:rPr>
        <w:t>Doba trvání Smlouvy a ukončení Smlouvy</w:t>
      </w:r>
    </w:p>
    <w:p w:rsidR="00B969DF" w:rsidRDefault="00B969DF" w:rsidP="0047669E">
      <w:pPr>
        <w:spacing w:after="0" w:line="240" w:lineRule="auto"/>
        <w:ind w:left="567" w:hanging="567"/>
        <w:jc w:val="both"/>
      </w:pPr>
      <w:r>
        <w:t>1.</w:t>
      </w:r>
      <w:r>
        <w:tab/>
        <w:t>Tato Smlouva se uzavírá na dobu určitou, a to do okamžiku splnění všech závazků smluvních stran vyplývajících z této Smlouvy.</w:t>
      </w:r>
    </w:p>
    <w:p w:rsidR="00B969DF" w:rsidRDefault="00B969DF" w:rsidP="0047669E">
      <w:pPr>
        <w:spacing w:after="0" w:line="240" w:lineRule="auto"/>
        <w:ind w:left="567" w:hanging="567"/>
        <w:jc w:val="both"/>
      </w:pPr>
      <w:r>
        <w:t>2.</w:t>
      </w:r>
      <w:r>
        <w:tab/>
        <w:t xml:space="preserve">Smlouva nabývá platnosti dnem jejího podpisu poslední smluvní stranou, a účinnosti dnem uveřejnění v registru smluv. </w:t>
      </w:r>
    </w:p>
    <w:p w:rsidR="00B969DF" w:rsidRDefault="00B969DF" w:rsidP="0047669E">
      <w:pPr>
        <w:spacing w:after="0" w:line="240" w:lineRule="auto"/>
        <w:ind w:left="567" w:hanging="567"/>
        <w:jc w:val="both"/>
      </w:pPr>
      <w:r>
        <w:t>3.</w:t>
      </w:r>
      <w:r>
        <w:tab/>
        <w:t>Závazky dle této Smlouvy mohou zaniknout písemnou dohodou smluvních stran.</w:t>
      </w:r>
    </w:p>
    <w:p w:rsidR="00220DEA" w:rsidRDefault="00B969DF" w:rsidP="0047669E">
      <w:pPr>
        <w:spacing w:after="0" w:line="240" w:lineRule="auto"/>
        <w:ind w:left="567" w:hanging="567"/>
        <w:jc w:val="both"/>
      </w:pPr>
      <w:r>
        <w:t>4.</w:t>
      </w:r>
      <w:r>
        <w:tab/>
        <w:t xml:space="preserve">Každá ze smluvních stran může tuto Smlouvu písemně vypovědět, a to bez udání důvodu. Výpovědní lhůta činí 3 měsíce a začne běžet prvním dnem kalendářního měsíce následujícího po měsíci, v němž byla výpověď doručena druhé smluvní straně. </w:t>
      </w:r>
    </w:p>
    <w:p w:rsidR="00B969DF" w:rsidRDefault="00B969DF" w:rsidP="0047669E">
      <w:pPr>
        <w:spacing w:after="0" w:line="240" w:lineRule="auto"/>
        <w:ind w:left="567" w:hanging="567"/>
        <w:jc w:val="both"/>
      </w:pPr>
      <w:r>
        <w:t>5.</w:t>
      </w:r>
      <w:r>
        <w:tab/>
        <w:t xml:space="preserve">Kterákoliv ze Smluvních stran může odstoupit od této Smlouvy v případech stanovených touto Smlouvou nebo zákonem, a to zejména </w:t>
      </w:r>
      <w:proofErr w:type="spellStart"/>
      <w:r>
        <w:t>ust</w:t>
      </w:r>
      <w:proofErr w:type="spellEnd"/>
      <w:r>
        <w:t xml:space="preserve">. § 1977 a násl. a § 2001 a násl. Občanského zákoníku. Účinky odstoupení od Smlouvy nastávají dnem doručení oznámení o odstoupení od Smlouvy příslušné smluvní straně. </w:t>
      </w:r>
    </w:p>
    <w:p w:rsidR="00B969DF" w:rsidRDefault="00B969DF" w:rsidP="0047669E">
      <w:pPr>
        <w:spacing w:after="0" w:line="240" w:lineRule="auto"/>
        <w:ind w:left="567" w:hanging="567"/>
        <w:jc w:val="both"/>
      </w:pPr>
      <w:r>
        <w:t>6.</w:t>
      </w:r>
      <w:r>
        <w:tab/>
        <w:t>Odstoupit od Smlouvy lze v případě, kdy došlo k podstatnému porušení smluvní povinnosti jednou ze smluvních stran. Odstoupení od Smlouvy bude předcházet písemné vyrozumění se specifikací nesplněných závazků druhou smluvní stranou s upozorněním na možnost odstoupení od Smlouvy. Neodstraní-li druhá smluvní strana v určeném termínu vadu v plnění nebo nedohodnou-li se smluvní strany jinak, bude Smlouva ukončena ke dni doručení oznámení o odstoupení od Smlouvy příslušné smluvní straně.</w:t>
      </w:r>
    </w:p>
    <w:p w:rsidR="00B969DF" w:rsidRDefault="00B969DF" w:rsidP="0047669E">
      <w:pPr>
        <w:spacing w:after="0" w:line="240" w:lineRule="auto"/>
        <w:ind w:left="567" w:hanging="567"/>
        <w:jc w:val="both"/>
      </w:pPr>
      <w:r>
        <w:t>7.</w:t>
      </w:r>
      <w:r>
        <w:tab/>
        <w:t xml:space="preserve">Pro účel této Smlouvy bude za podstatné porušení smluvních povinností považováno zejména: </w:t>
      </w:r>
    </w:p>
    <w:p w:rsidR="00B969DF" w:rsidRDefault="00B969DF" w:rsidP="0047669E">
      <w:pPr>
        <w:spacing w:after="0" w:line="240" w:lineRule="auto"/>
        <w:ind w:left="993" w:hanging="426"/>
        <w:jc w:val="both"/>
      </w:pPr>
      <w:r>
        <w:t>a)</w:t>
      </w:r>
      <w:r>
        <w:tab/>
        <w:t>prodlení Poskytovatele se zahájením provádění služby dle harmonogramu dle Článku II. odst. 2. této Smlouvy o více než deset (10) kalendářních dnů,</w:t>
      </w:r>
    </w:p>
    <w:p w:rsidR="00B969DF" w:rsidRDefault="00B969DF" w:rsidP="0047669E">
      <w:pPr>
        <w:spacing w:after="0" w:line="240" w:lineRule="auto"/>
        <w:ind w:left="993" w:hanging="426"/>
        <w:jc w:val="both"/>
      </w:pPr>
      <w:r>
        <w:t>b)</w:t>
      </w:r>
      <w:r>
        <w:tab/>
        <w:t>V případě prodlení v termínu předání „Písemné zprávy o provedení služby“ o více než patnáct (15) kalendářních dnů, nebo</w:t>
      </w:r>
    </w:p>
    <w:p w:rsidR="00B969DF" w:rsidRDefault="00B969DF" w:rsidP="0047669E">
      <w:pPr>
        <w:spacing w:after="0" w:line="240" w:lineRule="auto"/>
        <w:ind w:left="993" w:hanging="426"/>
        <w:jc w:val="both"/>
      </w:pPr>
      <w:r>
        <w:t>c)</w:t>
      </w:r>
      <w:r>
        <w:tab/>
        <w:t>prodlení Objednatele s kteroukoliv platbou faktury nebo její části o více než třicet (30) kalendářních dnů po lhůtě splatnosti příslušné faktury.</w:t>
      </w:r>
    </w:p>
    <w:p w:rsidR="00B969DF" w:rsidRDefault="00B969DF" w:rsidP="0047669E">
      <w:pPr>
        <w:spacing w:after="0" w:line="240" w:lineRule="auto"/>
        <w:ind w:left="993" w:hanging="426"/>
        <w:jc w:val="both"/>
      </w:pPr>
      <w:r>
        <w:t>8.</w:t>
      </w:r>
      <w:r>
        <w:tab/>
        <w:t xml:space="preserve">Zánikem závazků dle této Smlouvy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a utvrzení závazků a ujednání o způsobu řešení sporů. </w:t>
      </w:r>
    </w:p>
    <w:p w:rsidR="00B969DF" w:rsidRPr="00220DEA" w:rsidRDefault="00B969DF" w:rsidP="00220DEA">
      <w:pPr>
        <w:spacing w:after="0" w:line="240" w:lineRule="auto"/>
        <w:jc w:val="center"/>
        <w:rPr>
          <w:b/>
        </w:rPr>
      </w:pPr>
      <w:r w:rsidRPr="00220DEA">
        <w:rPr>
          <w:b/>
        </w:rPr>
        <w:t>Článek X</w:t>
      </w:r>
      <w:r w:rsidR="0047669E">
        <w:rPr>
          <w:b/>
        </w:rPr>
        <w:t>II</w:t>
      </w:r>
      <w:r w:rsidRPr="00220DEA">
        <w:rPr>
          <w:b/>
        </w:rPr>
        <w:t>.</w:t>
      </w:r>
    </w:p>
    <w:p w:rsidR="00B969DF" w:rsidRPr="00220DEA" w:rsidRDefault="00B969DF" w:rsidP="00220DEA">
      <w:pPr>
        <w:spacing w:line="240" w:lineRule="auto"/>
        <w:jc w:val="center"/>
        <w:rPr>
          <w:b/>
        </w:rPr>
      </w:pPr>
      <w:r w:rsidRPr="00220DEA">
        <w:rPr>
          <w:b/>
        </w:rPr>
        <w:t>Závěrečná ustanovení</w:t>
      </w:r>
    </w:p>
    <w:p w:rsidR="00B969DF" w:rsidRDefault="00B969DF" w:rsidP="0047669E">
      <w:pPr>
        <w:spacing w:after="0" w:line="240" w:lineRule="auto"/>
        <w:ind w:left="567" w:hanging="567"/>
        <w:jc w:val="both"/>
      </w:pPr>
      <w:r>
        <w:t>1.</w:t>
      </w:r>
      <w:r>
        <w:tab/>
        <w:t>Tato Smlouva a vztahy z ní vyplývající se řídí právním řádem České republiky, zejména příslušnými ustanoveními Občanského zákoníku.</w:t>
      </w:r>
    </w:p>
    <w:p w:rsidR="00B969DF" w:rsidRDefault="00B969DF" w:rsidP="0047669E">
      <w:pPr>
        <w:spacing w:after="0" w:line="240" w:lineRule="auto"/>
        <w:ind w:left="567" w:hanging="567"/>
        <w:jc w:val="both"/>
      </w:pPr>
      <w:r>
        <w:t>2.</w:t>
      </w:r>
      <w:r>
        <w:tab/>
        <w:t>Smluvní strany se dohodly, že vylučují možnost akceptace nabídky s dodatkem či jakoukoliv jinou odchylku od textu nabídky a Smlouvy.</w:t>
      </w:r>
    </w:p>
    <w:p w:rsidR="00B969DF" w:rsidRDefault="00B969DF" w:rsidP="0047669E">
      <w:pPr>
        <w:spacing w:after="0" w:line="240" w:lineRule="auto"/>
        <w:ind w:left="567" w:hanging="567"/>
        <w:jc w:val="both"/>
      </w:pPr>
      <w:r>
        <w:t>3.</w:t>
      </w:r>
      <w:r>
        <w:tab/>
        <w:t>Veškerá případná ústní i písemná ujednání smluvních stran, uskutečněná v souvislosti s přípravou či procesem uzavírání této Smlouvy, pozbývají uzavřením této Smlouvy účinnosti a relevantní jsou nadále jen ujednání, obsažená v této Smlouvě a jejích případných přílohách a dodatcích.</w:t>
      </w:r>
    </w:p>
    <w:p w:rsidR="00220DEA" w:rsidRDefault="00B969DF" w:rsidP="0047669E">
      <w:pPr>
        <w:spacing w:after="0" w:line="240" w:lineRule="auto"/>
        <w:ind w:left="567" w:hanging="567"/>
        <w:jc w:val="both"/>
      </w:pPr>
      <w:r>
        <w:t>4.</w:t>
      </w:r>
      <w:r>
        <w:tab/>
        <w:t xml:space="preserve">Tato Smlouva může být měněna a doplňována pouze po oboustranné dohodě smluvních stran, a to formou písemných, vzestupně číslovaných smluvních dodatků, podepsaných oprávněnými zástupci obou smluvních stran. </w:t>
      </w:r>
    </w:p>
    <w:p w:rsidR="00B969DF" w:rsidRDefault="00B969DF" w:rsidP="0047669E">
      <w:pPr>
        <w:spacing w:after="0" w:line="240" w:lineRule="auto"/>
        <w:ind w:left="567" w:hanging="567"/>
        <w:jc w:val="both"/>
      </w:pPr>
      <w:r>
        <w:t>5.</w:t>
      </w:r>
      <w:r>
        <w:tab/>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rsidR="00B969DF" w:rsidRDefault="00B969DF" w:rsidP="0047669E">
      <w:pPr>
        <w:spacing w:after="0" w:line="240" w:lineRule="auto"/>
        <w:ind w:left="567" w:hanging="567"/>
        <w:jc w:val="both"/>
      </w:pPr>
      <w:r>
        <w:t>6.</w:t>
      </w:r>
      <w:r>
        <w:tab/>
        <w:t>Nadpisy jednotlivých článků Smlouvy mají pouze orientační charakter a v žádném případě nebudou sloužit resp. napomáhat výkladu jednotlivých ustanovení Smlouvy.</w:t>
      </w:r>
    </w:p>
    <w:p w:rsidR="00B969DF" w:rsidRDefault="00B969DF" w:rsidP="0047669E">
      <w:pPr>
        <w:spacing w:after="0" w:line="240" w:lineRule="auto"/>
        <w:ind w:left="567" w:hanging="567"/>
        <w:jc w:val="both"/>
      </w:pPr>
      <w:r>
        <w:t>7.</w:t>
      </w:r>
      <w:r>
        <w:tab/>
        <w:t xml:space="preserve">Poskytovatel není oprávněn bez předchozího písemného souhlasu Objednatele postoupit či převést jakákoliv práva či povinnosti vyplývající z této Smlouvy na jakoukoliv třetí osobu. </w:t>
      </w:r>
    </w:p>
    <w:p w:rsidR="00B969DF" w:rsidRDefault="00B969DF" w:rsidP="0047669E">
      <w:pPr>
        <w:spacing w:after="0" w:line="240" w:lineRule="auto"/>
        <w:ind w:left="567" w:hanging="567"/>
        <w:jc w:val="both"/>
      </w:pPr>
      <w:r>
        <w:t>8.</w:t>
      </w:r>
      <w:r>
        <w:tab/>
        <w:t>V případě vzniku sporů vyplývajících ze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rsidR="00B969DF" w:rsidRDefault="00B969DF" w:rsidP="0047669E">
      <w:pPr>
        <w:spacing w:after="0" w:line="240" w:lineRule="auto"/>
        <w:ind w:left="567" w:hanging="567"/>
        <w:jc w:val="both"/>
      </w:pPr>
      <w:r>
        <w:t>9.</w:t>
      </w:r>
      <w:r>
        <w:tab/>
        <w:t xml:space="preserve">Tato Smlouva je vyhotovena ve dvou stejnopisech, z nichž každá smluvní strana obdrží jedno vyhotovení. </w:t>
      </w:r>
    </w:p>
    <w:p w:rsidR="00B969DF" w:rsidRDefault="00B969DF" w:rsidP="0047669E">
      <w:pPr>
        <w:spacing w:after="0" w:line="240" w:lineRule="auto"/>
        <w:ind w:left="567" w:hanging="567"/>
        <w:jc w:val="both"/>
      </w:pPr>
      <w:r>
        <w:t>12.</w:t>
      </w:r>
      <w:r>
        <w:tab/>
        <w:t>Smluvní strany prohlašují, že si tuto Smlouvu řádně přečetly a svůj souhlas s obsahem jednotlivých ustanovení Smlouvy stvrzují svým podpisem.</w:t>
      </w:r>
    </w:p>
    <w:p w:rsidR="00B969DF" w:rsidRDefault="00B969DF" w:rsidP="0047669E">
      <w:pPr>
        <w:spacing w:after="0" w:line="240" w:lineRule="auto"/>
        <w:ind w:left="567" w:hanging="567"/>
        <w:jc w:val="both"/>
      </w:pPr>
      <w:r>
        <w:t>13.</w:t>
      </w:r>
      <w:r>
        <w:tab/>
        <w:t>Nedílnou součástí Smlouvy j</w:t>
      </w:r>
      <w:r w:rsidR="0047669E">
        <w:t>e Př</w:t>
      </w:r>
      <w:r>
        <w:t xml:space="preserve">íloha č. 1 </w:t>
      </w:r>
      <w:r w:rsidR="0047669E">
        <w:t>–</w:t>
      </w:r>
      <w:r>
        <w:t xml:space="preserve"> </w:t>
      </w:r>
      <w:r w:rsidR="00872791">
        <w:t>Podrobný popis předmětu smlouvy</w:t>
      </w:r>
      <w:r w:rsidR="0047669E">
        <w:t xml:space="preserve"> a harmonogram </w:t>
      </w:r>
      <w:r w:rsidR="00872791">
        <w:t xml:space="preserve">jeho </w:t>
      </w:r>
      <w:r w:rsidR="0047669E">
        <w:t>plnění</w:t>
      </w:r>
    </w:p>
    <w:p w:rsidR="00B969DF" w:rsidRDefault="00B969DF" w:rsidP="00B969DF"/>
    <w:p w:rsidR="0047669E" w:rsidRDefault="0047669E" w:rsidP="00B969DF"/>
    <w:p w:rsidR="0047669E" w:rsidRDefault="0047669E" w:rsidP="00B969DF"/>
    <w:p w:rsidR="0047669E" w:rsidRDefault="0047669E" w:rsidP="00B969DF"/>
    <w:p w:rsidR="0047669E" w:rsidRDefault="0047669E" w:rsidP="00B969DF"/>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6"/>
        <w:gridCol w:w="4886"/>
      </w:tblGrid>
      <w:tr w:rsidR="00220DEA" w:rsidTr="00220DEA">
        <w:tc>
          <w:tcPr>
            <w:tcW w:w="4886" w:type="dxa"/>
          </w:tcPr>
          <w:p w:rsidR="00220DEA" w:rsidRDefault="00220DEA" w:rsidP="00220DEA">
            <w:r>
              <w:t>Za Objednatele</w:t>
            </w:r>
          </w:p>
        </w:tc>
        <w:tc>
          <w:tcPr>
            <w:tcW w:w="4886" w:type="dxa"/>
          </w:tcPr>
          <w:p w:rsidR="00220DEA" w:rsidRDefault="00220DEA" w:rsidP="00B969DF">
            <w:r>
              <w:t>Za Poskytovatele</w:t>
            </w:r>
          </w:p>
        </w:tc>
      </w:tr>
      <w:tr w:rsidR="00220DEA" w:rsidTr="00220DEA">
        <w:tc>
          <w:tcPr>
            <w:tcW w:w="4886" w:type="dxa"/>
          </w:tcPr>
          <w:p w:rsidR="00220DEA" w:rsidRDefault="00220DEA" w:rsidP="00B969DF"/>
          <w:p w:rsidR="00220DEA" w:rsidRDefault="00220DEA" w:rsidP="00E8673F">
            <w:r>
              <w:t>v</w:t>
            </w:r>
            <w:r w:rsidR="00E8673F">
              <w:t xml:space="preserve"> Brně</w:t>
            </w:r>
            <w:r>
              <w:t>,</w:t>
            </w:r>
            <w:r w:rsidR="0047669E">
              <w:t xml:space="preserve"> </w:t>
            </w:r>
            <w:r>
              <w:t>dne</w:t>
            </w:r>
          </w:p>
        </w:tc>
        <w:tc>
          <w:tcPr>
            <w:tcW w:w="4886" w:type="dxa"/>
          </w:tcPr>
          <w:p w:rsidR="00220DEA" w:rsidRDefault="00220DEA" w:rsidP="00B969DF"/>
          <w:p w:rsidR="00220DEA" w:rsidRDefault="00220DEA" w:rsidP="00B969DF">
            <w:r>
              <w:t>v Ostravě dne</w:t>
            </w:r>
          </w:p>
        </w:tc>
      </w:tr>
      <w:tr w:rsidR="00220DEA" w:rsidTr="00220DEA">
        <w:tc>
          <w:tcPr>
            <w:tcW w:w="4886" w:type="dxa"/>
          </w:tcPr>
          <w:p w:rsidR="00220DEA" w:rsidRDefault="00220DEA" w:rsidP="00B969DF"/>
          <w:p w:rsidR="00220DEA" w:rsidRDefault="00220DEA" w:rsidP="00B969DF"/>
          <w:p w:rsidR="00220DEA" w:rsidRDefault="00220DEA" w:rsidP="007D35E9">
            <w:pPr>
              <w:jc w:val="center"/>
            </w:pPr>
          </w:p>
          <w:p w:rsidR="00220DEA" w:rsidRDefault="00220DEA" w:rsidP="007D35E9">
            <w:pPr>
              <w:jc w:val="center"/>
            </w:pPr>
            <w:r>
              <w:t>………………………………………………………………….</w:t>
            </w:r>
          </w:p>
          <w:p w:rsidR="00220DEA" w:rsidRDefault="007D35E9" w:rsidP="007D35E9">
            <w:pPr>
              <w:jc w:val="center"/>
            </w:pPr>
            <w:r w:rsidRPr="007D35E9">
              <w:t>MUDr. Roman Kraus, MBA</w:t>
            </w:r>
          </w:p>
          <w:p w:rsidR="007D35E9" w:rsidRDefault="007D35E9" w:rsidP="007D35E9">
            <w:pPr>
              <w:jc w:val="center"/>
            </w:pPr>
            <w:r>
              <w:t>ředitel</w:t>
            </w:r>
          </w:p>
          <w:p w:rsidR="00220DEA" w:rsidRDefault="00220DEA" w:rsidP="00B969DF"/>
        </w:tc>
        <w:tc>
          <w:tcPr>
            <w:tcW w:w="4886" w:type="dxa"/>
          </w:tcPr>
          <w:p w:rsidR="00220DEA" w:rsidRDefault="00220DEA" w:rsidP="00220DEA"/>
          <w:p w:rsidR="00220DEA" w:rsidRDefault="00220DEA" w:rsidP="00220DEA"/>
          <w:p w:rsidR="00220DEA" w:rsidRDefault="00220DEA" w:rsidP="00220DEA"/>
          <w:p w:rsidR="00220DEA" w:rsidRDefault="00220DEA" w:rsidP="00220DEA">
            <w:pPr>
              <w:jc w:val="center"/>
            </w:pPr>
            <w:r>
              <w:t>………………………………………………………………….</w:t>
            </w:r>
          </w:p>
          <w:p w:rsidR="00220DEA" w:rsidRPr="00220DEA" w:rsidRDefault="00C14765" w:rsidP="00220DEA">
            <w:pPr>
              <w:jc w:val="center"/>
            </w:pPr>
            <w:r>
              <w:t>xxxxxxxxxxxxxxxxx</w:t>
            </w:r>
            <w:bookmarkStart w:id="0" w:name="_GoBack"/>
            <w:bookmarkEnd w:id="0"/>
          </w:p>
          <w:p w:rsidR="00220DEA" w:rsidRPr="00220DEA" w:rsidRDefault="00220DEA" w:rsidP="00220DEA">
            <w:pPr>
              <w:jc w:val="center"/>
            </w:pPr>
            <w:r w:rsidRPr="00220DEA">
              <w:t>předseda představenstva</w:t>
            </w:r>
          </w:p>
          <w:p w:rsidR="00220DEA" w:rsidRDefault="00220DEA" w:rsidP="00220DEA"/>
          <w:p w:rsidR="00220DEA" w:rsidRDefault="00220DEA" w:rsidP="00B969DF"/>
        </w:tc>
      </w:tr>
    </w:tbl>
    <w:p w:rsidR="00220DEA" w:rsidRDefault="00220DEA" w:rsidP="00B969DF"/>
    <w:p w:rsidR="0051251A" w:rsidRDefault="0051251A" w:rsidP="00B969DF"/>
    <w:p w:rsidR="0051251A" w:rsidRDefault="0051251A" w:rsidP="00B969DF"/>
    <w:p w:rsidR="0051251A" w:rsidRDefault="0051251A" w:rsidP="00B969DF"/>
    <w:p w:rsidR="0051251A" w:rsidRDefault="0051251A" w:rsidP="00B969DF"/>
    <w:p w:rsidR="00FC281B" w:rsidRPr="002C5EA0" w:rsidRDefault="00FC281B" w:rsidP="00FC281B">
      <w:pPr>
        <w:spacing w:after="0" w:line="240" w:lineRule="auto"/>
        <w:ind w:firstLine="5529"/>
        <w:rPr>
          <w:b/>
        </w:rPr>
      </w:pPr>
      <w:r w:rsidRPr="002C5EA0">
        <w:rPr>
          <w:b/>
        </w:rPr>
        <w:t>Příloha č. 1</w:t>
      </w:r>
    </w:p>
    <w:p w:rsidR="00FC281B" w:rsidRDefault="00FC281B" w:rsidP="00FC281B">
      <w:pPr>
        <w:spacing w:after="0" w:line="240" w:lineRule="auto"/>
        <w:ind w:firstLine="5529"/>
      </w:pPr>
      <w:r>
        <w:t>ke smlouvě SA_166/19_FN BRNO-OMC</w:t>
      </w:r>
    </w:p>
    <w:p w:rsidR="00FC281B" w:rsidRDefault="00FC281B" w:rsidP="00FC281B">
      <w:pPr>
        <w:spacing w:after="0" w:line="240" w:lineRule="auto"/>
        <w:ind w:firstLine="5529"/>
      </w:pPr>
    </w:p>
    <w:p w:rsidR="00FC281B" w:rsidRDefault="00FC281B" w:rsidP="00FC281B">
      <w:pPr>
        <w:spacing w:after="0" w:line="240" w:lineRule="auto"/>
        <w:jc w:val="center"/>
        <w:rPr>
          <w:b/>
          <w:sz w:val="28"/>
          <w:szCs w:val="28"/>
        </w:rPr>
      </w:pPr>
      <w:r>
        <w:rPr>
          <w:b/>
          <w:sz w:val="28"/>
          <w:szCs w:val="28"/>
        </w:rPr>
        <w:t>OBSAH</w:t>
      </w:r>
      <w:r w:rsidRPr="002C5EA0">
        <w:rPr>
          <w:b/>
          <w:sz w:val="28"/>
          <w:szCs w:val="28"/>
        </w:rPr>
        <w:t xml:space="preserve"> </w:t>
      </w:r>
      <w:r>
        <w:rPr>
          <w:b/>
          <w:sz w:val="28"/>
          <w:szCs w:val="28"/>
        </w:rPr>
        <w:t xml:space="preserve">A HARMONOGRAM </w:t>
      </w:r>
      <w:r w:rsidRPr="002C5EA0">
        <w:rPr>
          <w:b/>
          <w:sz w:val="28"/>
          <w:szCs w:val="28"/>
        </w:rPr>
        <w:t xml:space="preserve">PLNĚNÍ </w:t>
      </w:r>
      <w:r>
        <w:rPr>
          <w:b/>
          <w:sz w:val="28"/>
          <w:szCs w:val="28"/>
        </w:rPr>
        <w:t>SMLOUVY</w:t>
      </w:r>
    </w:p>
    <w:p w:rsidR="00FC281B" w:rsidRPr="002C5EA0" w:rsidRDefault="00FC281B" w:rsidP="00FC281B">
      <w:pPr>
        <w:spacing w:after="0" w:line="240" w:lineRule="auto"/>
        <w:jc w:val="center"/>
        <w:rPr>
          <w:b/>
          <w:sz w:val="28"/>
          <w:szCs w:val="28"/>
        </w:rPr>
      </w:pPr>
    </w:p>
    <w:p w:rsidR="00FC281B" w:rsidRDefault="00FC281B" w:rsidP="00FC281B">
      <w:pPr>
        <w:spacing w:after="0" w:line="240" w:lineRule="auto"/>
        <w:ind w:left="284"/>
        <w:rPr>
          <w:b/>
          <w:u w:val="single"/>
        </w:rPr>
      </w:pPr>
      <w:r>
        <w:rPr>
          <w:b/>
          <w:u w:val="single"/>
        </w:rPr>
        <w:t>První etapa – Analýza hrozeb a rizik, bezpečnostní studie areálu nemocnice</w:t>
      </w:r>
    </w:p>
    <w:p w:rsidR="00FC281B" w:rsidRDefault="00FC281B" w:rsidP="00FC281B">
      <w:pPr>
        <w:spacing w:after="0" w:line="240" w:lineRule="auto"/>
        <w:ind w:left="284"/>
        <w:rPr>
          <w:b/>
        </w:rPr>
      </w:pPr>
    </w:p>
    <w:p w:rsidR="00FC281B" w:rsidRDefault="00FC281B" w:rsidP="00FC281B">
      <w:pPr>
        <w:pStyle w:val="Odstavecseseznamem"/>
        <w:numPr>
          <w:ilvl w:val="1"/>
          <w:numId w:val="25"/>
        </w:numPr>
        <w:spacing w:after="0" w:line="240" w:lineRule="auto"/>
        <w:ind w:hanging="436"/>
      </w:pPr>
      <w:r>
        <w:t xml:space="preserve">První etapa projektu zahrnuje realizaci těchto postupných kroků: </w:t>
      </w:r>
    </w:p>
    <w:p w:rsidR="00FC281B" w:rsidRDefault="00FC281B" w:rsidP="00FC281B">
      <w:pPr>
        <w:pStyle w:val="Odstavecseseznamem"/>
        <w:numPr>
          <w:ilvl w:val="0"/>
          <w:numId w:val="10"/>
        </w:numPr>
        <w:spacing w:after="0" w:line="240" w:lineRule="auto"/>
        <w:ind w:left="993" w:hanging="284"/>
      </w:pPr>
      <w:r>
        <w:t>Bezpečnostní posouzení stávajícího stavu zabezpečení areálu z pohledu závěrů analýzy rizik</w:t>
      </w:r>
    </w:p>
    <w:p w:rsidR="00FC281B" w:rsidRDefault="00FC281B" w:rsidP="00FC281B">
      <w:pPr>
        <w:pStyle w:val="Odstavecseseznamem"/>
        <w:numPr>
          <w:ilvl w:val="0"/>
          <w:numId w:val="10"/>
        </w:numPr>
        <w:spacing w:after="0" w:line="240" w:lineRule="auto"/>
        <w:ind w:left="993" w:hanging="284"/>
      </w:pPr>
      <w:r>
        <w:t>Identifikace hrozeb, analýza rizik, identifikace rizikových míst a bezpečnostních priorit z pohledu ochrany potenciálního měkkého cíle</w:t>
      </w:r>
    </w:p>
    <w:p w:rsidR="00FC281B" w:rsidRDefault="00FC281B" w:rsidP="00FC281B">
      <w:pPr>
        <w:pStyle w:val="Odstavecseseznamem"/>
        <w:numPr>
          <w:ilvl w:val="0"/>
          <w:numId w:val="10"/>
        </w:numPr>
        <w:spacing w:after="0" w:line="240" w:lineRule="auto"/>
        <w:ind w:left="993" w:hanging="284"/>
      </w:pPr>
      <w:r>
        <w:t>Návrh preventivních technických opatření k přiměřenému snížení rizik</w:t>
      </w:r>
    </w:p>
    <w:p w:rsidR="00FC281B" w:rsidRDefault="00FC281B" w:rsidP="00FC281B">
      <w:pPr>
        <w:pStyle w:val="Odstavecseseznamem"/>
        <w:numPr>
          <w:ilvl w:val="0"/>
          <w:numId w:val="10"/>
        </w:numPr>
        <w:spacing w:after="0" w:line="240" w:lineRule="auto"/>
        <w:ind w:left="993" w:hanging="284"/>
      </w:pPr>
      <w:r>
        <w:t>Návrh preventivních režimových a organizačních opatření k přiměřenému snížení rizik</w:t>
      </w:r>
    </w:p>
    <w:p w:rsidR="00FC281B" w:rsidRDefault="00FC281B" w:rsidP="00FC281B">
      <w:pPr>
        <w:pStyle w:val="Odstavecseseznamem"/>
        <w:numPr>
          <w:ilvl w:val="0"/>
          <w:numId w:val="10"/>
        </w:numPr>
        <w:spacing w:after="0" w:line="240" w:lineRule="auto"/>
        <w:ind w:left="993" w:hanging="284"/>
      </w:pPr>
      <w:r>
        <w:t>Vypracování rámcového odhadu nákladů na realizaci navrhovaných opatření</w:t>
      </w:r>
    </w:p>
    <w:p w:rsidR="00FC281B" w:rsidRDefault="00FC281B" w:rsidP="00FC281B">
      <w:pPr>
        <w:pStyle w:val="Odstavecseseznamem"/>
        <w:numPr>
          <w:ilvl w:val="0"/>
          <w:numId w:val="10"/>
        </w:numPr>
        <w:spacing w:after="0" w:line="240" w:lineRule="auto"/>
        <w:ind w:left="993" w:hanging="284"/>
      </w:pPr>
      <w:r>
        <w:t xml:space="preserve">Zpracování pracovní verze výstupu 1. etapy </w:t>
      </w:r>
    </w:p>
    <w:p w:rsidR="00FC281B" w:rsidRDefault="00FC281B" w:rsidP="00FC281B">
      <w:pPr>
        <w:pStyle w:val="Odstavecseseznamem"/>
        <w:numPr>
          <w:ilvl w:val="0"/>
          <w:numId w:val="10"/>
        </w:numPr>
        <w:spacing w:after="0" w:line="240" w:lineRule="auto"/>
        <w:ind w:left="993" w:hanging="284"/>
      </w:pPr>
      <w:r>
        <w:t>Dopracování připomínek z interní oponentury pracovní verze výstupů 1. etapy</w:t>
      </w:r>
    </w:p>
    <w:p w:rsidR="00FC281B" w:rsidRDefault="00FC281B" w:rsidP="00FC281B">
      <w:pPr>
        <w:spacing w:after="0" w:line="240" w:lineRule="auto"/>
        <w:ind w:left="207"/>
      </w:pPr>
    </w:p>
    <w:p w:rsidR="00FC281B" w:rsidRDefault="00FC281B" w:rsidP="00FC281B">
      <w:pPr>
        <w:pStyle w:val="Odstavecseseznamem"/>
        <w:numPr>
          <w:ilvl w:val="1"/>
          <w:numId w:val="25"/>
        </w:numPr>
        <w:spacing w:after="0" w:line="240" w:lineRule="auto"/>
      </w:pPr>
      <w:r>
        <w:t>Výstup první etapy projektu tvoří</w:t>
      </w:r>
    </w:p>
    <w:p w:rsidR="00FC281B" w:rsidRDefault="00FC281B" w:rsidP="00FC281B">
      <w:pPr>
        <w:spacing w:after="0" w:line="240" w:lineRule="auto"/>
        <w:ind w:left="709"/>
      </w:pPr>
    </w:p>
    <w:p w:rsidR="00FC281B" w:rsidRDefault="00FC281B" w:rsidP="00FC281B">
      <w:pPr>
        <w:spacing w:after="0" w:line="240" w:lineRule="auto"/>
        <w:ind w:left="709"/>
      </w:pPr>
      <w:r>
        <w:t>Dokument „</w:t>
      </w:r>
      <w:r>
        <w:rPr>
          <w:b/>
        </w:rPr>
        <w:t xml:space="preserve">Analýza rizik a bezpečnostní studie areálu Fakultní nemocnice Brno, jako potenciálního měkkého cíle“ </w:t>
      </w:r>
      <w:r>
        <w:t>s tímto základním obsahem:</w:t>
      </w:r>
    </w:p>
    <w:p w:rsidR="00FC281B" w:rsidRDefault="00FC281B" w:rsidP="00FC281B">
      <w:pPr>
        <w:pStyle w:val="Odstavecseseznamem"/>
        <w:numPr>
          <w:ilvl w:val="0"/>
          <w:numId w:val="26"/>
        </w:numPr>
        <w:spacing w:after="0" w:line="240" w:lineRule="auto"/>
        <w:ind w:left="993" w:hanging="284"/>
      </w:pPr>
      <w:r>
        <w:t>cíle studie</w:t>
      </w:r>
    </w:p>
    <w:p w:rsidR="00FC281B" w:rsidRDefault="00FC281B" w:rsidP="00FC281B">
      <w:pPr>
        <w:pStyle w:val="Odstavecseseznamem"/>
        <w:numPr>
          <w:ilvl w:val="0"/>
          <w:numId w:val="26"/>
        </w:numPr>
        <w:spacing w:after="0" w:line="240" w:lineRule="auto"/>
        <w:ind w:left="993" w:hanging="284"/>
      </w:pPr>
      <w:r>
        <w:t>teoreticko-metodologická a normativní východiska</w:t>
      </w:r>
    </w:p>
    <w:p w:rsidR="00FC281B" w:rsidRDefault="00FC281B" w:rsidP="00FC281B">
      <w:pPr>
        <w:pStyle w:val="Odstavecseseznamem"/>
        <w:numPr>
          <w:ilvl w:val="0"/>
          <w:numId w:val="26"/>
        </w:numPr>
        <w:spacing w:after="0" w:line="240" w:lineRule="auto"/>
        <w:ind w:left="993" w:hanging="284"/>
      </w:pPr>
      <w:r>
        <w:t>použité metody</w:t>
      </w:r>
    </w:p>
    <w:p w:rsidR="00FC281B" w:rsidRDefault="00FC281B" w:rsidP="00FC281B">
      <w:pPr>
        <w:pStyle w:val="Odstavecseseznamem"/>
        <w:numPr>
          <w:ilvl w:val="0"/>
          <w:numId w:val="26"/>
        </w:numPr>
        <w:spacing w:after="0" w:line="240" w:lineRule="auto"/>
        <w:ind w:left="993" w:hanging="284"/>
      </w:pPr>
      <w:r>
        <w:t>závěry analýzy rizik a definování slabých míst a bezpečnostních priorit při posilování ochrany nemocnice jako potenciálního měkkého cíle</w:t>
      </w:r>
    </w:p>
    <w:p w:rsidR="00FC281B" w:rsidRDefault="00FC281B" w:rsidP="00FC281B">
      <w:pPr>
        <w:pStyle w:val="Odstavecseseznamem"/>
        <w:numPr>
          <w:ilvl w:val="0"/>
          <w:numId w:val="26"/>
        </w:numPr>
        <w:spacing w:after="0" w:line="240" w:lineRule="auto"/>
        <w:ind w:left="993" w:hanging="284"/>
      </w:pPr>
      <w:r>
        <w:t>Závěry posouzení stávajícího stavu ochrany nemocnice z pohledu zajištění její odolnosti jako potenciálního měkkého cíle</w:t>
      </w:r>
    </w:p>
    <w:p w:rsidR="00FC281B" w:rsidRDefault="00FC281B" w:rsidP="00FC281B">
      <w:pPr>
        <w:pStyle w:val="Odstavecseseznamem"/>
        <w:numPr>
          <w:ilvl w:val="0"/>
          <w:numId w:val="26"/>
        </w:numPr>
        <w:spacing w:after="0" w:line="240" w:lineRule="auto"/>
        <w:ind w:left="993" w:hanging="284"/>
      </w:pPr>
      <w:r>
        <w:t>Návrh na uplatnění systémů technické ochrany</w:t>
      </w:r>
    </w:p>
    <w:p w:rsidR="00FC281B" w:rsidRDefault="00FC281B" w:rsidP="00FC281B">
      <w:pPr>
        <w:pStyle w:val="Odstavecseseznamem"/>
        <w:numPr>
          <w:ilvl w:val="0"/>
          <w:numId w:val="26"/>
        </w:numPr>
        <w:spacing w:after="0" w:line="240" w:lineRule="auto"/>
        <w:ind w:left="993" w:hanging="284"/>
      </w:pPr>
      <w:r>
        <w:t>Návrh na zavedení organizačních a režimových opatření</w:t>
      </w:r>
    </w:p>
    <w:p w:rsidR="00FC281B" w:rsidRDefault="00FC281B" w:rsidP="00FC281B">
      <w:pPr>
        <w:pStyle w:val="Odstavecseseznamem"/>
        <w:numPr>
          <w:ilvl w:val="0"/>
          <w:numId w:val="26"/>
        </w:numPr>
        <w:spacing w:after="0" w:line="240" w:lineRule="auto"/>
        <w:ind w:left="993" w:hanging="284"/>
      </w:pPr>
      <w:r>
        <w:t>Návrh harmonogramu implementace návrhů</w:t>
      </w:r>
    </w:p>
    <w:p w:rsidR="00FC281B" w:rsidRDefault="00FC281B" w:rsidP="00FC281B">
      <w:pPr>
        <w:pStyle w:val="Odstavecseseznamem"/>
        <w:numPr>
          <w:ilvl w:val="0"/>
          <w:numId w:val="26"/>
        </w:numPr>
        <w:spacing w:after="0" w:line="240" w:lineRule="auto"/>
        <w:ind w:left="993" w:hanging="284"/>
      </w:pPr>
      <w:r>
        <w:t>Rámcová kalkulace nákladů spojených s realizací návrhů na rozvoj prvků fyzické ochrany (vyjma fyzické ostrahy)</w:t>
      </w:r>
    </w:p>
    <w:p w:rsidR="00FC281B" w:rsidRDefault="00FC281B" w:rsidP="00FC281B">
      <w:pPr>
        <w:pStyle w:val="Odstavecseseznamem"/>
        <w:numPr>
          <w:ilvl w:val="0"/>
          <w:numId w:val="26"/>
        </w:numPr>
        <w:spacing w:after="0" w:line="240" w:lineRule="auto"/>
        <w:ind w:left="993" w:hanging="284"/>
      </w:pPr>
      <w:r>
        <w:t>Přílohy (tabulky; grafy; schémata)</w:t>
      </w:r>
    </w:p>
    <w:p w:rsidR="00FC281B" w:rsidRDefault="00FC281B" w:rsidP="00FC281B">
      <w:pPr>
        <w:spacing w:after="0" w:line="240" w:lineRule="auto"/>
      </w:pPr>
    </w:p>
    <w:p w:rsidR="00FC281B" w:rsidRDefault="00FC281B" w:rsidP="00FC281B">
      <w:pPr>
        <w:spacing w:after="0" w:line="240" w:lineRule="auto"/>
        <w:ind w:left="709"/>
      </w:pPr>
      <w:r>
        <w:t>Výstup plnění z první etapy projektu, bude do rukou Objednatele předán 1x ve formě písemného výtisku a 1x ve formě elektronického záznamu na datovém nosiči (CD) ve formátu „</w:t>
      </w:r>
      <w:proofErr w:type="spellStart"/>
      <w:r>
        <w:t>Pdf</w:t>
      </w:r>
      <w:proofErr w:type="spellEnd"/>
      <w:r>
        <w:t>“.</w:t>
      </w:r>
    </w:p>
    <w:p w:rsidR="00FC281B" w:rsidRDefault="00FC281B" w:rsidP="00FC281B">
      <w:pPr>
        <w:spacing w:after="0" w:line="240" w:lineRule="auto"/>
        <w:ind w:left="709"/>
      </w:pPr>
    </w:p>
    <w:p w:rsidR="00FC281B" w:rsidRDefault="00FC281B" w:rsidP="00FC281B">
      <w:pPr>
        <w:spacing w:after="0" w:line="240" w:lineRule="auto"/>
        <w:ind w:left="709"/>
      </w:pPr>
      <w:r>
        <w:t>O předání výstupu plnění z první etapy projektu bude zpracován předávací protokol.</w:t>
      </w:r>
    </w:p>
    <w:p w:rsidR="00FC281B" w:rsidRDefault="00FC281B" w:rsidP="00FC281B">
      <w:pPr>
        <w:spacing w:after="0" w:line="240" w:lineRule="auto"/>
        <w:ind w:left="284"/>
        <w:rPr>
          <w:b/>
        </w:rPr>
      </w:pPr>
      <w:r>
        <w:rPr>
          <w:b/>
        </w:rPr>
        <w:t xml:space="preserve"> </w:t>
      </w:r>
    </w:p>
    <w:p w:rsidR="00FC281B" w:rsidRDefault="00FC281B" w:rsidP="00FC281B">
      <w:pPr>
        <w:pStyle w:val="Odstavecseseznamem"/>
        <w:numPr>
          <w:ilvl w:val="1"/>
          <w:numId w:val="25"/>
        </w:numPr>
        <w:spacing w:after="0" w:line="240" w:lineRule="auto"/>
      </w:pPr>
      <w:r>
        <w:t>Harmonogram realizace první etapy projektu</w:t>
      </w:r>
    </w:p>
    <w:p w:rsidR="00FC281B" w:rsidRDefault="00FC281B" w:rsidP="00FC281B">
      <w:pPr>
        <w:spacing w:after="0" w:line="240" w:lineRule="auto"/>
        <w:ind w:left="284"/>
      </w:pPr>
    </w:p>
    <w:tbl>
      <w:tblPr>
        <w:tblW w:w="9585" w:type="dxa"/>
        <w:tblInd w:w="416" w:type="dxa"/>
        <w:tblLayout w:type="fixed"/>
        <w:tblCellMar>
          <w:left w:w="70" w:type="dxa"/>
          <w:right w:w="70" w:type="dxa"/>
        </w:tblCellMar>
        <w:tblLook w:val="04A0" w:firstRow="1" w:lastRow="0" w:firstColumn="1" w:lastColumn="0" w:noHBand="0" w:noVBand="1"/>
      </w:tblPr>
      <w:tblGrid>
        <w:gridCol w:w="985"/>
        <w:gridCol w:w="5767"/>
        <w:gridCol w:w="2833"/>
      </w:tblGrid>
      <w:tr w:rsidR="00FC281B" w:rsidTr="00C50407">
        <w:trPr>
          <w:trHeight w:val="602"/>
        </w:trPr>
        <w:tc>
          <w:tcPr>
            <w:tcW w:w="985"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Dílčí aktivita</w:t>
            </w:r>
          </w:p>
        </w:tc>
        <w:tc>
          <w:tcPr>
            <w:tcW w:w="5767"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Název dílčí aktivity</w:t>
            </w:r>
          </w:p>
        </w:tc>
        <w:tc>
          <w:tcPr>
            <w:tcW w:w="2833" w:type="dxa"/>
            <w:tcBorders>
              <w:top w:val="single" w:sz="8" w:space="0" w:color="000000"/>
              <w:left w:val="single" w:sz="8" w:space="0" w:color="000000"/>
              <w:bottom w:val="single" w:sz="4" w:space="0" w:color="000000"/>
              <w:right w:val="single" w:sz="8" w:space="0" w:color="000000"/>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 xml:space="preserve">Časový harmonogram dodavatele </w:t>
            </w:r>
            <w:r>
              <w:rPr>
                <w:rFonts w:eastAsia="Times New Roman" w:cs="Times New Roman"/>
                <w:b/>
                <w:bCs/>
                <w:color w:val="FF0000"/>
                <w:lang w:eastAsia="cs-CZ"/>
              </w:rPr>
              <w:t>1)</w:t>
            </w:r>
          </w:p>
        </w:tc>
      </w:tr>
      <w:tr w:rsidR="00FC281B" w:rsidTr="00C50407">
        <w:trPr>
          <w:trHeight w:val="345"/>
        </w:trPr>
        <w:tc>
          <w:tcPr>
            <w:tcW w:w="985" w:type="dxa"/>
            <w:tcBorders>
              <w:top w:val="nil"/>
              <w:left w:val="single" w:sz="8" w:space="0" w:color="000000"/>
              <w:bottom w:val="single" w:sz="8" w:space="0" w:color="000000"/>
              <w:right w:val="nil"/>
            </w:tcBorders>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1</w:t>
            </w:r>
          </w:p>
        </w:tc>
        <w:tc>
          <w:tcPr>
            <w:tcW w:w="5767" w:type="dxa"/>
            <w:tcBorders>
              <w:top w:val="nil"/>
              <w:left w:val="single" w:sz="8" w:space="0" w:color="000000"/>
              <w:bottom w:val="single" w:sz="8" w:space="0" w:color="000000"/>
              <w:right w:val="nil"/>
            </w:tcBorders>
            <w:vAlign w:val="center"/>
            <w:hideMark/>
          </w:tcPr>
          <w:p w:rsidR="00FC281B" w:rsidRDefault="00FC281B" w:rsidP="00C50407">
            <w:pPr>
              <w:spacing w:after="0" w:line="240" w:lineRule="auto"/>
              <w:rPr>
                <w:rFonts w:eastAsia="Times New Roman" w:cs="Times New Roman"/>
                <w:lang w:eastAsia="zh-CN"/>
              </w:rPr>
            </w:pPr>
            <w:r>
              <w:rPr>
                <w:rFonts w:eastAsia="Times New Roman" w:cs="Times New Roman"/>
                <w:color w:val="000000"/>
                <w:lang w:eastAsia="cs-CZ"/>
              </w:rPr>
              <w:t>Realizační úvodní schůzka k zahájení projektu, upřesnění plánu</w:t>
            </w:r>
          </w:p>
        </w:tc>
        <w:tc>
          <w:tcPr>
            <w:tcW w:w="2833" w:type="dxa"/>
            <w:tcBorders>
              <w:top w:val="nil"/>
              <w:left w:val="single" w:sz="8" w:space="0" w:color="000000"/>
              <w:bottom w:val="single" w:sz="8" w:space="0" w:color="000000"/>
              <w:right w:val="single" w:sz="8" w:space="0" w:color="000000"/>
            </w:tcBorders>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do 7 pracovních dnů</w:t>
            </w:r>
          </w:p>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po obdržení platné smlouvy</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2</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Bezpečnostní posouzení stávajícího stavu zabezpečení areálu z pohledu závěrů analýzy rizik</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bl>
    <w:p w:rsidR="00FC281B" w:rsidRDefault="00FC281B" w:rsidP="00FC281B">
      <w:pPr>
        <w:spacing w:after="0" w:line="240" w:lineRule="auto"/>
      </w:pPr>
    </w:p>
    <w:p w:rsidR="00FC281B" w:rsidRDefault="00FC281B" w:rsidP="00FC281B">
      <w:pPr>
        <w:spacing w:after="0" w:line="240" w:lineRule="auto"/>
      </w:pPr>
    </w:p>
    <w:p w:rsidR="00FC281B" w:rsidRDefault="00FC281B" w:rsidP="00FC281B">
      <w:pPr>
        <w:spacing w:after="0" w:line="240" w:lineRule="auto"/>
      </w:pPr>
    </w:p>
    <w:p w:rsidR="00FC281B" w:rsidRDefault="00FC281B" w:rsidP="00FC281B">
      <w:pPr>
        <w:spacing w:after="0" w:line="240" w:lineRule="auto"/>
      </w:pPr>
    </w:p>
    <w:tbl>
      <w:tblPr>
        <w:tblW w:w="9585" w:type="dxa"/>
        <w:tblInd w:w="416" w:type="dxa"/>
        <w:tblLayout w:type="fixed"/>
        <w:tblCellMar>
          <w:left w:w="70" w:type="dxa"/>
          <w:right w:w="70" w:type="dxa"/>
        </w:tblCellMar>
        <w:tblLook w:val="04A0" w:firstRow="1" w:lastRow="0" w:firstColumn="1" w:lastColumn="0" w:noHBand="0" w:noVBand="1"/>
      </w:tblPr>
      <w:tblGrid>
        <w:gridCol w:w="985"/>
        <w:gridCol w:w="5767"/>
        <w:gridCol w:w="2833"/>
      </w:tblGrid>
      <w:tr w:rsidR="00FC281B" w:rsidTr="00C50407">
        <w:trPr>
          <w:trHeight w:val="602"/>
        </w:trPr>
        <w:tc>
          <w:tcPr>
            <w:tcW w:w="985"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Dílčí aktivita</w:t>
            </w:r>
          </w:p>
        </w:tc>
        <w:tc>
          <w:tcPr>
            <w:tcW w:w="5767"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Název dílčí aktivity</w:t>
            </w:r>
          </w:p>
        </w:tc>
        <w:tc>
          <w:tcPr>
            <w:tcW w:w="2833" w:type="dxa"/>
            <w:tcBorders>
              <w:top w:val="single" w:sz="8" w:space="0" w:color="000000"/>
              <w:left w:val="single" w:sz="8" w:space="0" w:color="000000"/>
              <w:bottom w:val="single" w:sz="4" w:space="0" w:color="000000"/>
              <w:right w:val="single" w:sz="8" w:space="0" w:color="000000"/>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 xml:space="preserve">Časový harmonogram dodavatele </w:t>
            </w:r>
            <w:r>
              <w:rPr>
                <w:rFonts w:eastAsia="Times New Roman" w:cs="Times New Roman"/>
                <w:b/>
                <w:bCs/>
                <w:color w:val="FF0000"/>
                <w:lang w:eastAsia="cs-CZ"/>
              </w:rPr>
              <w:t>1)</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3</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Identifikace hrozeb, analýza rizik, identifikace rizikových míst a bezpečnostních priorit z pohledu ochrany potenciálního měkkého cíle</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4</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Návrh preventivních technických opatření k přiměřenému snížení rizik</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5</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Návrh preventivních režimových a organizačních opatření k přiměřenému snížení rizik</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r w:rsidR="00FC281B" w:rsidTr="00C50407">
        <w:trPr>
          <w:trHeight w:val="450"/>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6</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ind w:hanging="63"/>
              <w:rPr>
                <w:rFonts w:eastAsia="Times New Roman" w:cs="Times New Roman"/>
                <w:lang w:eastAsia="zh-CN"/>
              </w:rPr>
            </w:pPr>
            <w:r>
              <w:rPr>
                <w:rFonts w:cs="Times New Roman"/>
              </w:rPr>
              <w:t>Vypracování rámcového odhadu nákladů na realizaci navrhovaných opatření</w:t>
            </w:r>
          </w:p>
        </w:tc>
        <w:tc>
          <w:tcPr>
            <w:tcW w:w="2833" w:type="dxa"/>
            <w:tcBorders>
              <w:top w:val="nil"/>
              <w:left w:val="single" w:sz="8" w:space="0" w:color="000000"/>
              <w:bottom w:val="single" w:sz="8" w:space="0" w:color="000000"/>
              <w:right w:val="single" w:sz="8" w:space="0" w:color="000000"/>
            </w:tcBorders>
            <w:vAlign w:val="center"/>
            <w:hideMark/>
          </w:tcPr>
          <w:p w:rsidR="00FC281B" w:rsidRPr="00F87F76" w:rsidRDefault="00FC281B" w:rsidP="00C50407">
            <w:pPr>
              <w:snapToGrid w:val="0"/>
              <w:spacing w:after="0" w:line="240" w:lineRule="auto"/>
              <w:ind w:left="360"/>
              <w:jc w:val="center"/>
              <w:rPr>
                <w:rFonts w:eastAsia="Times New Roman" w:cs="Times New Roman"/>
                <w:color w:val="000000"/>
                <w:lang w:eastAsia="cs-CZ"/>
              </w:rPr>
            </w:pPr>
            <w:r>
              <w:rPr>
                <w:rFonts w:eastAsia="Times New Roman" w:cs="Times New Roman"/>
                <w:color w:val="000000"/>
                <w:lang w:eastAsia="cs-CZ"/>
              </w:rPr>
              <w:t xml:space="preserve">03. </w:t>
            </w:r>
            <w:r w:rsidRPr="00F87F76">
              <w:rPr>
                <w:rFonts w:eastAsia="Times New Roman" w:cs="Times New Roman"/>
                <w:color w:val="000000"/>
                <w:lang w:eastAsia="cs-CZ"/>
              </w:rPr>
              <w:t>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7</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Zpracování pracovní verze výstupu 1. etapy</w:t>
            </w:r>
          </w:p>
        </w:tc>
        <w:tc>
          <w:tcPr>
            <w:tcW w:w="2833" w:type="dxa"/>
            <w:tcBorders>
              <w:top w:val="nil"/>
              <w:left w:val="single" w:sz="8" w:space="0" w:color="000000"/>
              <w:bottom w:val="single" w:sz="8" w:space="0" w:color="000000"/>
              <w:right w:val="single" w:sz="8" w:space="0" w:color="000000"/>
            </w:tcBorders>
            <w:vAlign w:val="center"/>
            <w:hideMark/>
          </w:tcPr>
          <w:p w:rsidR="00FC281B" w:rsidRPr="00F87F76" w:rsidRDefault="00FC281B" w:rsidP="00C50407">
            <w:pPr>
              <w:snapToGrid w:val="0"/>
              <w:spacing w:after="0" w:line="240" w:lineRule="auto"/>
              <w:ind w:left="360"/>
              <w:jc w:val="center"/>
              <w:rPr>
                <w:rFonts w:eastAsia="Times New Roman" w:cs="Times New Roman"/>
                <w:color w:val="000000"/>
                <w:lang w:eastAsia="cs-CZ"/>
              </w:rPr>
            </w:pPr>
            <w:r>
              <w:rPr>
                <w:rFonts w:eastAsia="Times New Roman" w:cs="Times New Roman"/>
                <w:color w:val="000000"/>
                <w:lang w:eastAsia="cs-CZ"/>
              </w:rPr>
              <w:t xml:space="preserve">10. </w:t>
            </w:r>
            <w:r w:rsidRPr="00F87F76">
              <w:rPr>
                <w:rFonts w:eastAsia="Times New Roman" w:cs="Times New Roman"/>
                <w:color w:val="000000"/>
                <w:lang w:eastAsia="cs-CZ"/>
              </w:rPr>
              <w:t>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8</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 xml:space="preserve">Interní oponentu </w:t>
            </w:r>
            <w:r>
              <w:rPr>
                <w:rFonts w:cs="Times New Roman"/>
              </w:rPr>
              <w:t>pracovní verze výstupu 1. etapy ze strany Objednatele</w:t>
            </w:r>
          </w:p>
        </w:tc>
        <w:tc>
          <w:tcPr>
            <w:tcW w:w="2833" w:type="dxa"/>
            <w:tcBorders>
              <w:top w:val="nil"/>
              <w:left w:val="single" w:sz="8" w:space="0" w:color="000000"/>
              <w:bottom w:val="single" w:sz="8" w:space="0" w:color="000000"/>
              <w:right w:val="single" w:sz="8" w:space="0" w:color="000000"/>
            </w:tcBorders>
            <w:vAlign w:val="center"/>
            <w:hideMark/>
          </w:tcPr>
          <w:p w:rsidR="00FC281B" w:rsidRPr="00F87F76" w:rsidRDefault="00FC281B" w:rsidP="00C50407">
            <w:pPr>
              <w:snapToGrid w:val="0"/>
              <w:spacing w:after="0" w:line="240" w:lineRule="auto"/>
              <w:ind w:left="360"/>
              <w:jc w:val="center"/>
              <w:rPr>
                <w:rFonts w:eastAsia="Times New Roman" w:cs="Times New Roman"/>
                <w:color w:val="000000"/>
                <w:lang w:eastAsia="cs-CZ"/>
              </w:rPr>
            </w:pPr>
            <w:r>
              <w:rPr>
                <w:rFonts w:eastAsia="Times New Roman" w:cs="Times New Roman"/>
                <w:color w:val="000000"/>
                <w:lang w:eastAsia="cs-CZ"/>
              </w:rPr>
              <w:t xml:space="preserve">02. </w:t>
            </w:r>
            <w:r w:rsidRPr="00F87F76">
              <w:rPr>
                <w:rFonts w:eastAsia="Times New Roman" w:cs="Times New Roman"/>
                <w:color w:val="000000"/>
                <w:lang w:eastAsia="cs-CZ"/>
              </w:rPr>
              <w:t>– 15. 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9</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cs="Times New Roman"/>
              </w:rPr>
              <w:t>Dopracování připomínek z interní oponentury pracovní verze výstupů 1. etapy</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24. 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10</w:t>
            </w:r>
          </w:p>
        </w:tc>
        <w:tc>
          <w:tcPr>
            <w:tcW w:w="5767"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Předání výstupů 1. etapy projektu do rukou oprávněných zástupců Objednatele</w:t>
            </w:r>
          </w:p>
        </w:tc>
        <w:tc>
          <w:tcPr>
            <w:tcW w:w="2833"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24. srpna 2019</w:t>
            </w:r>
          </w:p>
        </w:tc>
      </w:tr>
    </w:tbl>
    <w:p w:rsidR="00FC281B" w:rsidRPr="002C5EA0" w:rsidRDefault="00FC281B" w:rsidP="00FC281B">
      <w:pPr>
        <w:spacing w:after="0" w:line="240" w:lineRule="auto"/>
        <w:ind w:firstLine="709"/>
        <w:rPr>
          <w:b/>
          <w:sz w:val="10"/>
          <w:szCs w:val="10"/>
        </w:rPr>
      </w:pPr>
    </w:p>
    <w:p w:rsidR="00FC281B" w:rsidRDefault="00FC281B" w:rsidP="00FC281B">
      <w:pPr>
        <w:spacing w:after="0" w:line="240" w:lineRule="auto"/>
        <w:ind w:firstLine="709"/>
        <w:rPr>
          <w:b/>
        </w:rPr>
      </w:pPr>
      <w:r>
        <w:rPr>
          <w:b/>
        </w:rPr>
        <w:t>Poznámka:</w:t>
      </w:r>
    </w:p>
    <w:p w:rsidR="00FC281B" w:rsidRDefault="00FC281B" w:rsidP="00FC281B">
      <w:pPr>
        <w:pStyle w:val="Odstavecseseznamem"/>
        <w:numPr>
          <w:ilvl w:val="0"/>
          <w:numId w:val="27"/>
        </w:numPr>
        <w:spacing w:after="0" w:line="240" w:lineRule="auto"/>
        <w:ind w:left="993" w:hanging="284"/>
        <w:rPr>
          <w:sz w:val="20"/>
          <w:szCs w:val="20"/>
        </w:rPr>
      </w:pPr>
      <w:r>
        <w:rPr>
          <w:sz w:val="20"/>
          <w:szCs w:val="20"/>
        </w:rPr>
        <w:t xml:space="preserve">Veškeré plánované termíny jsou odvozeny od předpokladu, že smlouva o dílo bude podepsána nejpozději 12. července 2019. V případě prodlení, bude nutno harmonogram, po dohodě s Objednatelem, přepracovat. </w:t>
      </w:r>
    </w:p>
    <w:p w:rsidR="00FC281B" w:rsidRDefault="00FC281B" w:rsidP="00FC281B">
      <w:pPr>
        <w:spacing w:after="0" w:line="240" w:lineRule="auto"/>
      </w:pPr>
    </w:p>
    <w:p w:rsidR="00FC281B" w:rsidRDefault="00FC281B" w:rsidP="00FC281B">
      <w:pPr>
        <w:spacing w:line="240" w:lineRule="auto"/>
        <w:ind w:left="284"/>
        <w:rPr>
          <w:b/>
        </w:rPr>
      </w:pPr>
      <w:r>
        <w:rPr>
          <w:b/>
        </w:rPr>
        <w:t xml:space="preserve">Druhá etapa – Metodika výkonu služby fyzické ostrahy ve vztahu k ochraně měkkého cíle </w:t>
      </w:r>
    </w:p>
    <w:p w:rsidR="00FC281B" w:rsidRDefault="00FC281B" w:rsidP="00FC281B">
      <w:pPr>
        <w:pStyle w:val="Odstavecseseznamem"/>
        <w:numPr>
          <w:ilvl w:val="1"/>
          <w:numId w:val="28"/>
        </w:numPr>
        <w:spacing w:after="0" w:line="240" w:lineRule="auto"/>
      </w:pPr>
      <w:r>
        <w:t xml:space="preserve">Druhá etapa projektu zahrnuje realizaci těchto postupných kroků: </w:t>
      </w:r>
    </w:p>
    <w:p w:rsidR="00FC281B" w:rsidRDefault="00FC281B" w:rsidP="00FC281B">
      <w:pPr>
        <w:pStyle w:val="Odstavecseseznamem"/>
        <w:numPr>
          <w:ilvl w:val="0"/>
          <w:numId w:val="29"/>
        </w:numPr>
        <w:spacing w:line="240" w:lineRule="auto"/>
        <w:ind w:left="993" w:hanging="284"/>
      </w:pPr>
      <w:r>
        <w:t>posouzení organizace ostrahy areálu nemocnice z pohledu panujících rizik jejího napadení jako potenciálního měkkého cíle</w:t>
      </w:r>
    </w:p>
    <w:p w:rsidR="00FC281B" w:rsidRDefault="00FC281B" w:rsidP="00FC281B">
      <w:pPr>
        <w:pStyle w:val="Odstavecseseznamem"/>
        <w:numPr>
          <w:ilvl w:val="0"/>
          <w:numId w:val="18"/>
        </w:numPr>
        <w:spacing w:line="240" w:lineRule="auto"/>
      </w:pPr>
      <w:r>
        <w:t>stálá a pohyblivá stanoviště</w:t>
      </w:r>
    </w:p>
    <w:p w:rsidR="00FC281B" w:rsidRDefault="00FC281B" w:rsidP="00FC281B">
      <w:pPr>
        <w:pStyle w:val="Odstavecseseznamem"/>
        <w:numPr>
          <w:ilvl w:val="0"/>
          <w:numId w:val="18"/>
        </w:numPr>
        <w:spacing w:line="240" w:lineRule="auto"/>
      </w:pPr>
      <w:r>
        <w:t>počty strážných na stanovištích</w:t>
      </w:r>
    </w:p>
    <w:p w:rsidR="00FC281B" w:rsidRDefault="00FC281B" w:rsidP="00FC281B">
      <w:pPr>
        <w:pStyle w:val="Odstavecseseznamem"/>
        <w:numPr>
          <w:ilvl w:val="0"/>
          <w:numId w:val="18"/>
        </w:numPr>
        <w:spacing w:line="240" w:lineRule="auto"/>
      </w:pPr>
      <w:r>
        <w:t>základní povinnosti strážných na stanovištích</w:t>
      </w:r>
    </w:p>
    <w:p w:rsidR="00FC281B" w:rsidRDefault="00FC281B" w:rsidP="00FC281B">
      <w:pPr>
        <w:pStyle w:val="Odstavecseseznamem"/>
        <w:numPr>
          <w:ilvl w:val="0"/>
          <w:numId w:val="18"/>
        </w:numPr>
        <w:spacing w:line="240" w:lineRule="auto"/>
      </w:pPr>
      <w:r>
        <w:t>znalost povinností ze strany strážných a jejich fyzické dispozice k jejich naplnění</w:t>
      </w:r>
    </w:p>
    <w:p w:rsidR="00FC281B" w:rsidRDefault="00FC281B" w:rsidP="00FC281B">
      <w:pPr>
        <w:pStyle w:val="Odstavecseseznamem"/>
        <w:numPr>
          <w:ilvl w:val="0"/>
          <w:numId w:val="18"/>
        </w:numPr>
        <w:spacing w:line="240" w:lineRule="auto"/>
      </w:pPr>
      <w:r>
        <w:t>technické prostředky využívané ostrahou</w:t>
      </w:r>
    </w:p>
    <w:p w:rsidR="00FC281B" w:rsidRDefault="00FC281B" w:rsidP="00FC281B">
      <w:pPr>
        <w:pStyle w:val="Odstavecseseznamem"/>
        <w:numPr>
          <w:ilvl w:val="0"/>
          <w:numId w:val="18"/>
        </w:numPr>
        <w:spacing w:line="240" w:lineRule="auto"/>
      </w:pPr>
      <w:r>
        <w:t>systém řízení ostrahy</w:t>
      </w:r>
    </w:p>
    <w:p w:rsidR="00FC281B" w:rsidRDefault="00FC281B" w:rsidP="00FC281B">
      <w:pPr>
        <w:pStyle w:val="Odstavecseseznamem"/>
        <w:numPr>
          <w:ilvl w:val="0"/>
          <w:numId w:val="18"/>
        </w:numPr>
        <w:spacing w:line="240" w:lineRule="auto"/>
      </w:pPr>
      <w:r>
        <w:t>analýza incident-reportu</w:t>
      </w:r>
    </w:p>
    <w:p w:rsidR="00FC281B" w:rsidRDefault="00FC281B" w:rsidP="00FC281B">
      <w:pPr>
        <w:pStyle w:val="Odstavecseseznamem"/>
        <w:numPr>
          <w:ilvl w:val="0"/>
          <w:numId w:val="29"/>
        </w:numPr>
        <w:spacing w:line="240" w:lineRule="auto"/>
        <w:ind w:left="993" w:hanging="284"/>
      </w:pPr>
      <w:r>
        <w:t>zpracování návrhu na optimalizaci systému organizace ostrahy areálu nemocnice</w:t>
      </w:r>
    </w:p>
    <w:p w:rsidR="00FC281B" w:rsidRDefault="00FC281B" w:rsidP="00FC281B">
      <w:pPr>
        <w:pStyle w:val="Odstavecseseznamem"/>
        <w:numPr>
          <w:ilvl w:val="0"/>
          <w:numId w:val="19"/>
        </w:numPr>
        <w:spacing w:line="240" w:lineRule="auto"/>
        <w:ind w:left="1418" w:hanging="425"/>
      </w:pPr>
      <w:r>
        <w:t>návrh na změnu složení bezpečnostní směny a režimu výkonu ostrahy v návaznosti na doporučení uplatněná v první etapě projektu</w:t>
      </w:r>
    </w:p>
    <w:p w:rsidR="00FC281B" w:rsidRDefault="00FC281B" w:rsidP="00FC281B">
      <w:pPr>
        <w:pStyle w:val="Odstavecseseznamem"/>
        <w:numPr>
          <w:ilvl w:val="0"/>
          <w:numId w:val="19"/>
        </w:numPr>
        <w:spacing w:line="240" w:lineRule="auto"/>
        <w:ind w:left="1418" w:hanging="425"/>
      </w:pPr>
      <w:r>
        <w:t>definování kvalifikačních, zdravotních a fyzických dispozic strážných na jednotlivých stanovištích</w:t>
      </w:r>
    </w:p>
    <w:p w:rsidR="00FC281B" w:rsidRDefault="00FC281B" w:rsidP="00FC281B">
      <w:pPr>
        <w:pStyle w:val="Odstavecseseznamem"/>
        <w:numPr>
          <w:ilvl w:val="0"/>
          <w:numId w:val="29"/>
        </w:numPr>
        <w:spacing w:after="0" w:line="240" w:lineRule="auto"/>
        <w:ind w:left="993" w:hanging="284"/>
      </w:pPr>
      <w:r>
        <w:t>rámcová kalkulace nákladů spojených s realizací doporučení</w:t>
      </w:r>
    </w:p>
    <w:p w:rsidR="00FC281B" w:rsidRDefault="00FC281B" w:rsidP="00FC281B">
      <w:pPr>
        <w:spacing w:after="0" w:line="240" w:lineRule="auto"/>
        <w:ind w:left="709"/>
      </w:pPr>
    </w:p>
    <w:p w:rsidR="00FC281B" w:rsidRDefault="00FC281B" w:rsidP="00FC281B">
      <w:pPr>
        <w:pStyle w:val="Odstavecseseznamem"/>
        <w:numPr>
          <w:ilvl w:val="1"/>
          <w:numId w:val="28"/>
        </w:numPr>
        <w:spacing w:after="0" w:line="240" w:lineRule="auto"/>
      </w:pPr>
      <w:r>
        <w:t>Výstup z druhé etapy projektu tvoří</w:t>
      </w:r>
    </w:p>
    <w:p w:rsidR="00FC281B" w:rsidRDefault="00FC281B" w:rsidP="00FC281B">
      <w:pPr>
        <w:spacing w:after="0" w:line="240" w:lineRule="auto"/>
        <w:ind w:left="709"/>
      </w:pPr>
      <w:r>
        <w:t xml:space="preserve">Písemný dokument </w:t>
      </w:r>
      <w:r>
        <w:rPr>
          <w:b/>
        </w:rPr>
        <w:t>„Zhodnocení stávajícího systému ostrahy areálu Fakultní nemocnice Brno a návrhy na jeho zefektivnění v zájmu zvýšení fyzické ochrany nemocnice jako potenciálního měkkého cíle“</w:t>
      </w:r>
      <w:r>
        <w:t>, s tímto základním obsahem:</w:t>
      </w:r>
    </w:p>
    <w:p w:rsidR="00FC281B" w:rsidRDefault="00FC281B" w:rsidP="00FC281B">
      <w:pPr>
        <w:pStyle w:val="Odstavecseseznamem"/>
        <w:numPr>
          <w:ilvl w:val="0"/>
          <w:numId w:val="30"/>
        </w:numPr>
        <w:spacing w:after="0" w:line="240" w:lineRule="auto"/>
        <w:ind w:left="1134" w:hanging="425"/>
      </w:pPr>
      <w:r>
        <w:t>cíle posouzení</w:t>
      </w:r>
    </w:p>
    <w:p w:rsidR="00FC281B" w:rsidRDefault="00FC281B" w:rsidP="00FC281B">
      <w:pPr>
        <w:pStyle w:val="Odstavecseseznamem"/>
        <w:numPr>
          <w:ilvl w:val="0"/>
          <w:numId w:val="30"/>
        </w:numPr>
        <w:spacing w:after="0" w:line="240" w:lineRule="auto"/>
        <w:ind w:left="1134" w:hanging="425"/>
      </w:pPr>
      <w:r>
        <w:t>normativní východiska a informační zdroje</w:t>
      </w:r>
    </w:p>
    <w:p w:rsidR="00FC281B" w:rsidRDefault="00FC281B" w:rsidP="00FC281B">
      <w:pPr>
        <w:pStyle w:val="Odstavecseseznamem"/>
        <w:numPr>
          <w:ilvl w:val="0"/>
          <w:numId w:val="30"/>
        </w:numPr>
        <w:spacing w:after="0" w:line="240" w:lineRule="auto"/>
        <w:ind w:left="1134" w:hanging="425"/>
      </w:pPr>
      <w:r>
        <w:t>použité metody</w:t>
      </w:r>
    </w:p>
    <w:p w:rsidR="00FC281B" w:rsidRDefault="00FC281B" w:rsidP="00FC281B">
      <w:pPr>
        <w:pStyle w:val="Odstavecseseznamem"/>
        <w:numPr>
          <w:ilvl w:val="0"/>
          <w:numId w:val="30"/>
        </w:numPr>
        <w:spacing w:after="0" w:line="240" w:lineRule="auto"/>
        <w:ind w:left="1134" w:hanging="425"/>
      </w:pPr>
      <w:r>
        <w:t>závěry posouzení systému ostrahy a definování slabých míst z pohledu potřeb ochrany nemocnice jako potenciálního měkkého cíle</w:t>
      </w:r>
    </w:p>
    <w:p w:rsidR="00FC281B" w:rsidRDefault="00FC281B" w:rsidP="00FC281B">
      <w:pPr>
        <w:pStyle w:val="Odstavecseseznamem"/>
        <w:numPr>
          <w:ilvl w:val="0"/>
          <w:numId w:val="30"/>
        </w:numPr>
        <w:spacing w:after="0" w:line="240" w:lineRule="auto"/>
        <w:ind w:left="1134" w:hanging="425"/>
      </w:pPr>
      <w:r>
        <w:t>návrh na změnu systému ostrahy</w:t>
      </w:r>
    </w:p>
    <w:p w:rsidR="00FC281B" w:rsidRDefault="00FC281B" w:rsidP="00FC281B">
      <w:pPr>
        <w:pStyle w:val="Odstavecseseznamem"/>
        <w:numPr>
          <w:ilvl w:val="0"/>
          <w:numId w:val="21"/>
        </w:numPr>
        <w:spacing w:after="0" w:line="240" w:lineRule="auto"/>
        <w:ind w:left="1134" w:firstLine="0"/>
      </w:pPr>
      <w:r>
        <w:t>za standardní bezpečnostní situace</w:t>
      </w:r>
    </w:p>
    <w:p w:rsidR="00FC281B" w:rsidRDefault="00FC281B" w:rsidP="00FC281B">
      <w:pPr>
        <w:pStyle w:val="Odstavecseseznamem"/>
        <w:numPr>
          <w:ilvl w:val="0"/>
          <w:numId w:val="21"/>
        </w:numPr>
        <w:spacing w:after="0" w:line="240" w:lineRule="auto"/>
        <w:ind w:left="1134" w:firstLine="0"/>
      </w:pPr>
      <w:r>
        <w:t>za situace zvýšení bezpečnostních rizik</w:t>
      </w:r>
    </w:p>
    <w:p w:rsidR="00FC281B" w:rsidRDefault="00FC281B" w:rsidP="00FC281B">
      <w:pPr>
        <w:pStyle w:val="Odstavecseseznamem"/>
        <w:numPr>
          <w:ilvl w:val="0"/>
          <w:numId w:val="30"/>
        </w:numPr>
        <w:spacing w:after="0" w:line="240" w:lineRule="auto"/>
        <w:ind w:left="1134" w:hanging="425"/>
      </w:pPr>
      <w:r>
        <w:t>návrh na změny v řídící dokumentaci poskytovatele fyzické ostrahy</w:t>
      </w:r>
    </w:p>
    <w:p w:rsidR="00FC281B" w:rsidRDefault="00FC281B" w:rsidP="00FC281B">
      <w:pPr>
        <w:pStyle w:val="Odstavecseseznamem"/>
        <w:numPr>
          <w:ilvl w:val="0"/>
          <w:numId w:val="30"/>
        </w:numPr>
        <w:spacing w:after="0" w:line="240" w:lineRule="auto"/>
        <w:ind w:left="1134" w:hanging="425"/>
      </w:pPr>
      <w:r>
        <w:t>návrh harmonogramu implementace návrhů, včetně případného výběrového řízení</w:t>
      </w:r>
    </w:p>
    <w:p w:rsidR="00FC281B" w:rsidRDefault="00FC281B" w:rsidP="00FC281B">
      <w:pPr>
        <w:pStyle w:val="Odstavecseseznamem"/>
        <w:numPr>
          <w:ilvl w:val="0"/>
          <w:numId w:val="30"/>
        </w:numPr>
        <w:spacing w:after="0" w:line="240" w:lineRule="auto"/>
        <w:ind w:left="1134" w:hanging="425"/>
      </w:pPr>
      <w:r>
        <w:t>rámcová kalkulace nákladů spojených s realizací návrhů na rozvoj prvků fyzické ochrany (vyjma fyzické ostrahy)</w:t>
      </w:r>
    </w:p>
    <w:p w:rsidR="00FC281B" w:rsidRDefault="00FC281B" w:rsidP="00FC281B">
      <w:pPr>
        <w:pStyle w:val="Odstavecseseznamem"/>
        <w:numPr>
          <w:ilvl w:val="0"/>
          <w:numId w:val="30"/>
        </w:numPr>
        <w:spacing w:after="0" w:line="240" w:lineRule="auto"/>
        <w:ind w:left="1134" w:hanging="425"/>
      </w:pPr>
      <w:r>
        <w:t>Přílohy (tabulky; grafy; schémata)</w:t>
      </w:r>
    </w:p>
    <w:p w:rsidR="00FC281B" w:rsidRDefault="00FC281B" w:rsidP="00FC281B">
      <w:pPr>
        <w:spacing w:after="0" w:line="240" w:lineRule="auto"/>
      </w:pPr>
    </w:p>
    <w:p w:rsidR="00FC281B" w:rsidRDefault="00FC281B" w:rsidP="00FC281B">
      <w:pPr>
        <w:spacing w:after="0" w:line="240" w:lineRule="auto"/>
        <w:ind w:left="426"/>
      </w:pPr>
      <w:r>
        <w:t>Výstup plnění z druhé etapy projektu, bude do rukou Objednatele předán 1x ve formě písemného výtisku a 1x ve formě elektronického záznamu na datovém nosiči (CD) ve formátu „</w:t>
      </w:r>
      <w:proofErr w:type="spellStart"/>
      <w:r>
        <w:t>Pdf</w:t>
      </w:r>
      <w:proofErr w:type="spellEnd"/>
      <w:r>
        <w:t>“.</w:t>
      </w:r>
    </w:p>
    <w:p w:rsidR="00FC281B" w:rsidRDefault="00FC281B" w:rsidP="00FC281B">
      <w:pPr>
        <w:spacing w:after="0" w:line="240" w:lineRule="auto"/>
        <w:ind w:left="426"/>
      </w:pPr>
    </w:p>
    <w:p w:rsidR="00FC281B" w:rsidRDefault="00FC281B" w:rsidP="00FC281B">
      <w:pPr>
        <w:spacing w:line="240" w:lineRule="auto"/>
        <w:ind w:left="426"/>
      </w:pPr>
      <w:r>
        <w:t>O předání výstupu plnění z</w:t>
      </w:r>
      <w:r w:rsidR="0058186B">
        <w:t> druhé</w:t>
      </w:r>
      <w:r>
        <w:t xml:space="preserve"> etapy projektu bude zpracován předávací protokol.</w:t>
      </w:r>
    </w:p>
    <w:p w:rsidR="00FC281B" w:rsidRDefault="00FC281B" w:rsidP="00FC281B">
      <w:pPr>
        <w:pStyle w:val="Odstavecseseznamem"/>
        <w:numPr>
          <w:ilvl w:val="1"/>
          <w:numId w:val="32"/>
        </w:numPr>
        <w:spacing w:after="0" w:line="240" w:lineRule="auto"/>
        <w:ind w:hanging="436"/>
      </w:pPr>
      <w:r>
        <w:t xml:space="preserve">Harmonogram realizace </w:t>
      </w:r>
      <w:r w:rsidR="0058186B">
        <w:t>druhé</w:t>
      </w:r>
      <w:r>
        <w:t xml:space="preserve"> etapy projektu</w:t>
      </w:r>
    </w:p>
    <w:p w:rsidR="00FC281B" w:rsidRDefault="00FC281B" w:rsidP="00FC281B">
      <w:pPr>
        <w:spacing w:after="0" w:line="240" w:lineRule="auto"/>
      </w:pPr>
    </w:p>
    <w:tbl>
      <w:tblPr>
        <w:tblW w:w="9585" w:type="dxa"/>
        <w:tblInd w:w="416" w:type="dxa"/>
        <w:tblLayout w:type="fixed"/>
        <w:tblCellMar>
          <w:left w:w="70" w:type="dxa"/>
          <w:right w:w="70" w:type="dxa"/>
        </w:tblCellMar>
        <w:tblLook w:val="04A0" w:firstRow="1" w:lastRow="0" w:firstColumn="1" w:lastColumn="0" w:noHBand="0" w:noVBand="1"/>
      </w:tblPr>
      <w:tblGrid>
        <w:gridCol w:w="985"/>
        <w:gridCol w:w="5767"/>
        <w:gridCol w:w="2833"/>
      </w:tblGrid>
      <w:tr w:rsidR="00FC281B" w:rsidTr="00C50407">
        <w:trPr>
          <w:trHeight w:val="602"/>
        </w:trPr>
        <w:tc>
          <w:tcPr>
            <w:tcW w:w="985"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Dílčí aktivita</w:t>
            </w:r>
          </w:p>
        </w:tc>
        <w:tc>
          <w:tcPr>
            <w:tcW w:w="5771" w:type="dxa"/>
            <w:tcBorders>
              <w:top w:val="single" w:sz="8" w:space="0" w:color="000000"/>
              <w:left w:val="single" w:sz="8" w:space="0" w:color="000000"/>
              <w:bottom w:val="single" w:sz="8" w:space="0" w:color="000000"/>
              <w:right w:val="nil"/>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Název dílčí aktivity</w:t>
            </w:r>
          </w:p>
        </w:tc>
        <w:tc>
          <w:tcPr>
            <w:tcW w:w="2835" w:type="dxa"/>
            <w:tcBorders>
              <w:top w:val="single" w:sz="8" w:space="0" w:color="000000"/>
              <w:left w:val="single" w:sz="8" w:space="0" w:color="000000"/>
              <w:bottom w:val="single" w:sz="4" w:space="0" w:color="000000"/>
              <w:right w:val="single" w:sz="8" w:space="0" w:color="000000"/>
            </w:tcBorders>
            <w:shd w:val="clear" w:color="auto" w:fill="D8D8D8"/>
            <w:vAlign w:val="center"/>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b/>
                <w:bCs/>
                <w:color w:val="000000"/>
                <w:lang w:eastAsia="cs-CZ"/>
              </w:rPr>
              <w:t xml:space="preserve">Časový harmonogram dodavatele </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color w:val="000000"/>
                <w:lang w:eastAsia="cs-CZ"/>
              </w:rPr>
              <w:t>1</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Posouzení organizace ostrahy areálu nemocnice z pohledu panujících rizik jejího napadení jako potenciálního měkkého cíle</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2</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Zpracování návrhu na optimalizaci systému organizace ostrahy areálu nemocnice a kalkulace nákladů s tím spojených</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31. července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3</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Zpracování podkladů pro řešení bezpečnostně nestandardních situací a reakce na vznik mimořádných událostí a krizových situací</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27. července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6</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Zpracování pracovní verze výstupů druhé etapy projektu</w:t>
            </w:r>
          </w:p>
        </w:tc>
        <w:tc>
          <w:tcPr>
            <w:tcW w:w="2835" w:type="dxa"/>
            <w:tcBorders>
              <w:top w:val="nil"/>
              <w:left w:val="single" w:sz="8" w:space="0" w:color="000000"/>
              <w:bottom w:val="single" w:sz="8" w:space="0" w:color="000000"/>
              <w:right w:val="single" w:sz="8" w:space="0" w:color="000000"/>
            </w:tcBorders>
            <w:vAlign w:val="center"/>
            <w:hideMark/>
          </w:tcPr>
          <w:p w:rsidR="00FC281B" w:rsidRPr="00385A27" w:rsidRDefault="00FC281B" w:rsidP="00C50407">
            <w:pPr>
              <w:snapToGrid w:val="0"/>
              <w:spacing w:after="0" w:line="240" w:lineRule="auto"/>
              <w:ind w:left="262"/>
              <w:jc w:val="center"/>
              <w:rPr>
                <w:rFonts w:eastAsia="Times New Roman" w:cs="Times New Roman"/>
                <w:color w:val="000000"/>
                <w:lang w:eastAsia="cs-CZ"/>
              </w:rPr>
            </w:pPr>
            <w:r>
              <w:rPr>
                <w:rFonts w:eastAsia="Times New Roman" w:cs="Times New Roman"/>
                <w:color w:val="000000"/>
                <w:lang w:eastAsia="cs-CZ"/>
              </w:rPr>
              <w:t xml:space="preserve">15. </w:t>
            </w:r>
            <w:r w:rsidRPr="00385A27">
              <w:rPr>
                <w:rFonts w:eastAsia="Times New Roman" w:cs="Times New Roman"/>
                <w:color w:val="000000"/>
                <w:lang w:eastAsia="cs-CZ"/>
              </w:rPr>
              <w:t>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7</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Oponentura pracovní verze výstupů druhé etapy projektu ze strany Objednatele</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15 - 20. 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8</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Předání výstupu druhé etapy řešení do rukou Objednatele</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24. srpna 2019</w:t>
            </w:r>
          </w:p>
        </w:tc>
      </w:tr>
      <w:tr w:rsidR="00FC281B" w:rsidTr="00C50407">
        <w:trPr>
          <w:trHeight w:val="345"/>
        </w:trPr>
        <w:tc>
          <w:tcPr>
            <w:tcW w:w="985" w:type="dxa"/>
            <w:tcBorders>
              <w:top w:val="nil"/>
              <w:left w:val="single" w:sz="8" w:space="0" w:color="000000"/>
              <w:bottom w:val="single" w:sz="8" w:space="0" w:color="000000"/>
              <w:right w:val="nil"/>
            </w:tcBorders>
            <w:hideMark/>
          </w:tcPr>
          <w:p w:rsidR="00FC281B" w:rsidRDefault="00FC281B" w:rsidP="00C50407">
            <w:pPr>
              <w:spacing w:after="0" w:line="240" w:lineRule="auto"/>
              <w:jc w:val="center"/>
              <w:rPr>
                <w:rFonts w:eastAsia="Times New Roman" w:cs="Times New Roman"/>
                <w:sz w:val="24"/>
                <w:szCs w:val="24"/>
                <w:lang w:eastAsia="zh-CN"/>
              </w:rPr>
            </w:pPr>
            <w:r>
              <w:rPr>
                <w:rFonts w:eastAsia="Times New Roman" w:cs="Times New Roman"/>
                <w:sz w:val="24"/>
                <w:szCs w:val="24"/>
                <w:lang w:eastAsia="zh-CN"/>
              </w:rPr>
              <w:t>9</w:t>
            </w:r>
          </w:p>
        </w:tc>
        <w:tc>
          <w:tcPr>
            <w:tcW w:w="5771" w:type="dxa"/>
            <w:tcBorders>
              <w:top w:val="nil"/>
              <w:left w:val="single" w:sz="8" w:space="0" w:color="000000"/>
              <w:bottom w:val="single" w:sz="8" w:space="0" w:color="000000"/>
              <w:right w:val="nil"/>
            </w:tcBorders>
            <w:hideMark/>
          </w:tcPr>
          <w:p w:rsidR="00FC281B" w:rsidRDefault="00FC281B" w:rsidP="00C50407">
            <w:pPr>
              <w:spacing w:after="0" w:line="240" w:lineRule="auto"/>
              <w:rPr>
                <w:rFonts w:eastAsia="Times New Roman" w:cs="Times New Roman"/>
                <w:lang w:eastAsia="zh-CN"/>
              </w:rPr>
            </w:pPr>
            <w:r>
              <w:rPr>
                <w:rFonts w:eastAsia="Times New Roman" w:cs="Times New Roman"/>
                <w:lang w:eastAsia="zh-CN"/>
              </w:rPr>
              <w:t>Prezentace výsledků celého projektu pro vedení FN Brno</w:t>
            </w:r>
          </w:p>
        </w:tc>
        <w:tc>
          <w:tcPr>
            <w:tcW w:w="2835" w:type="dxa"/>
            <w:tcBorders>
              <w:top w:val="nil"/>
              <w:left w:val="single" w:sz="8" w:space="0" w:color="000000"/>
              <w:bottom w:val="single" w:sz="8" w:space="0" w:color="000000"/>
              <w:right w:val="single" w:sz="8" w:space="0" w:color="000000"/>
            </w:tcBorders>
            <w:vAlign w:val="center"/>
            <w:hideMark/>
          </w:tcPr>
          <w:p w:rsidR="00FC281B" w:rsidRDefault="00FC281B" w:rsidP="00C50407">
            <w:pPr>
              <w:snapToGrid w:val="0"/>
              <w:spacing w:after="0" w:line="240" w:lineRule="auto"/>
              <w:jc w:val="center"/>
              <w:rPr>
                <w:rFonts w:eastAsia="Times New Roman" w:cs="Times New Roman"/>
                <w:color w:val="000000"/>
                <w:lang w:eastAsia="cs-CZ"/>
              </w:rPr>
            </w:pPr>
            <w:r>
              <w:rPr>
                <w:rFonts w:eastAsia="Times New Roman" w:cs="Times New Roman"/>
                <w:color w:val="000000"/>
                <w:lang w:eastAsia="cs-CZ"/>
              </w:rPr>
              <w:t>30. srpna 2019</w:t>
            </w:r>
          </w:p>
        </w:tc>
      </w:tr>
    </w:tbl>
    <w:p w:rsidR="00FC281B" w:rsidRPr="00FF61A1" w:rsidRDefault="00FC281B" w:rsidP="00FC281B">
      <w:pPr>
        <w:spacing w:line="240" w:lineRule="auto"/>
        <w:rPr>
          <w:sz w:val="6"/>
          <w:szCs w:val="6"/>
        </w:rPr>
      </w:pPr>
    </w:p>
    <w:p w:rsidR="0051251A" w:rsidRDefault="0051251A" w:rsidP="0051251A">
      <w:pPr>
        <w:spacing w:after="0" w:line="240" w:lineRule="auto"/>
      </w:pPr>
    </w:p>
    <w:p w:rsidR="0051251A" w:rsidRDefault="0051251A" w:rsidP="0051251A">
      <w:pPr>
        <w:spacing w:after="0" w:line="240" w:lineRule="auto"/>
      </w:pPr>
    </w:p>
    <w:p w:rsidR="0051251A" w:rsidRDefault="0051251A" w:rsidP="0051251A">
      <w:pPr>
        <w:spacing w:after="0" w:line="240" w:lineRule="auto"/>
      </w:pPr>
    </w:p>
    <w:p w:rsidR="0051251A" w:rsidRDefault="0051251A" w:rsidP="0051251A">
      <w:pPr>
        <w:spacing w:after="0" w:line="240" w:lineRule="auto"/>
      </w:pPr>
    </w:p>
    <w:p w:rsidR="0051251A" w:rsidRPr="00FF61A1" w:rsidRDefault="0051251A" w:rsidP="0051251A">
      <w:pPr>
        <w:spacing w:line="240" w:lineRule="auto"/>
        <w:rPr>
          <w:sz w:val="6"/>
          <w:szCs w:val="6"/>
        </w:rPr>
      </w:pPr>
    </w:p>
    <w:p w:rsidR="0051251A" w:rsidRDefault="0051251A" w:rsidP="0051251A">
      <w:pPr>
        <w:spacing w:line="240" w:lineRule="auto"/>
        <w:rPr>
          <w:rFonts w:ascii="Arial" w:hAnsi="Arial" w:cs="Arial"/>
          <w:bCs/>
        </w:rPr>
      </w:pPr>
    </w:p>
    <w:p w:rsidR="0051251A" w:rsidRPr="0027201F" w:rsidRDefault="00FC281B" w:rsidP="00FC281B">
      <w:pPr>
        <w:spacing w:line="240" w:lineRule="auto"/>
        <w:rPr>
          <w:rFonts w:ascii="Arial" w:hAnsi="Arial" w:cs="Arial"/>
          <w:bCs/>
        </w:rPr>
      </w:pPr>
      <w:r w:rsidRPr="0027201F">
        <w:rPr>
          <w:rFonts w:ascii="Arial" w:hAnsi="Arial" w:cs="Arial"/>
          <w:bCs/>
        </w:rPr>
        <w:t xml:space="preserve"> </w:t>
      </w:r>
    </w:p>
    <w:p w:rsidR="0051251A" w:rsidRPr="00FF61A1" w:rsidRDefault="0051251A" w:rsidP="0051251A">
      <w:pPr>
        <w:rPr>
          <w:b/>
          <w:color w:val="C00000"/>
        </w:rPr>
      </w:pPr>
    </w:p>
    <w:p w:rsidR="00B969DF" w:rsidRDefault="00B969DF" w:rsidP="00B969DF"/>
    <w:p w:rsidR="00B969DF" w:rsidRDefault="00B969DF" w:rsidP="00B969DF"/>
    <w:p w:rsidR="0047669E" w:rsidRDefault="0047669E" w:rsidP="00B969DF"/>
    <w:p w:rsidR="0047669E" w:rsidRDefault="0047669E" w:rsidP="00B969DF"/>
    <w:sectPr w:rsidR="0047669E" w:rsidSect="00FC4926">
      <w:pgSz w:w="11906" w:h="16838"/>
      <w:pgMar w:top="993"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BE3"/>
    <w:multiLevelType w:val="hybridMultilevel"/>
    <w:tmpl w:val="77A6A8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145ECF"/>
    <w:multiLevelType w:val="hybridMultilevel"/>
    <w:tmpl w:val="E50CC004"/>
    <w:lvl w:ilvl="0" w:tplc="3A342B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04F59D2"/>
    <w:multiLevelType w:val="hybridMultilevel"/>
    <w:tmpl w:val="F460CF86"/>
    <w:lvl w:ilvl="0" w:tplc="4A98FCEE">
      <w:start w:val="1"/>
      <w:numFmt w:val="upperLetter"/>
      <w:lvlText w:val="%1)"/>
      <w:lvlJc w:val="left"/>
      <w:pPr>
        <w:ind w:left="207" w:hanging="360"/>
      </w:pPr>
      <w:rPr>
        <w:rFonts w:hint="default"/>
      </w:rPr>
    </w:lvl>
    <w:lvl w:ilvl="1" w:tplc="04050019" w:tentative="1">
      <w:start w:val="1"/>
      <w:numFmt w:val="lowerLetter"/>
      <w:lvlText w:val="%2."/>
      <w:lvlJc w:val="left"/>
      <w:pPr>
        <w:ind w:left="927" w:hanging="360"/>
      </w:pPr>
    </w:lvl>
    <w:lvl w:ilvl="2" w:tplc="0405001B" w:tentative="1">
      <w:start w:val="1"/>
      <w:numFmt w:val="lowerRoman"/>
      <w:lvlText w:val="%3."/>
      <w:lvlJc w:val="right"/>
      <w:pPr>
        <w:ind w:left="1647" w:hanging="180"/>
      </w:pPr>
    </w:lvl>
    <w:lvl w:ilvl="3" w:tplc="0405000F" w:tentative="1">
      <w:start w:val="1"/>
      <w:numFmt w:val="decimal"/>
      <w:lvlText w:val="%4."/>
      <w:lvlJc w:val="left"/>
      <w:pPr>
        <w:ind w:left="2367" w:hanging="360"/>
      </w:pPr>
    </w:lvl>
    <w:lvl w:ilvl="4" w:tplc="04050019" w:tentative="1">
      <w:start w:val="1"/>
      <w:numFmt w:val="lowerLetter"/>
      <w:lvlText w:val="%5."/>
      <w:lvlJc w:val="left"/>
      <w:pPr>
        <w:ind w:left="3087" w:hanging="360"/>
      </w:pPr>
    </w:lvl>
    <w:lvl w:ilvl="5" w:tplc="0405001B" w:tentative="1">
      <w:start w:val="1"/>
      <w:numFmt w:val="lowerRoman"/>
      <w:lvlText w:val="%6."/>
      <w:lvlJc w:val="right"/>
      <w:pPr>
        <w:ind w:left="3807" w:hanging="180"/>
      </w:pPr>
    </w:lvl>
    <w:lvl w:ilvl="6" w:tplc="0405000F" w:tentative="1">
      <w:start w:val="1"/>
      <w:numFmt w:val="decimal"/>
      <w:lvlText w:val="%7."/>
      <w:lvlJc w:val="left"/>
      <w:pPr>
        <w:ind w:left="4527" w:hanging="360"/>
      </w:pPr>
    </w:lvl>
    <w:lvl w:ilvl="7" w:tplc="04050019" w:tentative="1">
      <w:start w:val="1"/>
      <w:numFmt w:val="lowerLetter"/>
      <w:lvlText w:val="%8."/>
      <w:lvlJc w:val="left"/>
      <w:pPr>
        <w:ind w:left="5247" w:hanging="360"/>
      </w:pPr>
    </w:lvl>
    <w:lvl w:ilvl="8" w:tplc="0405001B" w:tentative="1">
      <w:start w:val="1"/>
      <w:numFmt w:val="lowerRoman"/>
      <w:lvlText w:val="%9."/>
      <w:lvlJc w:val="right"/>
      <w:pPr>
        <w:ind w:left="5967" w:hanging="180"/>
      </w:pPr>
    </w:lvl>
  </w:abstractNum>
  <w:abstractNum w:abstractNumId="3">
    <w:nsid w:val="178E4558"/>
    <w:multiLevelType w:val="hybridMultilevel"/>
    <w:tmpl w:val="0DBC454E"/>
    <w:lvl w:ilvl="0" w:tplc="3A342B8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nsid w:val="17F07B76"/>
    <w:multiLevelType w:val="hybridMultilevel"/>
    <w:tmpl w:val="A3F0DB22"/>
    <w:lvl w:ilvl="0" w:tplc="04050017">
      <w:start w:val="1"/>
      <w:numFmt w:val="lowerLetter"/>
      <w:lvlText w:val="%1)"/>
      <w:lvlJc w:val="left"/>
      <w:pPr>
        <w:ind w:left="644"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nsid w:val="1B17772C"/>
    <w:multiLevelType w:val="hybridMultilevel"/>
    <w:tmpl w:val="295289B8"/>
    <w:lvl w:ilvl="0" w:tplc="3A342B8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nsid w:val="1CD967EB"/>
    <w:multiLevelType w:val="multilevel"/>
    <w:tmpl w:val="50D68170"/>
    <w:lvl w:ilvl="0">
      <w:start w:val="1"/>
      <w:numFmt w:val="decimal"/>
      <w:lvlText w:val="%1."/>
      <w:lvlJc w:val="left"/>
      <w:pPr>
        <w:ind w:left="930" w:hanging="57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255494A"/>
    <w:multiLevelType w:val="hybridMultilevel"/>
    <w:tmpl w:val="B06468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2C084B"/>
    <w:multiLevelType w:val="multilevel"/>
    <w:tmpl w:val="967211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58F2063"/>
    <w:multiLevelType w:val="multilevel"/>
    <w:tmpl w:val="50D68170"/>
    <w:lvl w:ilvl="0">
      <w:start w:val="1"/>
      <w:numFmt w:val="decimal"/>
      <w:lvlText w:val="%1."/>
      <w:lvlJc w:val="left"/>
      <w:pPr>
        <w:ind w:left="930" w:hanging="57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BC06BC"/>
    <w:multiLevelType w:val="hybridMultilevel"/>
    <w:tmpl w:val="58A2B624"/>
    <w:lvl w:ilvl="0" w:tplc="7102FD1A">
      <w:start w:val="1"/>
      <w:numFmt w:val="decimal"/>
      <w:lvlText w:val="%1."/>
      <w:lvlJc w:val="left"/>
      <w:pPr>
        <w:ind w:left="6031" w:hanging="360"/>
      </w:pPr>
      <w:rPr>
        <w:rFonts w:hint="default"/>
      </w:rPr>
    </w:lvl>
    <w:lvl w:ilvl="1" w:tplc="04050019" w:tentative="1">
      <w:start w:val="1"/>
      <w:numFmt w:val="lowerLetter"/>
      <w:lvlText w:val="%2."/>
      <w:lvlJc w:val="left"/>
      <w:pPr>
        <w:ind w:left="6751" w:hanging="360"/>
      </w:pPr>
    </w:lvl>
    <w:lvl w:ilvl="2" w:tplc="0405001B" w:tentative="1">
      <w:start w:val="1"/>
      <w:numFmt w:val="lowerRoman"/>
      <w:lvlText w:val="%3."/>
      <w:lvlJc w:val="right"/>
      <w:pPr>
        <w:ind w:left="7471" w:hanging="180"/>
      </w:pPr>
    </w:lvl>
    <w:lvl w:ilvl="3" w:tplc="0405000F" w:tentative="1">
      <w:start w:val="1"/>
      <w:numFmt w:val="decimal"/>
      <w:lvlText w:val="%4."/>
      <w:lvlJc w:val="left"/>
      <w:pPr>
        <w:ind w:left="8191" w:hanging="360"/>
      </w:pPr>
    </w:lvl>
    <w:lvl w:ilvl="4" w:tplc="04050019" w:tentative="1">
      <w:start w:val="1"/>
      <w:numFmt w:val="lowerLetter"/>
      <w:lvlText w:val="%5."/>
      <w:lvlJc w:val="left"/>
      <w:pPr>
        <w:ind w:left="8911" w:hanging="360"/>
      </w:pPr>
    </w:lvl>
    <w:lvl w:ilvl="5" w:tplc="0405001B" w:tentative="1">
      <w:start w:val="1"/>
      <w:numFmt w:val="lowerRoman"/>
      <w:lvlText w:val="%6."/>
      <w:lvlJc w:val="right"/>
      <w:pPr>
        <w:ind w:left="9631" w:hanging="180"/>
      </w:pPr>
    </w:lvl>
    <w:lvl w:ilvl="6" w:tplc="0405000F" w:tentative="1">
      <w:start w:val="1"/>
      <w:numFmt w:val="decimal"/>
      <w:lvlText w:val="%7."/>
      <w:lvlJc w:val="left"/>
      <w:pPr>
        <w:ind w:left="10351" w:hanging="360"/>
      </w:pPr>
    </w:lvl>
    <w:lvl w:ilvl="7" w:tplc="04050019" w:tentative="1">
      <w:start w:val="1"/>
      <w:numFmt w:val="lowerLetter"/>
      <w:lvlText w:val="%8."/>
      <w:lvlJc w:val="left"/>
      <w:pPr>
        <w:ind w:left="11071" w:hanging="360"/>
      </w:pPr>
    </w:lvl>
    <w:lvl w:ilvl="8" w:tplc="0405001B" w:tentative="1">
      <w:start w:val="1"/>
      <w:numFmt w:val="lowerRoman"/>
      <w:lvlText w:val="%9."/>
      <w:lvlJc w:val="right"/>
      <w:pPr>
        <w:ind w:left="11791" w:hanging="180"/>
      </w:pPr>
    </w:lvl>
  </w:abstractNum>
  <w:abstractNum w:abstractNumId="11">
    <w:nsid w:val="2E732A39"/>
    <w:multiLevelType w:val="hybridMultilevel"/>
    <w:tmpl w:val="0B5653FA"/>
    <w:lvl w:ilvl="0" w:tplc="3A342B8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3353375A"/>
    <w:multiLevelType w:val="multilevel"/>
    <w:tmpl w:val="5A66783C"/>
    <w:lvl w:ilvl="0">
      <w:start w:val="1"/>
      <w:numFmt w:val="decimal"/>
      <w:lvlText w:val="%1."/>
      <w:lvlJc w:val="left"/>
      <w:pPr>
        <w:ind w:left="720" w:hanging="360"/>
      </w:pPr>
      <w:rPr>
        <w:rFonts w:hint="default"/>
        <w:b/>
        <w:sz w:val="22"/>
      </w:rPr>
    </w:lvl>
    <w:lvl w:ilvl="1">
      <w:start w:val="8"/>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53F615C"/>
    <w:multiLevelType w:val="hybridMultilevel"/>
    <w:tmpl w:val="80B2B4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8816ED2"/>
    <w:multiLevelType w:val="hybridMultilevel"/>
    <w:tmpl w:val="327E654A"/>
    <w:lvl w:ilvl="0" w:tplc="526C7480">
      <w:start w:val="1"/>
      <w:numFmt w:val="decimal"/>
      <w:lvlText w:val="%1)"/>
      <w:lvlJc w:val="left"/>
      <w:pPr>
        <w:ind w:left="720" w:hanging="360"/>
      </w:pPr>
      <w:rPr>
        <w:rFonts w:hint="default"/>
        <w:b/>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E417346"/>
    <w:multiLevelType w:val="hybridMultilevel"/>
    <w:tmpl w:val="8D6CF822"/>
    <w:lvl w:ilvl="0" w:tplc="BE627142">
      <w:start w:val="1"/>
      <w:numFmt w:val="lowerLetter"/>
      <w:lvlText w:val="%1)"/>
      <w:lvlJc w:val="left"/>
      <w:pPr>
        <w:ind w:left="709" w:hanging="360"/>
      </w:pPr>
      <w:rPr>
        <w:rFonts w:hint="default"/>
      </w:rPr>
    </w:lvl>
    <w:lvl w:ilvl="1" w:tplc="04050019" w:tentative="1">
      <w:start w:val="1"/>
      <w:numFmt w:val="lowerLetter"/>
      <w:lvlText w:val="%2."/>
      <w:lvlJc w:val="left"/>
      <w:pPr>
        <w:ind w:left="1429" w:hanging="360"/>
      </w:pPr>
    </w:lvl>
    <w:lvl w:ilvl="2" w:tplc="0405001B" w:tentative="1">
      <w:start w:val="1"/>
      <w:numFmt w:val="lowerRoman"/>
      <w:lvlText w:val="%3."/>
      <w:lvlJc w:val="right"/>
      <w:pPr>
        <w:ind w:left="2149" w:hanging="180"/>
      </w:pPr>
    </w:lvl>
    <w:lvl w:ilvl="3" w:tplc="0405000F" w:tentative="1">
      <w:start w:val="1"/>
      <w:numFmt w:val="decimal"/>
      <w:lvlText w:val="%4."/>
      <w:lvlJc w:val="left"/>
      <w:pPr>
        <w:ind w:left="2869" w:hanging="360"/>
      </w:pPr>
    </w:lvl>
    <w:lvl w:ilvl="4" w:tplc="04050019" w:tentative="1">
      <w:start w:val="1"/>
      <w:numFmt w:val="lowerLetter"/>
      <w:lvlText w:val="%5."/>
      <w:lvlJc w:val="left"/>
      <w:pPr>
        <w:ind w:left="3589" w:hanging="360"/>
      </w:pPr>
    </w:lvl>
    <w:lvl w:ilvl="5" w:tplc="0405001B" w:tentative="1">
      <w:start w:val="1"/>
      <w:numFmt w:val="lowerRoman"/>
      <w:lvlText w:val="%6."/>
      <w:lvlJc w:val="right"/>
      <w:pPr>
        <w:ind w:left="4309" w:hanging="180"/>
      </w:pPr>
    </w:lvl>
    <w:lvl w:ilvl="6" w:tplc="0405000F" w:tentative="1">
      <w:start w:val="1"/>
      <w:numFmt w:val="decimal"/>
      <w:lvlText w:val="%7."/>
      <w:lvlJc w:val="left"/>
      <w:pPr>
        <w:ind w:left="5029" w:hanging="360"/>
      </w:pPr>
    </w:lvl>
    <w:lvl w:ilvl="7" w:tplc="04050019" w:tentative="1">
      <w:start w:val="1"/>
      <w:numFmt w:val="lowerLetter"/>
      <w:lvlText w:val="%8."/>
      <w:lvlJc w:val="left"/>
      <w:pPr>
        <w:ind w:left="5749" w:hanging="360"/>
      </w:pPr>
    </w:lvl>
    <w:lvl w:ilvl="8" w:tplc="0405001B" w:tentative="1">
      <w:start w:val="1"/>
      <w:numFmt w:val="lowerRoman"/>
      <w:lvlText w:val="%9."/>
      <w:lvlJc w:val="right"/>
      <w:pPr>
        <w:ind w:left="6469" w:hanging="180"/>
      </w:pPr>
    </w:lvl>
  </w:abstractNum>
  <w:abstractNum w:abstractNumId="16">
    <w:nsid w:val="475A09AA"/>
    <w:multiLevelType w:val="hybridMultilevel"/>
    <w:tmpl w:val="DDCA3E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CE760CF"/>
    <w:multiLevelType w:val="hybridMultilevel"/>
    <w:tmpl w:val="51BE56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F516A6B"/>
    <w:multiLevelType w:val="hybridMultilevel"/>
    <w:tmpl w:val="C318E124"/>
    <w:lvl w:ilvl="0" w:tplc="04050017">
      <w:start w:val="1"/>
      <w:numFmt w:val="lowerLetter"/>
      <w:lvlText w:val="%1)"/>
      <w:lvlJc w:val="left"/>
      <w:pPr>
        <w:ind w:left="1125" w:hanging="360"/>
      </w:p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19">
    <w:nsid w:val="61182F53"/>
    <w:multiLevelType w:val="hybridMultilevel"/>
    <w:tmpl w:val="9CAAB0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171386"/>
    <w:multiLevelType w:val="hybridMultilevel"/>
    <w:tmpl w:val="6A167052"/>
    <w:lvl w:ilvl="0" w:tplc="0376FDE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03741A3"/>
    <w:multiLevelType w:val="multilevel"/>
    <w:tmpl w:val="50D68170"/>
    <w:lvl w:ilvl="0">
      <w:start w:val="1"/>
      <w:numFmt w:val="decimal"/>
      <w:lvlText w:val="%1."/>
      <w:lvlJc w:val="left"/>
      <w:pPr>
        <w:ind w:left="930" w:hanging="57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7EF5FE4"/>
    <w:multiLevelType w:val="hybridMultilevel"/>
    <w:tmpl w:val="F844CFAC"/>
    <w:lvl w:ilvl="0" w:tplc="3A342B86">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nsid w:val="7C726288"/>
    <w:multiLevelType w:val="hybridMultilevel"/>
    <w:tmpl w:val="2340C844"/>
    <w:lvl w:ilvl="0" w:tplc="067892E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7DAF7E08"/>
    <w:multiLevelType w:val="hybridMultilevel"/>
    <w:tmpl w:val="7D06BDE0"/>
    <w:lvl w:ilvl="0" w:tplc="3A342B8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2"/>
  </w:num>
  <w:num w:numId="2">
    <w:abstractNumId w:val="21"/>
  </w:num>
  <w:num w:numId="3">
    <w:abstractNumId w:val="17"/>
  </w:num>
  <w:num w:numId="4">
    <w:abstractNumId w:val="20"/>
  </w:num>
  <w:num w:numId="5">
    <w:abstractNumId w:val="13"/>
  </w:num>
  <w:num w:numId="6">
    <w:abstractNumId w:val="19"/>
  </w:num>
  <w:num w:numId="7">
    <w:abstractNumId w:val="16"/>
  </w:num>
  <w:num w:numId="8">
    <w:abstractNumId w:val="2"/>
  </w:num>
  <w:num w:numId="9">
    <w:abstractNumId w:val="10"/>
  </w:num>
  <w:num w:numId="10">
    <w:abstractNumId w:val="24"/>
  </w:num>
  <w:num w:numId="11">
    <w:abstractNumId w:val="23"/>
  </w:num>
  <w:num w:numId="12">
    <w:abstractNumId w:val="11"/>
  </w:num>
  <w:num w:numId="13">
    <w:abstractNumId w:val="4"/>
  </w:num>
  <w:num w:numId="14">
    <w:abstractNumId w:val="14"/>
  </w:num>
  <w:num w:numId="15">
    <w:abstractNumId w:val="8"/>
  </w:num>
  <w:num w:numId="16">
    <w:abstractNumId w:val="3"/>
  </w:num>
  <w:num w:numId="17">
    <w:abstractNumId w:val="15"/>
  </w:num>
  <w:num w:numId="18">
    <w:abstractNumId w:val="22"/>
  </w:num>
  <w:num w:numId="19">
    <w:abstractNumId w:val="5"/>
  </w:num>
  <w:num w:numId="20">
    <w:abstractNumId w:val="0"/>
  </w:num>
  <w:num w:numId="21">
    <w:abstractNumId w:val="1"/>
  </w:num>
  <w:num w:numId="22">
    <w:abstractNumId w:val="9"/>
  </w:num>
  <w:num w:numId="23">
    <w:abstractNumId w:val="7"/>
  </w:num>
  <w:num w:numId="24">
    <w:abstractNumId w:val="1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lvlOverride w:ilvl="2"/>
    <w:lvlOverride w:ilvl="3"/>
    <w:lvlOverride w:ilvl="4"/>
    <w:lvlOverride w:ilvl="5"/>
    <w:lvlOverride w:ilvl="6"/>
    <w:lvlOverride w:ilvl="7"/>
    <w:lvlOverride w:ilvl="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DF"/>
    <w:rsid w:val="000605AC"/>
    <w:rsid w:val="000E3157"/>
    <w:rsid w:val="00100064"/>
    <w:rsid w:val="001021A4"/>
    <w:rsid w:val="00155139"/>
    <w:rsid w:val="00162395"/>
    <w:rsid w:val="001821C3"/>
    <w:rsid w:val="001C6ADA"/>
    <w:rsid w:val="00220DEA"/>
    <w:rsid w:val="00254DC9"/>
    <w:rsid w:val="002B435C"/>
    <w:rsid w:val="002D30B3"/>
    <w:rsid w:val="002E3153"/>
    <w:rsid w:val="00352CC0"/>
    <w:rsid w:val="00376CE4"/>
    <w:rsid w:val="003B059C"/>
    <w:rsid w:val="003C3031"/>
    <w:rsid w:val="00403B74"/>
    <w:rsid w:val="00461EB0"/>
    <w:rsid w:val="0047669E"/>
    <w:rsid w:val="00493F50"/>
    <w:rsid w:val="004A361A"/>
    <w:rsid w:val="004D134D"/>
    <w:rsid w:val="0051251A"/>
    <w:rsid w:val="00520526"/>
    <w:rsid w:val="00541602"/>
    <w:rsid w:val="0058186B"/>
    <w:rsid w:val="005F630C"/>
    <w:rsid w:val="00674241"/>
    <w:rsid w:val="006A5E6E"/>
    <w:rsid w:val="00785057"/>
    <w:rsid w:val="007D35E9"/>
    <w:rsid w:val="0080179B"/>
    <w:rsid w:val="00872791"/>
    <w:rsid w:val="008A0E9C"/>
    <w:rsid w:val="00900604"/>
    <w:rsid w:val="009A7075"/>
    <w:rsid w:val="009D1875"/>
    <w:rsid w:val="00A2334B"/>
    <w:rsid w:val="00A828BF"/>
    <w:rsid w:val="00AB4FE0"/>
    <w:rsid w:val="00AD5B6C"/>
    <w:rsid w:val="00B32C0B"/>
    <w:rsid w:val="00B370FF"/>
    <w:rsid w:val="00B969DF"/>
    <w:rsid w:val="00BD6238"/>
    <w:rsid w:val="00C14765"/>
    <w:rsid w:val="00C55BEF"/>
    <w:rsid w:val="00CA2803"/>
    <w:rsid w:val="00CC199E"/>
    <w:rsid w:val="00CE415F"/>
    <w:rsid w:val="00DE12CF"/>
    <w:rsid w:val="00E612EA"/>
    <w:rsid w:val="00E67BC4"/>
    <w:rsid w:val="00E83339"/>
    <w:rsid w:val="00E8673F"/>
    <w:rsid w:val="00F10412"/>
    <w:rsid w:val="00F942E4"/>
    <w:rsid w:val="00FC281B"/>
    <w:rsid w:val="00FC4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96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969DF"/>
    <w:pPr>
      <w:ind w:left="720"/>
      <w:contextualSpacing/>
    </w:pPr>
  </w:style>
  <w:style w:type="character" w:styleId="Hypertextovodkaz">
    <w:name w:val="Hyperlink"/>
    <w:basedOn w:val="Standardnpsmoodstavce"/>
    <w:uiPriority w:val="99"/>
    <w:unhideWhenUsed/>
    <w:rsid w:val="00B370FF"/>
    <w:rPr>
      <w:color w:val="0563C1" w:themeColor="hyperlink"/>
      <w:u w:val="single"/>
    </w:rPr>
  </w:style>
  <w:style w:type="paragraph" w:styleId="Textbubliny">
    <w:name w:val="Balloon Text"/>
    <w:basedOn w:val="Normln"/>
    <w:link w:val="TextbublinyChar"/>
    <w:uiPriority w:val="99"/>
    <w:semiHidden/>
    <w:unhideWhenUsed/>
    <w:rsid w:val="00376C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CE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96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B969DF"/>
    <w:pPr>
      <w:ind w:left="720"/>
      <w:contextualSpacing/>
    </w:pPr>
  </w:style>
  <w:style w:type="character" w:styleId="Hypertextovodkaz">
    <w:name w:val="Hyperlink"/>
    <w:basedOn w:val="Standardnpsmoodstavce"/>
    <w:uiPriority w:val="99"/>
    <w:unhideWhenUsed/>
    <w:rsid w:val="00B370FF"/>
    <w:rPr>
      <w:color w:val="0563C1" w:themeColor="hyperlink"/>
      <w:u w:val="single"/>
    </w:rPr>
  </w:style>
  <w:style w:type="paragraph" w:styleId="Textbubliny">
    <w:name w:val="Balloon Text"/>
    <w:basedOn w:val="Normln"/>
    <w:link w:val="TextbublinyChar"/>
    <w:uiPriority w:val="99"/>
    <w:semiHidden/>
    <w:unhideWhenUsed/>
    <w:rsid w:val="00376C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6C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42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fscsekretariat@fsc-ov.cz"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655BEB9A753C641920AA547AF5C7275" ma:contentTypeVersion="0" ma:contentTypeDescription="Vytvoří nový dokument" ma:contentTypeScope="" ma:versionID="9c4b082a7d00acd1ef99b0bbe87a122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2DWAXVAW3MHF-2097130975-45</_dlc_DocId>
    <_dlc_DocIdUrl xmlns="a7e37686-00e6-405d-9032-d05dd3ba55a9">
      <Url>https://vis.fnbrno.cz/c012/WebVZ/_layouts/15/DocIdRedir.aspx?ID=2DWAXVAW3MHF-2097130975-45</Url>
      <Description>2DWAXVAW3MHF-2097130975-45</Description>
    </_dlc_DocIdUrl>
  </documentManagement>
</p:properties>
</file>

<file path=customXml/itemProps1.xml><?xml version="1.0" encoding="utf-8"?>
<ds:datastoreItem xmlns:ds="http://schemas.openxmlformats.org/officeDocument/2006/customXml" ds:itemID="{FC2D918D-3999-4BAD-9FA5-188130EEBDCE}">
  <ds:schemaRefs>
    <ds:schemaRef ds:uri="http://schemas.microsoft.com/sharepoint/v3/contenttype/forms"/>
  </ds:schemaRefs>
</ds:datastoreItem>
</file>

<file path=customXml/itemProps2.xml><?xml version="1.0" encoding="utf-8"?>
<ds:datastoreItem xmlns:ds="http://schemas.openxmlformats.org/officeDocument/2006/customXml" ds:itemID="{DAC5D365-D666-4241-A1AF-8D34865ADE02}">
  <ds:schemaRefs>
    <ds:schemaRef ds:uri="http://schemas.microsoft.com/sharepoint/events"/>
  </ds:schemaRefs>
</ds:datastoreItem>
</file>

<file path=customXml/itemProps3.xml><?xml version="1.0" encoding="utf-8"?>
<ds:datastoreItem xmlns:ds="http://schemas.openxmlformats.org/officeDocument/2006/customXml" ds:itemID="{50C41B6C-BBE0-4215-8E1E-A3E1FD3AD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F960C-79C6-4183-B5E9-08A9922A8A19}">
  <ds:schemaRefs>
    <ds:schemaRef ds:uri="a7e37686-00e6-405d-9032-d05dd3ba55a9"/>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4001</Words>
  <Characters>23611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27557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Hais</dc:creator>
  <cp:lastModifiedBy>Kaňová Glajchova Lenka</cp:lastModifiedBy>
  <cp:revision>2</cp:revision>
  <cp:lastPrinted>2019-07-11T12:36:00Z</cp:lastPrinted>
  <dcterms:created xsi:type="dcterms:W3CDTF">2019-07-18T08:37:00Z</dcterms:created>
  <dcterms:modified xsi:type="dcterms:W3CDTF">2019-07-18T08:37:00Z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2d29fe73-3e1c-490f-b2bd-049407f499a7</vt:lpwstr>
  </property>
  <property fmtid="{D5CDD505-2E9C-101B-9397-08002B2CF9AE}" pid="3" name="ContentTypeId">
    <vt:lpwstr>0x0101008655BEB9A753C641920AA547AF5C7275</vt:lpwstr>
  </property>
</Properties>
</file>