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D5753" w14:textId="77777777" w:rsidR="00E63F20" w:rsidRDefault="00FC33A0">
      <w:pPr>
        <w:pStyle w:val="Bodytext20"/>
        <w:framePr w:wrap="none" w:vAnchor="page" w:hAnchor="page" w:x="6564" w:y="1203"/>
        <w:shd w:val="clear" w:color="auto" w:fill="auto"/>
        <w:spacing w:before="0" w:line="190" w:lineRule="exact"/>
        <w:ind w:firstLine="0"/>
      </w:pPr>
      <w:r>
        <w:rPr>
          <w:rStyle w:val="Bodytext21"/>
          <w:b/>
          <w:bCs/>
        </w:rPr>
        <w:t>PRO-DO projektová a dotační kancelář, s.r.o.</w:t>
      </w:r>
    </w:p>
    <w:p w14:paraId="10C5D1F0" w14:textId="05C7963F" w:rsidR="00E63F20" w:rsidRDefault="00E63F20" w:rsidP="00FC33A0">
      <w:pPr>
        <w:pStyle w:val="Heading10"/>
        <w:framePr w:w="8822" w:h="1696" w:hRule="exact" w:wrap="none" w:vAnchor="page" w:hAnchor="page" w:x="1634" w:y="143"/>
        <w:shd w:val="clear" w:color="auto" w:fill="auto"/>
        <w:spacing w:after="0"/>
        <w:ind w:left="160"/>
      </w:pPr>
    </w:p>
    <w:p w14:paraId="1013B0FE" w14:textId="6FD69169" w:rsidR="00E63F20" w:rsidRDefault="00E63F20" w:rsidP="00FC33A0">
      <w:pPr>
        <w:pStyle w:val="Bodytext30"/>
        <w:framePr w:w="8822" w:h="1696" w:hRule="exact" w:wrap="none" w:vAnchor="page" w:hAnchor="page" w:x="1634" w:y="143"/>
        <w:shd w:val="clear" w:color="auto" w:fill="auto"/>
        <w:spacing w:before="0"/>
        <w:ind w:left="160"/>
      </w:pPr>
    </w:p>
    <w:p w14:paraId="5E79BAB7" w14:textId="77777777" w:rsidR="00FC33A0" w:rsidRDefault="00FC33A0" w:rsidP="00FC33A0">
      <w:pPr>
        <w:pStyle w:val="Bodytext40"/>
        <w:framePr w:w="8822" w:h="1696" w:hRule="exact" w:wrap="none" w:vAnchor="page" w:hAnchor="page" w:x="1634" w:y="143"/>
        <w:shd w:val="clear" w:color="auto" w:fill="auto"/>
        <w:spacing w:after="0"/>
        <w:ind w:left="149" w:right="307"/>
      </w:pPr>
    </w:p>
    <w:p w14:paraId="7EFCF264" w14:textId="77777777" w:rsidR="00E63F20" w:rsidRDefault="00FC33A0" w:rsidP="00FC33A0">
      <w:pPr>
        <w:pStyle w:val="Bodytext40"/>
        <w:framePr w:w="8822" w:h="1696" w:hRule="exact" w:wrap="none" w:vAnchor="page" w:hAnchor="page" w:x="1634" w:y="143"/>
        <w:shd w:val="clear" w:color="auto" w:fill="auto"/>
        <w:spacing w:after="0"/>
        <w:ind w:left="149" w:right="307"/>
      </w:pPr>
      <w:r>
        <w:t xml:space="preserve">Dodatek č. 1 ke smlouvě o podnájmu </w:t>
      </w:r>
      <w:proofErr w:type="gramStart"/>
      <w:r>
        <w:t>prostor - Technologický</w:t>
      </w:r>
      <w:proofErr w:type="gramEnd"/>
      <w:r>
        <w:t xml:space="preserve"> inkubátor</w:t>
      </w:r>
    </w:p>
    <w:p w14:paraId="48EBE675" w14:textId="77777777" w:rsidR="00E63F20" w:rsidRDefault="00FC33A0">
      <w:pPr>
        <w:pStyle w:val="Bodytext20"/>
        <w:framePr w:w="8822" w:h="5712" w:hRule="exact" w:wrap="none" w:vAnchor="page" w:hAnchor="page" w:x="1634" w:y="2272"/>
        <w:shd w:val="clear" w:color="auto" w:fill="auto"/>
        <w:spacing w:before="0"/>
        <w:ind w:left="160" w:firstLine="0"/>
      </w:pPr>
      <w:r>
        <w:t>Moravskoslezské inovační centrum Ostrava, a.s.</w:t>
      </w:r>
    </w:p>
    <w:p w14:paraId="1CF4E15C" w14:textId="77777777" w:rsidR="00E63F20" w:rsidRDefault="00FC33A0">
      <w:pPr>
        <w:pStyle w:val="Bodytext20"/>
        <w:framePr w:w="8822" w:h="5712" w:hRule="exact" w:wrap="none" w:vAnchor="page" w:hAnchor="page" w:x="1634" w:y="2272"/>
        <w:shd w:val="clear" w:color="auto" w:fill="auto"/>
        <w:spacing w:before="0"/>
        <w:ind w:left="160" w:right="4080" w:firstLine="0"/>
      </w:pPr>
      <w:r>
        <w:t xml:space="preserve">sídlo: Technologická 372/2, </w:t>
      </w:r>
      <w:proofErr w:type="spellStart"/>
      <w:r>
        <w:t>Pustkovec</w:t>
      </w:r>
      <w:proofErr w:type="spellEnd"/>
      <w:r>
        <w:t>, 708 00 Ostrava IČO 25379631 DIČ CZ25379631</w:t>
      </w:r>
    </w:p>
    <w:p w14:paraId="79764B81" w14:textId="77777777" w:rsidR="00E63F20" w:rsidRDefault="00FC33A0">
      <w:pPr>
        <w:pStyle w:val="Bodytext20"/>
        <w:framePr w:w="8822" w:h="5712" w:hRule="exact" w:wrap="none" w:vAnchor="page" w:hAnchor="page" w:x="1634" w:y="2272"/>
        <w:shd w:val="clear" w:color="auto" w:fill="auto"/>
        <w:spacing w:before="0" w:after="332"/>
        <w:ind w:left="160" w:right="1920" w:firstLine="0"/>
      </w:pPr>
      <w:r>
        <w:t xml:space="preserve">zapsána v obchodním rejstříku Krajského soudu v Ostravě, oddíl B, vložka 1686 zastoupena Mgr. Pavlem </w:t>
      </w:r>
      <w:proofErr w:type="spellStart"/>
      <w:r>
        <w:t>Csankem</w:t>
      </w:r>
      <w:proofErr w:type="spellEnd"/>
      <w:r>
        <w:t>, předsedou představenstva</w:t>
      </w:r>
    </w:p>
    <w:p w14:paraId="4A3B7FD6" w14:textId="77777777" w:rsidR="00E63F20" w:rsidRDefault="00FC33A0">
      <w:pPr>
        <w:pStyle w:val="Bodytext20"/>
        <w:framePr w:w="8822" w:h="5712" w:hRule="exact" w:wrap="none" w:vAnchor="page" w:hAnchor="page" w:x="1634" w:y="2272"/>
        <w:shd w:val="clear" w:color="auto" w:fill="auto"/>
        <w:spacing w:before="0" w:after="280" w:line="190" w:lineRule="exact"/>
        <w:ind w:left="160" w:firstLine="0"/>
      </w:pPr>
      <w:r>
        <w:t>jako „Nájemce" na straně jedné</w:t>
      </w:r>
    </w:p>
    <w:p w14:paraId="67A404D7" w14:textId="77777777" w:rsidR="00E63F20" w:rsidRDefault="00FC33A0">
      <w:pPr>
        <w:pStyle w:val="Bodytext20"/>
        <w:framePr w:w="8822" w:h="5712" w:hRule="exact" w:wrap="none" w:vAnchor="page" w:hAnchor="page" w:x="1634" w:y="2272"/>
        <w:shd w:val="clear" w:color="auto" w:fill="auto"/>
        <w:spacing w:before="0" w:after="229" w:line="190" w:lineRule="exact"/>
        <w:ind w:left="160" w:firstLine="0"/>
      </w:pPr>
      <w:r>
        <w:t>a</w:t>
      </w:r>
    </w:p>
    <w:p w14:paraId="1A5A8C9E" w14:textId="77777777" w:rsidR="00E63F20" w:rsidRDefault="00FC33A0">
      <w:pPr>
        <w:pStyle w:val="Bodytext20"/>
        <w:framePr w:w="8822" w:h="5712" w:hRule="exact" w:wrap="none" w:vAnchor="page" w:hAnchor="page" w:x="1634" w:y="2272"/>
        <w:shd w:val="clear" w:color="auto" w:fill="auto"/>
        <w:spacing w:before="0"/>
        <w:ind w:left="160" w:right="1920" w:firstLine="0"/>
      </w:pPr>
      <w:r>
        <w:t xml:space="preserve">PRO-DO projektová a dotační kancelář, s.r.o. sídlo: Technologická 373/4, </w:t>
      </w:r>
      <w:proofErr w:type="spellStart"/>
      <w:r>
        <w:t>Pustkovec</w:t>
      </w:r>
      <w:proofErr w:type="spellEnd"/>
      <w:r>
        <w:t>, 708 00 Ostrava IČO 03085406 DIČ CZ03085406</w:t>
      </w:r>
    </w:p>
    <w:p w14:paraId="1ED13B14" w14:textId="77777777" w:rsidR="00E63F20" w:rsidRDefault="00FC33A0">
      <w:pPr>
        <w:pStyle w:val="Bodytext20"/>
        <w:framePr w:w="8822" w:h="5712" w:hRule="exact" w:wrap="none" w:vAnchor="page" w:hAnchor="page" w:x="1634" w:y="2272"/>
        <w:shd w:val="clear" w:color="auto" w:fill="auto"/>
        <w:spacing w:before="0"/>
        <w:ind w:left="160" w:right="1920" w:firstLine="0"/>
      </w:pPr>
      <w:r>
        <w:t>zapsána v obchodním rejstříku Krajského soudu v Ostravě, oddíl C, vložka 59193 zastoupena Ing. Petrem Vaškem, jednatelem</w:t>
      </w:r>
    </w:p>
    <w:p w14:paraId="5BD43226" w14:textId="77777777" w:rsidR="00E63F20" w:rsidRDefault="00E63F20">
      <w:pPr>
        <w:pStyle w:val="Bodytext50"/>
        <w:framePr w:w="8822" w:h="5712" w:hRule="exact" w:wrap="none" w:vAnchor="page" w:hAnchor="page" w:x="1634" w:y="2272"/>
        <w:shd w:val="clear" w:color="auto" w:fill="auto"/>
        <w:ind w:left="2320"/>
      </w:pPr>
    </w:p>
    <w:p w14:paraId="7694CB5F" w14:textId="77777777" w:rsidR="00E63F20" w:rsidRDefault="00FC33A0">
      <w:pPr>
        <w:pStyle w:val="Bodytext20"/>
        <w:framePr w:w="8822" w:h="5712" w:hRule="exact" w:wrap="none" w:vAnchor="page" w:hAnchor="page" w:x="1634" w:y="2272"/>
        <w:shd w:val="clear" w:color="auto" w:fill="auto"/>
        <w:spacing w:before="0" w:after="229" w:line="190" w:lineRule="exact"/>
        <w:ind w:left="160" w:firstLine="0"/>
      </w:pPr>
      <w:r>
        <w:t>jako „Podnájemce" na straně druhé</w:t>
      </w:r>
    </w:p>
    <w:p w14:paraId="454AE71C" w14:textId="77777777" w:rsidR="00E63F20" w:rsidRDefault="00FC33A0">
      <w:pPr>
        <w:pStyle w:val="Bodytext20"/>
        <w:framePr w:w="8822" w:h="5712" w:hRule="exact" w:wrap="none" w:vAnchor="page" w:hAnchor="page" w:x="1634" w:y="2272"/>
        <w:shd w:val="clear" w:color="auto" w:fill="auto"/>
        <w:spacing w:before="0"/>
        <w:ind w:left="160" w:firstLine="0"/>
        <w:jc w:val="both"/>
      </w:pPr>
      <w:r>
        <w:t xml:space="preserve">Nájemce a Podnájemce označováni společně jako „Smluvní strany", uzavírají tento Dodatek č. 1 ke Smlouvě o podnájmu </w:t>
      </w:r>
      <w:proofErr w:type="gramStart"/>
      <w:r>
        <w:t>prostor - technologický</w:t>
      </w:r>
      <w:proofErr w:type="gramEnd"/>
      <w:r>
        <w:t xml:space="preserve"> inkubátor dne 8.9.2016</w:t>
      </w:r>
    </w:p>
    <w:p w14:paraId="6590F0B7" w14:textId="77777777" w:rsidR="00E63F20" w:rsidRDefault="00FC33A0">
      <w:pPr>
        <w:pStyle w:val="Bodytext20"/>
        <w:framePr w:w="8822" w:h="248" w:hRule="exact" w:wrap="none" w:vAnchor="page" w:hAnchor="page" w:x="1634" w:y="8242"/>
        <w:shd w:val="clear" w:color="auto" w:fill="auto"/>
        <w:spacing w:before="0" w:line="190" w:lineRule="exact"/>
        <w:ind w:right="140" w:firstLine="0"/>
        <w:jc w:val="center"/>
      </w:pPr>
      <w:r>
        <w:t>I.</w:t>
      </w:r>
    </w:p>
    <w:p w14:paraId="046F8AA1" w14:textId="77777777" w:rsidR="00E63F20" w:rsidRDefault="00FC33A0">
      <w:pPr>
        <w:pStyle w:val="Bodytext20"/>
        <w:framePr w:w="8822" w:h="6753" w:hRule="exact" w:wrap="none" w:vAnchor="page" w:hAnchor="page" w:x="1634" w:y="8675"/>
        <w:numPr>
          <w:ilvl w:val="0"/>
          <w:numId w:val="1"/>
        </w:numPr>
        <w:shd w:val="clear" w:color="auto" w:fill="auto"/>
        <w:tabs>
          <w:tab w:val="left" w:pos="840"/>
        </w:tabs>
        <w:spacing w:before="0" w:after="332"/>
        <w:ind w:left="800" w:hanging="300"/>
      </w:pPr>
      <w:r>
        <w:t>Smluvní strany se dohodly, že mění článek II.</w:t>
      </w:r>
      <w:proofErr w:type="spellStart"/>
      <w:r>
        <w:rPr>
          <w:lang w:val="de-DE" w:eastAsia="de-DE" w:bidi="de-DE"/>
        </w:rPr>
        <w:t>odst</w:t>
      </w:r>
      <w:proofErr w:type="spellEnd"/>
      <w:r>
        <w:rPr>
          <w:lang w:val="de-DE" w:eastAsia="de-DE" w:bidi="de-DE"/>
        </w:rPr>
        <w:t xml:space="preserve">. </w:t>
      </w:r>
      <w:r>
        <w:t>I. Smlouvy o podnájmu prostor ze dne</w:t>
      </w:r>
      <w:r>
        <w:br/>
        <w:t>8.9.2016 takto:</w:t>
      </w:r>
    </w:p>
    <w:p w14:paraId="4625F66A" w14:textId="77777777" w:rsidR="00E63F20" w:rsidRDefault="00FC33A0">
      <w:pPr>
        <w:pStyle w:val="Bodytext20"/>
        <w:framePr w:w="8822" w:h="6753" w:hRule="exact" w:wrap="none" w:vAnchor="page" w:hAnchor="page" w:x="1634" w:y="8675"/>
        <w:shd w:val="clear" w:color="auto" w:fill="auto"/>
        <w:spacing w:before="0" w:after="232" w:line="190" w:lineRule="exact"/>
        <w:ind w:left="800" w:right="4" w:firstLine="0"/>
        <w:jc w:val="both"/>
      </w:pPr>
      <w:r>
        <w:t xml:space="preserve">Článek II </w:t>
      </w:r>
      <w:proofErr w:type="spellStart"/>
      <w:r>
        <w:rPr>
          <w:lang w:val="de-DE" w:eastAsia="de-DE" w:bidi="de-DE"/>
        </w:rPr>
        <w:t>odst</w:t>
      </w:r>
      <w:proofErr w:type="spellEnd"/>
      <w:r>
        <w:rPr>
          <w:lang w:val="de-DE" w:eastAsia="de-DE" w:bidi="de-DE"/>
        </w:rPr>
        <w:t xml:space="preserve">. </w:t>
      </w:r>
      <w:r>
        <w:t>1 nově zní:</w:t>
      </w:r>
    </w:p>
    <w:p w14:paraId="396B15A1" w14:textId="77777777" w:rsidR="00E63F20" w:rsidRDefault="00FC33A0">
      <w:pPr>
        <w:pStyle w:val="Bodytext20"/>
        <w:framePr w:w="8822" w:h="6753" w:hRule="exact" w:wrap="none" w:vAnchor="page" w:hAnchor="page" w:x="1634" w:y="8675"/>
        <w:shd w:val="clear" w:color="auto" w:fill="auto"/>
        <w:spacing w:before="0" w:after="280" w:line="250" w:lineRule="exact"/>
        <w:ind w:left="800" w:right="4" w:firstLine="0"/>
        <w:jc w:val="both"/>
      </w:pPr>
      <w:r>
        <w:t>Předmětem podnájmu dle této Smlouvy o podnájmu prostor (dále jen „Smlouva") je podnájem</w:t>
      </w:r>
      <w:r>
        <w:br/>
        <w:t>těchto prostor:</w:t>
      </w:r>
    </w:p>
    <w:p w14:paraId="5C298226" w14:textId="77777777" w:rsidR="00E63F20" w:rsidRDefault="00FC33A0">
      <w:pPr>
        <w:pStyle w:val="Bodytext20"/>
        <w:framePr w:w="8822" w:h="6753" w:hRule="exact" w:wrap="none" w:vAnchor="page" w:hAnchor="page" w:x="1634" w:y="8675"/>
        <w:shd w:val="clear" w:color="auto" w:fill="auto"/>
        <w:spacing w:before="0" w:after="328" w:line="250" w:lineRule="exact"/>
        <w:ind w:left="1160" w:right="4" w:firstLine="0"/>
        <w:jc w:val="both"/>
      </w:pPr>
      <w:r>
        <w:t>kancelář o celkové výměře 75,54 m</w:t>
      </w:r>
      <w:r>
        <w:rPr>
          <w:vertAlign w:val="superscript"/>
        </w:rPr>
        <w:t>2</w:t>
      </w:r>
      <w:r>
        <w:t>, označená jako místnost 1.14 a 1.16, která se nachází</w:t>
      </w:r>
      <w:r>
        <w:br/>
        <w:t>v budově Tandem,</w:t>
      </w:r>
    </w:p>
    <w:p w14:paraId="3F72E2A4" w14:textId="77777777" w:rsidR="00E63F20" w:rsidRDefault="00FC33A0">
      <w:pPr>
        <w:pStyle w:val="Bodytext20"/>
        <w:framePr w:w="8822" w:h="6753" w:hRule="exact" w:wrap="none" w:vAnchor="page" w:hAnchor="page" w:x="1634" w:y="8675"/>
        <w:shd w:val="clear" w:color="auto" w:fill="auto"/>
        <w:spacing w:before="0" w:after="229" w:line="190" w:lineRule="exact"/>
        <w:ind w:left="1160" w:right="4" w:firstLine="0"/>
        <w:jc w:val="both"/>
      </w:pPr>
      <w:r>
        <w:t>vyhrazená venkovní parkovací místa č. 20, a 21 u budovy PIANO,</w:t>
      </w:r>
    </w:p>
    <w:p w14:paraId="356D8A91" w14:textId="77777777" w:rsidR="00E63F20" w:rsidRDefault="00FC33A0">
      <w:pPr>
        <w:pStyle w:val="Bodytext20"/>
        <w:framePr w:w="8822" w:h="6753" w:hRule="exact" w:wrap="none" w:vAnchor="page" w:hAnchor="page" w:x="1634" w:y="8675"/>
        <w:shd w:val="clear" w:color="auto" w:fill="auto"/>
        <w:spacing w:before="0" w:after="332"/>
        <w:ind w:left="1160" w:right="4" w:firstLine="0"/>
        <w:jc w:val="both"/>
      </w:pPr>
      <w:r>
        <w:t>přičemž přesná specifikace těchto prostor vyplývá z přiloženého půdorysného plánku,</w:t>
      </w:r>
      <w:r>
        <w:br/>
        <w:t>který je přílohou č. 1 a nedílnou součástí této Smlouvy.</w:t>
      </w:r>
    </w:p>
    <w:p w14:paraId="4669A01C" w14:textId="77777777" w:rsidR="00E63F20" w:rsidRDefault="00FC33A0">
      <w:pPr>
        <w:pStyle w:val="Bodytext20"/>
        <w:framePr w:w="8822" w:h="6753" w:hRule="exact" w:wrap="none" w:vAnchor="page" w:hAnchor="page" w:x="1634" w:y="8675"/>
        <w:shd w:val="clear" w:color="auto" w:fill="auto"/>
        <w:spacing w:before="0" w:after="229" w:line="190" w:lineRule="exact"/>
        <w:ind w:left="1160" w:right="4" w:firstLine="0"/>
        <w:jc w:val="both"/>
      </w:pPr>
      <w:r>
        <w:t>(dále označováno jako Předmět smlouvy).</w:t>
      </w:r>
    </w:p>
    <w:p w14:paraId="5D303E4B" w14:textId="77777777" w:rsidR="00E63F20" w:rsidRDefault="00FC33A0">
      <w:pPr>
        <w:pStyle w:val="Bodytext20"/>
        <w:framePr w:w="8822" w:h="6753" w:hRule="exact" w:wrap="none" w:vAnchor="page" w:hAnchor="page" w:x="1634" w:y="8675"/>
        <w:numPr>
          <w:ilvl w:val="0"/>
          <w:numId w:val="1"/>
        </w:numPr>
        <w:shd w:val="clear" w:color="auto" w:fill="auto"/>
        <w:tabs>
          <w:tab w:val="left" w:pos="844"/>
        </w:tabs>
        <w:spacing w:before="0" w:after="332"/>
        <w:ind w:left="800" w:hanging="300"/>
      </w:pPr>
      <w:r>
        <w:t>Smluvní strany se dohodly, že mění článek V odst. 2. Smlouvy o podnájmu prostor ze dne</w:t>
      </w:r>
      <w:r>
        <w:br/>
        <w:t>8.9.2016 takto:</w:t>
      </w:r>
    </w:p>
    <w:p w14:paraId="1ED2A135" w14:textId="77777777" w:rsidR="00E63F20" w:rsidRDefault="00FC33A0">
      <w:pPr>
        <w:pStyle w:val="Bodytext20"/>
        <w:framePr w:w="8822" w:h="6753" w:hRule="exact" w:wrap="none" w:vAnchor="page" w:hAnchor="page" w:x="1634" w:y="8675"/>
        <w:shd w:val="clear" w:color="auto" w:fill="auto"/>
        <w:spacing w:before="0" w:after="280" w:line="190" w:lineRule="exact"/>
        <w:ind w:left="800" w:right="4" w:firstLine="0"/>
        <w:jc w:val="both"/>
      </w:pPr>
      <w:r>
        <w:t>Článek V odst. 2 nově zní:</w:t>
      </w:r>
    </w:p>
    <w:p w14:paraId="117F3F8E" w14:textId="77777777" w:rsidR="00E63F20" w:rsidRDefault="00FC33A0">
      <w:pPr>
        <w:pStyle w:val="Bodytext20"/>
        <w:framePr w:w="8822" w:h="6753" w:hRule="exact" w:wrap="none" w:vAnchor="page" w:hAnchor="page" w:x="1634" w:y="8675"/>
        <w:shd w:val="clear" w:color="auto" w:fill="auto"/>
        <w:spacing w:before="0" w:after="281" w:line="190" w:lineRule="exact"/>
        <w:ind w:left="800" w:right="4" w:firstLine="0"/>
        <w:jc w:val="both"/>
      </w:pPr>
      <w:r>
        <w:t>Smluvní nájemné za předmět smlouvy se stanoví dohodou smluvních stran takto:</w:t>
      </w:r>
    </w:p>
    <w:p w14:paraId="59B5E122" w14:textId="77777777" w:rsidR="00E63F20" w:rsidRDefault="00FC33A0">
      <w:pPr>
        <w:pStyle w:val="Bodytext60"/>
        <w:framePr w:w="8822" w:h="6753" w:hRule="exact" w:wrap="none" w:vAnchor="page" w:hAnchor="page" w:x="1634" w:y="8675"/>
        <w:shd w:val="clear" w:color="auto" w:fill="auto"/>
        <w:spacing w:before="0"/>
      </w:pPr>
      <w:proofErr w:type="gramStart"/>
      <w:r>
        <w:rPr>
          <w:rStyle w:val="Bodytext61"/>
          <w:b/>
          <w:bCs/>
        </w:rPr>
        <w:t>MS!C</w:t>
      </w:r>
      <w:proofErr w:type="gramEnd"/>
    </w:p>
    <w:p w14:paraId="318AB82F" w14:textId="77777777" w:rsidR="00E63F20" w:rsidRDefault="00FC33A0">
      <w:pPr>
        <w:pStyle w:val="Headerorfooter0"/>
        <w:framePr w:wrap="none" w:vAnchor="page" w:hAnchor="page" w:x="4725" w:y="15084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+420 597 305 999 +• </w:t>
      </w:r>
      <w:hyperlink r:id="rId7" w:history="1">
        <w:r>
          <w:rPr>
            <w:rStyle w:val="Headerorfooter1"/>
            <w:b/>
            <w:bCs/>
          </w:rPr>
          <w:t>info@ms-ic.cz</w:t>
        </w:r>
      </w:hyperlink>
      <w:r>
        <w:rPr>
          <w:rStyle w:val="Headerorfooter1"/>
          <w:b/>
          <w:bCs/>
        </w:rPr>
        <w:t xml:space="preserve"> </w:t>
      </w:r>
      <w:r>
        <w:rPr>
          <w:rStyle w:val="Headerorfooter1"/>
          <w:b/>
          <w:bCs/>
          <w:lang w:val="cs-CZ" w:eastAsia="cs-CZ" w:bidi="cs-CZ"/>
        </w:rPr>
        <w:t xml:space="preserve">+ </w:t>
      </w:r>
      <w:hyperlink r:id="rId8" w:history="1">
        <w:r>
          <w:rPr>
            <w:rStyle w:val="Headerorfooter1"/>
            <w:b/>
            <w:bCs/>
          </w:rPr>
          <w:t>www.ms-ic.cz</w:t>
        </w:r>
      </w:hyperlink>
    </w:p>
    <w:p w14:paraId="31C8ACF4" w14:textId="77777777" w:rsidR="00E63F20" w:rsidRDefault="00E63F20">
      <w:pPr>
        <w:rPr>
          <w:sz w:val="2"/>
          <w:szCs w:val="2"/>
        </w:rPr>
        <w:sectPr w:rsidR="00E63F2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A9FEA39" w14:textId="77777777" w:rsidR="00E63F20" w:rsidRDefault="00FC33A0">
      <w:pPr>
        <w:pStyle w:val="Tablecaption0"/>
        <w:framePr w:wrap="none" w:vAnchor="page" w:hAnchor="page" w:x="6468" w:y="1711"/>
        <w:shd w:val="clear" w:color="auto" w:fill="auto"/>
      </w:pPr>
      <w:r>
        <w:rPr>
          <w:rStyle w:val="Tablecaption1"/>
          <w:b/>
          <w:bCs/>
        </w:rPr>
        <w:lastRenderedPageBreak/>
        <w:t>PRO-DO projektová a dotační kancelář, s.r.o.</w:t>
      </w:r>
    </w:p>
    <w:p w14:paraId="63E987E3" w14:textId="09DC50DB" w:rsidR="00E63F20" w:rsidRDefault="00E63F20">
      <w:pPr>
        <w:pStyle w:val="Other0"/>
        <w:framePr w:w="432" w:h="1361" w:hRule="exact" w:wrap="none" w:vAnchor="page" w:hAnchor="page" w:x="1706" w:y="670"/>
        <w:shd w:val="clear" w:color="auto" w:fill="auto"/>
        <w:spacing w:line="200" w:lineRule="exact"/>
        <w:jc w:val="both"/>
      </w:pPr>
    </w:p>
    <w:p w14:paraId="110F00FC" w14:textId="54DBA881" w:rsidR="00E63F20" w:rsidRDefault="00E63F20">
      <w:pPr>
        <w:pStyle w:val="Other0"/>
        <w:framePr w:w="432" w:h="1361" w:hRule="exact" w:wrap="none" w:vAnchor="page" w:hAnchor="page" w:x="1706" w:y="670"/>
        <w:shd w:val="clear" w:color="auto" w:fill="auto"/>
        <w:spacing w:line="760" w:lineRule="exact"/>
        <w:jc w:val="both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4997"/>
      </w:tblGrid>
      <w:tr w:rsidR="00E63F20" w14:paraId="5739BA32" w14:textId="77777777">
        <w:trPr>
          <w:trHeight w:hRule="exact" w:val="39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57E25" w14:textId="77777777" w:rsidR="00E63F20" w:rsidRDefault="00FC33A0">
            <w:pPr>
              <w:pStyle w:val="Bodytext20"/>
              <w:framePr w:w="7656" w:h="1171" w:wrap="none" w:vAnchor="page" w:hAnchor="page" w:x="2407" w:y="2196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95pt"/>
                <w:b/>
                <w:bCs/>
              </w:rPr>
              <w:t>1.10.2016 - 30.9.2017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50690" w14:textId="77777777" w:rsidR="00E63F20" w:rsidRDefault="00FC33A0">
            <w:pPr>
              <w:pStyle w:val="Bodytext20"/>
              <w:framePr w:w="7656" w:h="1171" w:wrap="none" w:vAnchor="page" w:hAnchor="page" w:x="2407" w:y="219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2"/>
                <w:b/>
                <w:bCs/>
              </w:rPr>
              <w:t>1100,-Kč/m</w:t>
            </w:r>
            <w:r>
              <w:rPr>
                <w:rStyle w:val="Bodytext22"/>
                <w:b/>
                <w:bCs/>
                <w:vertAlign w:val="superscript"/>
              </w:rPr>
              <w:t>2</w:t>
            </w:r>
            <w:r>
              <w:rPr>
                <w:rStyle w:val="Bodytext22"/>
                <w:b/>
                <w:bCs/>
              </w:rPr>
              <w:t>/rok</w:t>
            </w:r>
          </w:p>
        </w:tc>
      </w:tr>
      <w:tr w:rsidR="00E63F20" w14:paraId="3EFA61AC" w14:textId="77777777">
        <w:trPr>
          <w:trHeight w:hRule="exact" w:val="37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901FB" w14:textId="77777777" w:rsidR="00E63F20" w:rsidRDefault="00FC33A0">
            <w:pPr>
              <w:pStyle w:val="Bodytext20"/>
              <w:framePr w:w="7656" w:h="1171" w:wrap="none" w:vAnchor="page" w:hAnchor="page" w:x="2407" w:y="2196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95pt"/>
                <w:b/>
                <w:bCs/>
              </w:rPr>
              <w:t>1.10.2017-30.9.2018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DD0A6" w14:textId="77777777" w:rsidR="00E63F20" w:rsidRDefault="00FC33A0">
            <w:pPr>
              <w:pStyle w:val="Bodytext20"/>
              <w:framePr w:w="7656" w:h="1171" w:wrap="none" w:vAnchor="page" w:hAnchor="page" w:x="2407" w:y="219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2"/>
                <w:b/>
                <w:bCs/>
              </w:rPr>
              <w:t>1540,-Kč/</w:t>
            </w:r>
            <w:proofErr w:type="spellStart"/>
            <w:r>
              <w:rPr>
                <w:rStyle w:val="Bodytext22"/>
                <w:b/>
                <w:bCs/>
              </w:rPr>
              <w:t>m</w:t>
            </w:r>
            <w:r>
              <w:rPr>
                <w:rStyle w:val="Bodytext22"/>
                <w:b/>
                <w:bCs/>
                <w:vertAlign w:val="superscript"/>
              </w:rPr>
              <w:t>z</w:t>
            </w:r>
            <w:proofErr w:type="spellEnd"/>
            <w:r>
              <w:rPr>
                <w:rStyle w:val="Bodytext22"/>
                <w:b/>
                <w:bCs/>
              </w:rPr>
              <w:t>/rok</w:t>
            </w:r>
          </w:p>
        </w:tc>
      </w:tr>
      <w:tr w:rsidR="00E63F20" w14:paraId="7F16F5FD" w14:textId="77777777">
        <w:trPr>
          <w:trHeight w:hRule="exact" w:val="394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81D682" w14:textId="77777777" w:rsidR="00E63F20" w:rsidRDefault="00FC33A0">
            <w:pPr>
              <w:pStyle w:val="Bodytext20"/>
              <w:framePr w:w="7656" w:h="1171" w:wrap="none" w:vAnchor="page" w:hAnchor="page" w:x="2407" w:y="2196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95pt"/>
                <w:b/>
                <w:bCs/>
              </w:rPr>
              <w:t>1.10.2018 - 30.9.2019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EF697" w14:textId="77777777" w:rsidR="00E63F20" w:rsidRDefault="00FC33A0">
            <w:pPr>
              <w:pStyle w:val="Bodytext20"/>
              <w:framePr w:w="7656" w:h="1171" w:wrap="none" w:vAnchor="page" w:hAnchor="page" w:x="2407" w:y="219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2"/>
                <w:b/>
                <w:bCs/>
              </w:rPr>
              <w:t xml:space="preserve">1 </w:t>
            </w:r>
            <w:proofErr w:type="gramStart"/>
            <w:r>
              <w:rPr>
                <w:rStyle w:val="Bodytext22"/>
                <w:b/>
                <w:bCs/>
              </w:rPr>
              <w:t>760,~</w:t>
            </w:r>
            <w:proofErr w:type="gramEnd"/>
            <w:r>
              <w:rPr>
                <w:rStyle w:val="Bodytext22"/>
                <w:b/>
                <w:bCs/>
              </w:rPr>
              <w:t>Kč/m</w:t>
            </w:r>
            <w:r>
              <w:rPr>
                <w:rStyle w:val="Bodytext22"/>
                <w:b/>
                <w:bCs/>
                <w:vertAlign w:val="superscript"/>
              </w:rPr>
              <w:t>2</w:t>
            </w:r>
            <w:r>
              <w:rPr>
                <w:rStyle w:val="Bodytext22"/>
                <w:b/>
                <w:bCs/>
              </w:rPr>
              <w:t>/rok</w:t>
            </w:r>
          </w:p>
        </w:tc>
      </w:tr>
    </w:tbl>
    <w:p w14:paraId="2EE7E3C5" w14:textId="77777777" w:rsidR="00E63F20" w:rsidRDefault="00FC33A0">
      <w:pPr>
        <w:pStyle w:val="Bodytext20"/>
        <w:framePr w:w="8822" w:h="11349" w:hRule="exact" w:wrap="none" w:vAnchor="page" w:hAnchor="page" w:x="1634" w:y="3447"/>
        <w:numPr>
          <w:ilvl w:val="0"/>
          <w:numId w:val="2"/>
        </w:numPr>
        <w:shd w:val="clear" w:color="auto" w:fill="auto"/>
        <w:tabs>
          <w:tab w:val="left" w:pos="1092"/>
        </w:tabs>
        <w:spacing w:before="0" w:after="192"/>
        <w:ind w:left="760" w:firstLine="0"/>
      </w:pPr>
      <w:r>
        <w:t xml:space="preserve">případě uplatnění opce dle čl. 4 odst. 2 této smlouvy bude smluvní nájemné za předmět smlouvy ve výši </w:t>
      </w:r>
      <w:r>
        <w:rPr>
          <w:rStyle w:val="Bodytext295pt0"/>
          <w:b/>
          <w:bCs/>
        </w:rPr>
        <w:t>2 200,-Kč/m</w:t>
      </w:r>
      <w:r>
        <w:rPr>
          <w:rStyle w:val="Bodytext295pt0"/>
          <w:b/>
          <w:bCs/>
          <w:vertAlign w:val="superscript"/>
        </w:rPr>
        <w:t>2</w:t>
      </w:r>
      <w:r>
        <w:rPr>
          <w:rStyle w:val="Bodytext295pt0"/>
          <w:b/>
          <w:bCs/>
        </w:rPr>
        <w:t>/rok.</w:t>
      </w:r>
    </w:p>
    <w:p w14:paraId="1119D5F6" w14:textId="77777777" w:rsidR="00E63F20" w:rsidRDefault="00FC33A0">
      <w:pPr>
        <w:pStyle w:val="Bodytext20"/>
        <w:framePr w:w="8822" w:h="11349" w:hRule="exact" w:wrap="none" w:vAnchor="page" w:hAnchor="page" w:x="1634" w:y="3447"/>
        <w:shd w:val="clear" w:color="auto" w:fill="auto"/>
        <w:spacing w:before="0" w:after="260" w:line="190" w:lineRule="exact"/>
        <w:ind w:left="760" w:firstLine="0"/>
      </w:pPr>
      <w:r>
        <w:t>Nájem za venkovní parkovací místo u budovy PIANO se sjednává ve výši 350,- Kč/měsíc.</w:t>
      </w:r>
    </w:p>
    <w:p w14:paraId="2731E63B" w14:textId="77777777" w:rsidR="00E63F20" w:rsidRDefault="00FC33A0">
      <w:pPr>
        <w:pStyle w:val="Bodytext20"/>
        <w:framePr w:w="8822" w:h="11349" w:hRule="exact" w:wrap="none" w:vAnchor="page" w:hAnchor="page" w:x="1634" w:y="3447"/>
        <w:numPr>
          <w:ilvl w:val="0"/>
          <w:numId w:val="2"/>
        </w:numPr>
        <w:shd w:val="clear" w:color="auto" w:fill="auto"/>
        <w:tabs>
          <w:tab w:val="left" w:pos="1092"/>
        </w:tabs>
        <w:spacing w:before="0" w:after="259" w:line="190" w:lineRule="exact"/>
        <w:ind w:left="760" w:firstLine="0"/>
      </w:pPr>
      <w:r>
        <w:t>takto stanovené výši nájemného je zahrnuto:</w:t>
      </w:r>
    </w:p>
    <w:p w14:paraId="405A3130" w14:textId="77777777" w:rsidR="00E63F20" w:rsidRDefault="00FC33A0">
      <w:pPr>
        <w:pStyle w:val="Bodytext20"/>
        <w:framePr w:w="8822" w:h="11349" w:hRule="exact" w:wrap="none" w:vAnchor="page" w:hAnchor="page" w:x="1634" w:y="3447"/>
        <w:shd w:val="clear" w:color="auto" w:fill="auto"/>
        <w:spacing w:before="0" w:line="341" w:lineRule="exact"/>
        <w:ind w:left="1120" w:firstLine="0"/>
        <w:jc w:val="both"/>
      </w:pPr>
      <w:r>
        <w:t>zasedací místnosti v budově Piano na adrese Technologická 372/2, Ostrava-</w:t>
      </w:r>
      <w:proofErr w:type="spellStart"/>
      <w:r>
        <w:t>Pustkovec</w:t>
      </w:r>
      <w:proofErr w:type="spellEnd"/>
      <w:r>
        <w:t xml:space="preserve"> (dále jen budova Piano) v rozsahu 10 hod./měsíc, přednáškový sál v budově Piano včetně vybavení nábytkem, video a audiotechnikou v rozsahu do 2 hod. denně, nejvýše </w:t>
      </w:r>
      <w:proofErr w:type="spellStart"/>
      <w:r>
        <w:t>lx</w:t>
      </w:r>
      <w:proofErr w:type="spellEnd"/>
      <w:r>
        <w:t xml:space="preserve"> v kalendářním měsíci, využití kuchyňky včetně vybavení (za současného dodržování bezpečnostních a vnitřních provozních nařízení a předpisů), ostraha objektu</w:t>
      </w:r>
    </w:p>
    <w:p w14:paraId="5F1DCA6A" w14:textId="77777777" w:rsidR="00E63F20" w:rsidRDefault="00FC33A0">
      <w:pPr>
        <w:pStyle w:val="Bodytext20"/>
        <w:framePr w:w="8822" w:h="11349" w:hRule="exact" w:wrap="none" w:vAnchor="page" w:hAnchor="page" w:x="1634" w:y="3447"/>
        <w:numPr>
          <w:ilvl w:val="0"/>
          <w:numId w:val="3"/>
        </w:numPr>
        <w:shd w:val="clear" w:color="auto" w:fill="auto"/>
        <w:tabs>
          <w:tab w:val="left" w:pos="1092"/>
        </w:tabs>
        <w:spacing w:before="0" w:line="341" w:lineRule="exact"/>
        <w:ind w:left="760" w:firstLine="0"/>
      </w:pPr>
      <w:r>
        <w:t>poštovní schránka</w:t>
      </w:r>
    </w:p>
    <w:p w14:paraId="14EB2565" w14:textId="77777777" w:rsidR="00E63F20" w:rsidRDefault="00FC33A0">
      <w:pPr>
        <w:pStyle w:val="Bodytext20"/>
        <w:framePr w:w="8822" w:h="11349" w:hRule="exact" w:wrap="none" w:vAnchor="page" w:hAnchor="page" w:x="1634" w:y="3447"/>
        <w:numPr>
          <w:ilvl w:val="0"/>
          <w:numId w:val="3"/>
        </w:numPr>
        <w:shd w:val="clear" w:color="auto" w:fill="auto"/>
        <w:tabs>
          <w:tab w:val="left" w:pos="1092"/>
        </w:tabs>
        <w:spacing w:before="0" w:line="341" w:lineRule="exact"/>
        <w:ind w:left="1120"/>
      </w:pPr>
      <w:r>
        <w:t>telefonní přístroj nevyhrazené parkovací místo</w:t>
      </w:r>
    </w:p>
    <w:p w14:paraId="1C0641DA" w14:textId="77777777" w:rsidR="00E63F20" w:rsidRDefault="00FC33A0">
      <w:pPr>
        <w:pStyle w:val="Bodytext20"/>
        <w:framePr w:w="8822" w:h="11349" w:hRule="exact" w:wrap="none" w:vAnchor="page" w:hAnchor="page" w:x="1634" w:y="3447"/>
        <w:shd w:val="clear" w:color="auto" w:fill="auto"/>
        <w:spacing w:before="0" w:after="140"/>
        <w:ind w:left="760" w:firstLine="0"/>
      </w:pPr>
      <w:r>
        <w:t>Služby nad rámec stanovený v nájmu, budou fakturovány dle aktuálního ceníku zasedacích místností, přednáškového sálu a skutečných nákladů na poradenské služby.</w:t>
      </w:r>
    </w:p>
    <w:p w14:paraId="3718F77A" w14:textId="77777777" w:rsidR="00E63F20" w:rsidRDefault="00FC33A0">
      <w:pPr>
        <w:pStyle w:val="Bodytext20"/>
        <w:framePr w:w="8822" w:h="11349" w:hRule="exact" w:wrap="none" w:vAnchor="page" w:hAnchor="page" w:x="1634" w:y="3447"/>
        <w:shd w:val="clear" w:color="auto" w:fill="auto"/>
        <w:spacing w:before="0" w:after="140"/>
        <w:ind w:left="760" w:firstLine="0"/>
      </w:pPr>
      <w:r>
        <w:t>Takto stanovené nájemné nezahrnuje DPH, které je Podnájemce povinen hradit spolu s nájemným ve výši odpovídající aktuálním platným právním předpisům.</w:t>
      </w:r>
    </w:p>
    <w:p w14:paraId="53DACE66" w14:textId="77777777" w:rsidR="00E63F20" w:rsidRDefault="00FC33A0">
      <w:pPr>
        <w:pStyle w:val="Bodytext20"/>
        <w:framePr w:w="8822" w:h="11349" w:hRule="exact" w:wrap="none" w:vAnchor="page" w:hAnchor="page" w:x="1634" w:y="3447"/>
        <w:shd w:val="clear" w:color="auto" w:fill="auto"/>
        <w:spacing w:before="0" w:after="71"/>
        <w:ind w:left="760" w:firstLine="0"/>
      </w:pPr>
      <w:r>
        <w:t>Níže uvedené závazky Podnájemce jsou vztaženy k poskytnutí zvýhodněných smluvních cen podnájmu nebytových prostor v souladu s odst. 1 tohoto smlouvy. Těmito závaznými podmínkami jsou:</w:t>
      </w:r>
    </w:p>
    <w:p w14:paraId="0C2CF90C" w14:textId="77777777" w:rsidR="00E63F20" w:rsidRDefault="00FC33A0">
      <w:pPr>
        <w:pStyle w:val="Bodytext20"/>
        <w:framePr w:w="8822" w:h="11349" w:hRule="exact" w:wrap="none" w:vAnchor="page" w:hAnchor="page" w:x="1634" w:y="3447"/>
        <w:shd w:val="clear" w:color="auto" w:fill="auto"/>
        <w:spacing w:before="0" w:line="341" w:lineRule="exact"/>
        <w:ind w:left="1120" w:firstLine="0"/>
      </w:pPr>
      <w:r>
        <w:t>Dodržení podnikatelského záměru nájemce.</w:t>
      </w:r>
    </w:p>
    <w:p w14:paraId="345AFA9B" w14:textId="77777777" w:rsidR="00E63F20" w:rsidRDefault="00FC33A0">
      <w:pPr>
        <w:pStyle w:val="Bodytext20"/>
        <w:framePr w:w="8822" w:h="11349" w:hRule="exact" w:wrap="none" w:vAnchor="page" w:hAnchor="page" w:x="1634" w:y="3447"/>
        <w:numPr>
          <w:ilvl w:val="0"/>
          <w:numId w:val="3"/>
        </w:numPr>
        <w:shd w:val="clear" w:color="auto" w:fill="auto"/>
        <w:tabs>
          <w:tab w:val="left" w:pos="1092"/>
        </w:tabs>
        <w:spacing w:before="0" w:line="341" w:lineRule="exact"/>
        <w:ind w:left="1120"/>
        <w:jc w:val="both"/>
      </w:pPr>
      <w:r>
        <w:t>Vznik nejméně jednoho pracovního místa do konce prvního roku činnosti v předmětu podnájmu a dvou do konce třetího roku podnájmu (rozumí se hlavní pracovní poměr a plný úvazek nebo ekvivalent).</w:t>
      </w:r>
    </w:p>
    <w:p w14:paraId="214CDD75" w14:textId="77777777" w:rsidR="00E63F20" w:rsidRDefault="00FC33A0">
      <w:pPr>
        <w:pStyle w:val="Bodytext20"/>
        <w:framePr w:w="8822" w:h="11349" w:hRule="exact" w:wrap="none" w:vAnchor="page" w:hAnchor="page" w:x="1634" w:y="3447"/>
        <w:shd w:val="clear" w:color="auto" w:fill="auto"/>
        <w:spacing w:before="0" w:after="312"/>
        <w:ind w:left="760" w:firstLine="0"/>
      </w:pPr>
      <w:r>
        <w:t xml:space="preserve">Obě výše uvedené podmínky platí současně, tzn. neplnění kterékoliv z nich, může být důvodem k ukončení poskytování zvýhodněného nájemného nebytových prostora nájemce je povinen hradit nájemné ve výši </w:t>
      </w:r>
      <w:proofErr w:type="gramStart"/>
      <w:r>
        <w:t>2.200,--</w:t>
      </w:r>
      <w:proofErr w:type="gramEnd"/>
      <w:r>
        <w:t>Kč/m2 a rok.</w:t>
      </w:r>
    </w:p>
    <w:p w14:paraId="1CD8A07B" w14:textId="77777777" w:rsidR="00E63F20" w:rsidRDefault="00FC33A0">
      <w:pPr>
        <w:pStyle w:val="Bodytext20"/>
        <w:framePr w:w="8822" w:h="11349" w:hRule="exact" w:wrap="none" w:vAnchor="page" w:hAnchor="page" w:x="1634" w:y="3447"/>
        <w:shd w:val="clear" w:color="auto" w:fill="auto"/>
        <w:spacing w:before="0" w:after="89" w:line="190" w:lineRule="exact"/>
        <w:ind w:left="100" w:firstLine="0"/>
        <w:jc w:val="center"/>
      </w:pPr>
      <w:r>
        <w:t>II.</w:t>
      </w:r>
    </w:p>
    <w:p w14:paraId="3D915365" w14:textId="77777777" w:rsidR="00E63F20" w:rsidRDefault="00FC33A0">
      <w:pPr>
        <w:pStyle w:val="Bodytext20"/>
        <w:framePr w:w="8822" w:h="11349" w:hRule="exact" w:wrap="none" w:vAnchor="page" w:hAnchor="page" w:x="1634" w:y="3447"/>
        <w:numPr>
          <w:ilvl w:val="0"/>
          <w:numId w:val="4"/>
        </w:numPr>
        <w:shd w:val="clear" w:color="auto" w:fill="auto"/>
        <w:tabs>
          <w:tab w:val="left" w:pos="754"/>
        </w:tabs>
        <w:spacing w:before="0" w:after="312"/>
        <w:ind w:left="760" w:hanging="340"/>
      </w:pPr>
      <w:r>
        <w:t>Smluvní strany prohlašují, že si tento Dodatek řádně přečetly, porozuměly jeho obsahu a s jeho zněním plně souhlasí, což stvrzují svými podpisy.</w:t>
      </w:r>
    </w:p>
    <w:p w14:paraId="0B3912D3" w14:textId="77777777" w:rsidR="00E63F20" w:rsidRDefault="00FC33A0">
      <w:pPr>
        <w:pStyle w:val="Bodytext20"/>
        <w:framePr w:w="8822" w:h="11349" w:hRule="exact" w:wrap="none" w:vAnchor="page" w:hAnchor="page" w:x="1634" w:y="3447"/>
        <w:numPr>
          <w:ilvl w:val="0"/>
          <w:numId w:val="4"/>
        </w:numPr>
        <w:shd w:val="clear" w:color="auto" w:fill="auto"/>
        <w:tabs>
          <w:tab w:val="left" w:pos="754"/>
        </w:tabs>
        <w:spacing w:before="0" w:after="260" w:line="190" w:lineRule="exact"/>
        <w:ind w:left="760" w:hanging="340"/>
      </w:pPr>
      <w:r>
        <w:t>Ustanovení Smlouvy nedotčená Dodatkem zůstávají nadále platná a účinná beze změny.</w:t>
      </w:r>
    </w:p>
    <w:p w14:paraId="2793E6EB" w14:textId="77777777" w:rsidR="00E63F20" w:rsidRDefault="00FC33A0">
      <w:pPr>
        <w:pStyle w:val="Bodytext20"/>
        <w:framePr w:w="8822" w:h="11349" w:hRule="exact" w:wrap="none" w:vAnchor="page" w:hAnchor="page" w:x="1634" w:y="3447"/>
        <w:numPr>
          <w:ilvl w:val="0"/>
          <w:numId w:val="4"/>
        </w:numPr>
        <w:shd w:val="clear" w:color="auto" w:fill="auto"/>
        <w:tabs>
          <w:tab w:val="left" w:pos="754"/>
        </w:tabs>
        <w:spacing w:before="0" w:line="190" w:lineRule="exact"/>
        <w:ind w:left="760" w:hanging="340"/>
      </w:pPr>
      <w:r>
        <w:t>Tato Smlouva podléhá zákonu č. 340/2015 Sb. o registru smluv.</w:t>
      </w:r>
    </w:p>
    <w:p w14:paraId="700E9D09" w14:textId="77777777" w:rsidR="00E63F20" w:rsidRDefault="00FC33A0">
      <w:pPr>
        <w:pStyle w:val="Headerorfooter20"/>
        <w:framePr w:wrap="none" w:vAnchor="page" w:hAnchor="page" w:x="1591" w:y="15345"/>
        <w:shd w:val="clear" w:color="auto" w:fill="auto"/>
      </w:pPr>
      <w:proofErr w:type="gramStart"/>
      <w:r>
        <w:rPr>
          <w:rStyle w:val="Headerorfooter21"/>
          <w:b/>
          <w:bCs/>
        </w:rPr>
        <w:t>MS!C</w:t>
      </w:r>
      <w:proofErr w:type="gramEnd"/>
    </w:p>
    <w:p w14:paraId="7BAB5009" w14:textId="77777777" w:rsidR="00E63F20" w:rsidRDefault="00FC33A0">
      <w:pPr>
        <w:pStyle w:val="Headerorfooter0"/>
        <w:framePr w:wrap="none" w:vAnchor="page" w:hAnchor="page" w:x="4672" w:y="15563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+420 597 305 999 + </w:t>
      </w:r>
      <w:hyperlink r:id="rId9" w:history="1">
        <w:r>
          <w:rPr>
            <w:rStyle w:val="Headerorfooter1"/>
            <w:b/>
            <w:bCs/>
          </w:rPr>
          <w:t>infb@ms-ic.cz</w:t>
        </w:r>
      </w:hyperlink>
      <w:r>
        <w:rPr>
          <w:rStyle w:val="Headerorfooter1"/>
          <w:b/>
          <w:bCs/>
        </w:rPr>
        <w:t xml:space="preserve"> </w:t>
      </w:r>
      <w:r>
        <w:rPr>
          <w:rStyle w:val="Headerorfooter1"/>
          <w:b/>
          <w:bCs/>
          <w:lang w:val="cs-CZ" w:eastAsia="cs-CZ" w:bidi="cs-CZ"/>
        </w:rPr>
        <w:t xml:space="preserve">+ </w:t>
      </w:r>
      <w:hyperlink r:id="rId10" w:history="1">
        <w:r>
          <w:rPr>
            <w:rStyle w:val="Headerorfooter1"/>
            <w:b/>
            <w:bCs/>
          </w:rPr>
          <w:t>www.ms-ic.cz</w:t>
        </w:r>
      </w:hyperlink>
    </w:p>
    <w:p w14:paraId="762A6D84" w14:textId="77777777" w:rsidR="00E63F20" w:rsidRDefault="00E63F20">
      <w:pPr>
        <w:rPr>
          <w:sz w:val="2"/>
          <w:szCs w:val="2"/>
        </w:rPr>
        <w:sectPr w:rsidR="00E63F2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4B851B8" w14:textId="5268C00B" w:rsidR="00E63F20" w:rsidRDefault="00E63F20">
      <w:pPr>
        <w:pStyle w:val="Heading10"/>
        <w:framePr w:w="8698" w:h="2576" w:hRule="exact" w:wrap="none" w:vAnchor="page" w:hAnchor="page" w:x="1696" w:y="646"/>
        <w:shd w:val="clear" w:color="auto" w:fill="auto"/>
        <w:spacing w:after="0"/>
      </w:pPr>
    </w:p>
    <w:p w14:paraId="3E23E7EB" w14:textId="64169BED" w:rsidR="00E63F20" w:rsidRDefault="00E63F20">
      <w:pPr>
        <w:pStyle w:val="Bodytext70"/>
        <w:framePr w:w="8698" w:h="2576" w:hRule="exact" w:wrap="none" w:vAnchor="page" w:hAnchor="page" w:x="1696" w:y="646"/>
        <w:shd w:val="clear" w:color="auto" w:fill="auto"/>
        <w:spacing w:before="0"/>
      </w:pPr>
    </w:p>
    <w:p w14:paraId="028507AE" w14:textId="77777777" w:rsidR="00E63F20" w:rsidRDefault="00FC33A0">
      <w:pPr>
        <w:pStyle w:val="Bodytext20"/>
        <w:framePr w:w="8698" w:h="2576" w:hRule="exact" w:wrap="none" w:vAnchor="page" w:hAnchor="page" w:x="1696" w:y="646"/>
        <w:shd w:val="clear" w:color="auto" w:fill="auto"/>
        <w:spacing w:before="0"/>
        <w:ind w:firstLine="0"/>
        <w:jc w:val="right"/>
      </w:pPr>
      <w:r>
        <w:rPr>
          <w:rStyle w:val="Bodytext21"/>
          <w:b/>
          <w:bCs/>
          <w:lang w:val="en-US" w:eastAsia="en-US" w:bidi="en-US"/>
        </w:rPr>
        <w:t xml:space="preserve">PRO-DO </w:t>
      </w:r>
      <w:r>
        <w:rPr>
          <w:rStyle w:val="Bodytext21"/>
          <w:b/>
          <w:bCs/>
        </w:rPr>
        <w:t xml:space="preserve">projektová a dotační kancelář, </w:t>
      </w:r>
      <w:proofErr w:type="spellStart"/>
      <w:r>
        <w:rPr>
          <w:rStyle w:val="Bodytext21"/>
          <w:b/>
          <w:bCs/>
          <w:lang w:val="en-US" w:eastAsia="en-US" w:bidi="en-US"/>
        </w:rPr>
        <w:t>s.r.o.</w:t>
      </w:r>
      <w:proofErr w:type="spellEnd"/>
    </w:p>
    <w:p w14:paraId="44844181" w14:textId="77777777" w:rsidR="00E63F20" w:rsidRDefault="00FC33A0">
      <w:pPr>
        <w:pStyle w:val="Bodytext20"/>
        <w:framePr w:w="8698" w:h="2576" w:hRule="exact" w:wrap="none" w:vAnchor="page" w:hAnchor="page" w:x="1696" w:y="646"/>
        <w:numPr>
          <w:ilvl w:val="0"/>
          <w:numId w:val="4"/>
        </w:numPr>
        <w:shd w:val="clear" w:color="auto" w:fill="auto"/>
        <w:tabs>
          <w:tab w:val="left" w:pos="744"/>
        </w:tabs>
        <w:spacing w:before="0" w:after="240"/>
        <w:ind w:left="720" w:hanging="320"/>
      </w:pPr>
      <w:r>
        <w:t xml:space="preserve">Smluvní strany prohlašují, že </w:t>
      </w:r>
      <w:proofErr w:type="spellStart"/>
      <w:r>
        <w:rPr>
          <w:lang w:val="en-US" w:eastAsia="en-US" w:bidi="en-US"/>
        </w:rPr>
        <w:t>si</w:t>
      </w:r>
      <w:proofErr w:type="spellEnd"/>
      <w:r>
        <w:rPr>
          <w:lang w:val="en-US" w:eastAsia="en-US" w:bidi="en-US"/>
        </w:rPr>
        <w:t xml:space="preserve"> </w:t>
      </w:r>
      <w:r>
        <w:t>tento Dodatek řádně přečetly, porozuměly jeho obsahu a s jeho zněním plně souhlasí, což stvrzují svými podpisy.</w:t>
      </w:r>
    </w:p>
    <w:p w14:paraId="20D1BA8C" w14:textId="77777777" w:rsidR="00E63F20" w:rsidRDefault="00FC33A0">
      <w:pPr>
        <w:pStyle w:val="Bodytext20"/>
        <w:framePr w:w="8698" w:h="2576" w:hRule="exact" w:wrap="none" w:vAnchor="page" w:hAnchor="page" w:x="1696" w:y="646"/>
        <w:numPr>
          <w:ilvl w:val="0"/>
          <w:numId w:val="4"/>
        </w:numPr>
        <w:shd w:val="clear" w:color="auto" w:fill="auto"/>
        <w:tabs>
          <w:tab w:val="left" w:pos="744"/>
        </w:tabs>
        <w:spacing w:before="0"/>
        <w:ind w:left="720" w:hanging="320"/>
      </w:pPr>
      <w:r>
        <w:t>Tento Dodatek je sepsán ve dvou vyhotoveních s platností originálu, z nichž každá ze stran obdrží po jednom vyhotovení.</w:t>
      </w:r>
    </w:p>
    <w:p w14:paraId="28EE5EAF" w14:textId="77777777" w:rsidR="00E63F20" w:rsidRDefault="00FC33A0">
      <w:pPr>
        <w:pStyle w:val="Bodytext20"/>
        <w:framePr w:w="6888" w:h="1394" w:hRule="exact" w:wrap="none" w:vAnchor="page" w:hAnchor="page" w:x="1706" w:y="3641"/>
        <w:shd w:val="clear" w:color="auto" w:fill="auto"/>
        <w:tabs>
          <w:tab w:val="left" w:pos="4555"/>
        </w:tabs>
        <w:spacing w:before="0" w:after="538" w:line="212" w:lineRule="exact"/>
        <w:ind w:firstLine="0"/>
        <w:jc w:val="both"/>
      </w:pPr>
      <w:r>
        <w:t xml:space="preserve">V Ostravě dne </w:t>
      </w:r>
      <w:r>
        <w:rPr>
          <w:rStyle w:val="Bodytext295ptNotBoldItalic"/>
        </w:rPr>
        <w:t>11.12.2018</w:t>
      </w:r>
      <w:r>
        <w:rPr>
          <w:rStyle w:val="Bodytext295pt1"/>
          <w:b/>
          <w:bCs/>
        </w:rPr>
        <w:tab/>
      </w:r>
      <w:r>
        <w:t>V Ostravě dne 11.12.2018</w:t>
      </w:r>
    </w:p>
    <w:p w14:paraId="5BB32089" w14:textId="77777777" w:rsidR="00E63F20" w:rsidRDefault="00E63F20">
      <w:pPr>
        <w:pStyle w:val="Bodytext60"/>
        <w:framePr w:w="6888" w:h="1394" w:hRule="exact" w:wrap="none" w:vAnchor="page" w:hAnchor="page" w:x="1706" w:y="3641"/>
        <w:shd w:val="clear" w:color="auto" w:fill="auto"/>
        <w:spacing w:before="0"/>
        <w:ind w:left="5280"/>
      </w:pPr>
    </w:p>
    <w:p w14:paraId="01F4141F" w14:textId="77777777" w:rsidR="00E63F20" w:rsidRDefault="00FC33A0">
      <w:pPr>
        <w:pStyle w:val="Bodytext20"/>
        <w:framePr w:w="8698" w:h="2296" w:hRule="exact" w:wrap="none" w:vAnchor="page" w:hAnchor="page" w:x="1696" w:y="5233"/>
        <w:shd w:val="clear" w:color="auto" w:fill="auto"/>
        <w:tabs>
          <w:tab w:val="left" w:pos="4589"/>
        </w:tabs>
        <w:spacing w:before="0"/>
        <w:ind w:firstLine="0"/>
        <w:jc w:val="both"/>
      </w:pPr>
      <w:r>
        <w:t>za Moravskoslezské inovační centrum Ostrava, a.s.       za PRO-DO projektová a dotační kancelář, s.r.o. Mgr. Pavel Csank, předseda představenstva</w:t>
      </w:r>
      <w:r>
        <w:tab/>
        <w:t xml:space="preserve">Ing. Petr </w:t>
      </w:r>
      <w:proofErr w:type="spellStart"/>
      <w:r>
        <w:rPr>
          <w:lang w:val="de-DE" w:eastAsia="de-DE" w:bidi="de-DE"/>
        </w:rPr>
        <w:t>Vašek</w:t>
      </w:r>
      <w:proofErr w:type="spellEnd"/>
      <w:r>
        <w:rPr>
          <w:lang w:val="de-DE" w:eastAsia="de-DE" w:bidi="de-DE"/>
        </w:rPr>
        <w:t xml:space="preserve">, </w:t>
      </w:r>
      <w:r>
        <w:t>jednatel</w:t>
      </w:r>
    </w:p>
    <w:p w14:paraId="0BB48F67" w14:textId="77777777" w:rsidR="00E63F20" w:rsidRDefault="00E63F20">
      <w:pPr>
        <w:pStyle w:val="Bodytext100"/>
        <w:framePr w:w="8698" w:h="2296" w:hRule="exact" w:wrap="none" w:vAnchor="page" w:hAnchor="page" w:x="1696" w:y="5233"/>
        <w:shd w:val="clear" w:color="auto" w:fill="auto"/>
        <w:ind w:left="5060"/>
      </w:pPr>
    </w:p>
    <w:p w14:paraId="28EE275B" w14:textId="77777777" w:rsidR="00E63F20" w:rsidRDefault="00FC33A0">
      <w:pPr>
        <w:pStyle w:val="Headerorfooter20"/>
        <w:framePr w:wrap="none" w:vAnchor="page" w:hAnchor="page" w:x="1557" w:y="15350"/>
        <w:shd w:val="clear" w:color="auto" w:fill="auto"/>
      </w:pPr>
      <w:proofErr w:type="gramStart"/>
      <w:r>
        <w:rPr>
          <w:rStyle w:val="Headerorfooter21"/>
          <w:b/>
          <w:bCs/>
        </w:rPr>
        <w:t>MS!C</w:t>
      </w:r>
      <w:proofErr w:type="gramEnd"/>
    </w:p>
    <w:p w14:paraId="53689CB9" w14:textId="77777777" w:rsidR="00E63F20" w:rsidRDefault="00FC33A0">
      <w:pPr>
        <w:pStyle w:val="Headerorfooter0"/>
        <w:framePr w:wrap="none" w:vAnchor="page" w:hAnchor="page" w:x="4653" w:y="15572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+420 597 305 999 + </w:t>
      </w:r>
      <w:hyperlink r:id="rId11" w:history="1">
        <w:r>
          <w:rPr>
            <w:rStyle w:val="Headerorfooter1"/>
            <w:b/>
            <w:bCs/>
          </w:rPr>
          <w:t>infb@ms-ic.cz</w:t>
        </w:r>
      </w:hyperlink>
      <w:r>
        <w:rPr>
          <w:rStyle w:val="Headerorfooter1"/>
          <w:b/>
          <w:bCs/>
        </w:rPr>
        <w:t xml:space="preserve"> </w:t>
      </w:r>
      <w:r>
        <w:rPr>
          <w:rStyle w:val="Headerorfooter3"/>
          <w:b/>
          <w:bCs/>
        </w:rPr>
        <w:t xml:space="preserve">+ </w:t>
      </w:r>
      <w:hyperlink r:id="rId12" w:history="1">
        <w:r>
          <w:rPr>
            <w:rStyle w:val="Headerorfooter1"/>
            <w:b/>
            <w:bCs/>
          </w:rPr>
          <w:t>www.ms-ic.cz</w:t>
        </w:r>
      </w:hyperlink>
    </w:p>
    <w:p w14:paraId="6F514B85" w14:textId="77777777" w:rsidR="00E63F20" w:rsidRDefault="00E63F20">
      <w:pPr>
        <w:rPr>
          <w:sz w:val="2"/>
          <w:szCs w:val="2"/>
        </w:rPr>
        <w:sectPr w:rsidR="00E63F2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14:paraId="1CCB1B77" w14:textId="77777777" w:rsidR="00E63F20" w:rsidRDefault="00E63F20">
      <w:pPr>
        <w:framePr w:wrap="none" w:vAnchor="page" w:hAnchor="page" w:x="10975" w:y="6020"/>
      </w:pPr>
    </w:p>
    <w:p w14:paraId="36E9584E" w14:textId="77777777" w:rsidR="00E63F20" w:rsidRDefault="00E63F20" w:rsidP="00FC33A0">
      <w:pPr>
        <w:rPr>
          <w:sz w:val="2"/>
          <w:szCs w:val="2"/>
        </w:rPr>
      </w:pPr>
    </w:p>
    <w:sectPr w:rsidR="00E63F2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FEBB0" w14:textId="77777777" w:rsidR="003C6E38" w:rsidRDefault="00FC33A0">
      <w:r>
        <w:separator/>
      </w:r>
    </w:p>
  </w:endnote>
  <w:endnote w:type="continuationSeparator" w:id="0">
    <w:p w14:paraId="2DFB5E9C" w14:textId="77777777" w:rsidR="003C6E38" w:rsidRDefault="00FC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CC4C2" w14:textId="77777777" w:rsidR="00E63F20" w:rsidRDefault="00E63F20"/>
  </w:footnote>
  <w:footnote w:type="continuationSeparator" w:id="0">
    <w:p w14:paraId="70B4A6BD" w14:textId="77777777" w:rsidR="00E63F20" w:rsidRDefault="00E63F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0F6"/>
    <w:multiLevelType w:val="multilevel"/>
    <w:tmpl w:val="DBEEE5B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613FC"/>
    <w:multiLevelType w:val="multilevel"/>
    <w:tmpl w:val="CF70A56C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505F04"/>
    <w:multiLevelType w:val="multilevel"/>
    <w:tmpl w:val="BA3E5882"/>
    <w:lvl w:ilvl="0">
      <w:start w:val="1"/>
      <w:numFmt w:val="bullet"/>
      <w:lvlText w:val="V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4A5E30"/>
    <w:multiLevelType w:val="multilevel"/>
    <w:tmpl w:val="1F22BBD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20"/>
    <w:rsid w:val="003C6E38"/>
    <w:rsid w:val="007D52D8"/>
    <w:rsid w:val="00E63F20"/>
    <w:rsid w:val="00FC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DCFF"/>
  <w15:docId w15:val="{2E280C98-6EC4-45B0-B008-2BAB8132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F38E8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erorfooterSpacing2pt">
    <w:name w:val="Header or footer + Spacing 2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 w:val="0"/>
      <w:iCs w:val="0"/>
      <w:smallCaps w:val="0"/>
      <w:strike w:val="0"/>
      <w:color w:val="5189AA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76"/>
      <w:szCs w:val="76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5189AA"/>
      <w:spacing w:val="0"/>
      <w:w w:val="100"/>
      <w:position w:val="0"/>
      <w:sz w:val="76"/>
      <w:szCs w:val="76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/>
      <w:iCs/>
      <w:smallCaps w:val="0"/>
      <w:strike w:val="0"/>
      <w:color w:val="5189AA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5189AA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5189AA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/>
      <w:bCs/>
      <w:i w:val="0"/>
      <w:iCs w:val="0"/>
      <w:smallCaps w:val="0"/>
      <w:strike w:val="0"/>
      <w:color w:val="F38E8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Arial">
    <w:name w:val="Other + Arial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5189AA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OtherArial38pt">
    <w:name w:val="Other + Arial;38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5189AA"/>
      <w:spacing w:val="0"/>
      <w:w w:val="100"/>
      <w:position w:val="0"/>
      <w:sz w:val="76"/>
      <w:szCs w:val="76"/>
      <w:u w:val="non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Headerorfooter21">
    <w:name w:val="Header or footer (2)"/>
    <w:basedOn w:val="Headerorfooter2"/>
    <w:rPr>
      <w:rFonts w:ascii="Arial" w:eastAsia="Arial" w:hAnsi="Arial" w:cs="Arial"/>
      <w:b/>
      <w:bCs/>
      <w:i w:val="0"/>
      <w:iCs w:val="0"/>
      <w:smallCaps w:val="0"/>
      <w:strike w:val="0"/>
      <w:color w:val="5189AA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/>
      <w:iCs/>
      <w:smallCaps w:val="0"/>
      <w:strike w:val="0"/>
      <w:sz w:val="60"/>
      <w:szCs w:val="60"/>
      <w:u w:val="none"/>
      <w:lang w:val="en-US" w:eastAsia="en-US" w:bidi="en-US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/>
      <w:iCs/>
      <w:smallCaps w:val="0"/>
      <w:strike w:val="0"/>
      <w:color w:val="5189AA"/>
      <w:spacing w:val="0"/>
      <w:w w:val="100"/>
      <w:position w:val="0"/>
      <w:sz w:val="60"/>
      <w:szCs w:val="60"/>
      <w:u w:val="none"/>
      <w:lang w:val="en-US" w:eastAsia="en-US" w:bidi="en-US"/>
    </w:rPr>
  </w:style>
  <w:style w:type="character" w:customStyle="1" w:styleId="Bodytext295ptNotBoldItalic">
    <w:name w:val="Body text (2) + 9.5 pt;Not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1">
    <w:name w:val="Body text (2) + 9.5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5189A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5189AA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Bodytext23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5189AA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w w:val="75"/>
      <w:sz w:val="20"/>
      <w:szCs w:val="20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3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8CA1A9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1CourierNew85ptNotBold">
    <w:name w:val="Body text (11) + Courier New;8.5 pt;Not Bold"/>
    <w:basedOn w:val="Bodytext1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155ptNotBoldItalicSmallCaps">
    <w:name w:val="Body text (11) + 5.5 pt;Not Bold;Italic;Small Caps"/>
    <w:basedOn w:val="Bodytext11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1155ptNotBoldItalic">
    <w:name w:val="Body text (11) + 5.5 pt;Not Bold;Italic"/>
    <w:basedOn w:val="Bodytext1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80" w:line="254" w:lineRule="exact"/>
      <w:ind w:hanging="360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80" w:line="224" w:lineRule="exact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line="850" w:lineRule="exact"/>
    </w:pPr>
    <w:rPr>
      <w:rFonts w:ascii="Arial" w:eastAsia="Arial" w:hAnsi="Arial" w:cs="Arial"/>
      <w:sz w:val="76"/>
      <w:szCs w:val="7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100" w:line="190" w:lineRule="exact"/>
    </w:pPr>
    <w:rPr>
      <w:rFonts w:ascii="Arial" w:eastAsia="Arial" w:hAnsi="Arial" w:cs="Arial"/>
      <w:i/>
      <w:iCs/>
      <w:sz w:val="17"/>
      <w:szCs w:val="17"/>
      <w:lang w:val="en-US" w:eastAsia="en-US" w:bidi="en-US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540" w:line="514" w:lineRule="exact"/>
    </w:pPr>
    <w:rPr>
      <w:rFonts w:ascii="Arial" w:eastAsia="Arial" w:hAnsi="Arial" w:cs="Arial"/>
      <w:b/>
      <w:bCs/>
      <w:sz w:val="46"/>
      <w:szCs w:val="4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514" w:lineRule="exact"/>
    </w:pPr>
    <w:rPr>
      <w:rFonts w:ascii="Arial" w:eastAsia="Arial" w:hAnsi="Arial" w:cs="Arial"/>
      <w:b/>
      <w:bCs/>
      <w:sz w:val="46"/>
      <w:szCs w:val="4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240" w:line="670" w:lineRule="exact"/>
    </w:pPr>
    <w:rPr>
      <w:rFonts w:ascii="Arial" w:eastAsia="Arial" w:hAnsi="Arial" w:cs="Arial"/>
      <w:b/>
      <w:bCs/>
      <w:i/>
      <w:iCs/>
      <w:sz w:val="60"/>
      <w:szCs w:val="60"/>
      <w:lang w:val="en-US" w:eastAsia="en-US" w:bidi="en-US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80" w:line="224" w:lineRule="exact"/>
    </w:pPr>
    <w:rPr>
      <w:rFonts w:ascii="Arial" w:eastAsia="Arial" w:hAnsi="Arial" w:cs="Arial"/>
      <w:b/>
      <w:bCs/>
      <w:w w:val="75"/>
      <w:sz w:val="20"/>
      <w:szCs w:val="20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02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20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197" w:lineRule="exact"/>
      <w:ind w:firstLine="140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ic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s-ic.cz" TargetMode="External"/><Relationship Id="rId12" Type="http://schemas.openxmlformats.org/officeDocument/2006/relationships/hyperlink" Target="http://www.ms-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b@ms-ic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s-i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b@ms-ic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Pálová</dc:creator>
  <cp:lastModifiedBy>Olga Palová</cp:lastModifiedBy>
  <cp:revision>3</cp:revision>
  <dcterms:created xsi:type="dcterms:W3CDTF">2019-07-24T11:03:00Z</dcterms:created>
  <dcterms:modified xsi:type="dcterms:W3CDTF">2019-07-24T11:06:00Z</dcterms:modified>
</cp:coreProperties>
</file>