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F7DC" w14:textId="77777777" w:rsidR="00954587" w:rsidRDefault="00496C1E">
      <w:pPr>
        <w:pStyle w:val="Heading10"/>
        <w:framePr w:w="9182" w:h="375" w:hRule="exact" w:wrap="none" w:vAnchor="page" w:hAnchor="page" w:x="1534" w:y="937"/>
        <w:shd w:val="clear" w:color="auto" w:fill="auto"/>
        <w:spacing w:after="0"/>
        <w:ind w:right="20"/>
      </w:pPr>
      <w:bookmarkStart w:id="0" w:name="bookmark0"/>
      <w:r>
        <w:t>Dohoda o narovnání</w:t>
      </w:r>
      <w:bookmarkEnd w:id="0"/>
    </w:p>
    <w:p w14:paraId="30E0AC75" w14:textId="77777777" w:rsidR="00954587" w:rsidRDefault="00496C1E">
      <w:pPr>
        <w:pStyle w:val="Bodytext20"/>
        <w:framePr w:w="9182" w:h="956" w:hRule="exact" w:wrap="none" w:vAnchor="page" w:hAnchor="page" w:x="1534" w:y="1881"/>
        <w:shd w:val="clear" w:color="auto" w:fill="auto"/>
        <w:spacing w:before="0"/>
        <w:ind w:left="280" w:firstLine="0"/>
      </w:pPr>
      <w:r>
        <w:t>uzavřená dne 12.6. 2019 podle zákona č. 89/2012 Sb., občanský zákoník, ve znění pozdějších</w:t>
      </w:r>
    </w:p>
    <w:p w14:paraId="3644CFCF" w14:textId="77777777" w:rsidR="00954587" w:rsidRDefault="00496C1E">
      <w:pPr>
        <w:pStyle w:val="Bodytext20"/>
        <w:framePr w:w="9182" w:h="956" w:hRule="exact" w:wrap="none" w:vAnchor="page" w:hAnchor="page" w:x="1534" w:y="1881"/>
        <w:shd w:val="clear" w:color="auto" w:fill="auto"/>
        <w:spacing w:before="0" w:after="240"/>
        <w:ind w:right="20" w:firstLine="0"/>
        <w:jc w:val="center"/>
      </w:pPr>
      <w:r>
        <w:t xml:space="preserve">předpisů (dále jen </w:t>
      </w:r>
      <w:r>
        <w:rPr>
          <w:rStyle w:val="Bodytext2Bold"/>
          <w:lang w:val="de-DE" w:eastAsia="de-DE" w:bidi="de-DE"/>
        </w:rPr>
        <w:t>„OZ“)</w:t>
      </w:r>
    </w:p>
    <w:p w14:paraId="08E500BC" w14:textId="77777777" w:rsidR="00954587" w:rsidRDefault="00496C1E">
      <w:pPr>
        <w:pStyle w:val="Bodytext20"/>
        <w:framePr w:w="9182" w:h="956" w:hRule="exact" w:wrap="none" w:vAnchor="page" w:hAnchor="page" w:x="1534" w:y="1881"/>
        <w:shd w:val="clear" w:color="auto" w:fill="auto"/>
        <w:spacing w:before="0"/>
        <w:ind w:right="20" w:firstLine="0"/>
        <w:jc w:val="center"/>
      </w:pPr>
      <w:r>
        <w:t>mezi smluvními stranami</w:t>
      </w:r>
    </w:p>
    <w:p w14:paraId="5459D92E" w14:textId="77777777" w:rsidR="00954587" w:rsidRDefault="00496C1E">
      <w:pPr>
        <w:pStyle w:val="Heading20"/>
        <w:framePr w:w="9182" w:h="2210" w:hRule="exact" w:wrap="none" w:vAnchor="page" w:hAnchor="page" w:x="1534" w:y="3529"/>
        <w:shd w:val="clear" w:color="auto" w:fill="auto"/>
        <w:spacing w:before="0"/>
      </w:pPr>
      <w:bookmarkStart w:id="1" w:name="bookmark1"/>
      <w:r>
        <w:t>Moravskoslezské inovační centrum Ostrava, a.s.</w:t>
      </w:r>
      <w:bookmarkEnd w:id="1"/>
    </w:p>
    <w:p w14:paraId="15ED8BFC" w14:textId="77777777" w:rsidR="00954587" w:rsidRDefault="00496C1E">
      <w:pPr>
        <w:pStyle w:val="Bodytext20"/>
        <w:framePr w:w="9182" w:h="2210" w:hRule="exact" w:wrap="none" w:vAnchor="page" w:hAnchor="page" w:x="1534" w:y="3529"/>
        <w:shd w:val="clear" w:color="auto" w:fill="auto"/>
        <w:tabs>
          <w:tab w:val="left" w:pos="1352"/>
          <w:tab w:val="right" w:pos="5818"/>
        </w:tabs>
        <w:spacing w:before="0" w:line="230" w:lineRule="exact"/>
        <w:ind w:firstLine="0"/>
        <w:jc w:val="both"/>
      </w:pPr>
      <w:r>
        <w:t>sídlo:</w:t>
      </w:r>
      <w:r>
        <w:tab/>
        <w:t>Technologická 372/2, 708</w:t>
      </w:r>
      <w:r>
        <w:t xml:space="preserve">00 Ostrava - </w:t>
      </w:r>
      <w:r>
        <w:t>Pustkovec</w:t>
      </w:r>
    </w:p>
    <w:p w14:paraId="552006F5" w14:textId="77777777" w:rsidR="00954587" w:rsidRDefault="00496C1E">
      <w:pPr>
        <w:pStyle w:val="Bodytext20"/>
        <w:framePr w:w="9182" w:h="2210" w:hRule="exact" w:wrap="none" w:vAnchor="page" w:hAnchor="page" w:x="1534" w:y="3529"/>
        <w:shd w:val="clear" w:color="auto" w:fill="auto"/>
        <w:tabs>
          <w:tab w:val="left" w:pos="1352"/>
        </w:tabs>
        <w:spacing w:before="0" w:line="230" w:lineRule="exact"/>
        <w:ind w:firstLine="0"/>
        <w:jc w:val="both"/>
      </w:pPr>
      <w:r>
        <w:t>IČ:</w:t>
      </w:r>
      <w:r>
        <w:tab/>
        <w:t>25379631</w:t>
      </w:r>
    </w:p>
    <w:p w14:paraId="48B7B8A0" w14:textId="77777777" w:rsidR="00954587" w:rsidRDefault="00496C1E">
      <w:pPr>
        <w:pStyle w:val="Bodytext20"/>
        <w:framePr w:w="9182" w:h="2210" w:hRule="exact" w:wrap="none" w:vAnchor="page" w:hAnchor="page" w:x="1534" w:y="3529"/>
        <w:shd w:val="clear" w:color="auto" w:fill="auto"/>
        <w:tabs>
          <w:tab w:val="left" w:pos="1352"/>
        </w:tabs>
        <w:spacing w:before="0" w:line="230" w:lineRule="exact"/>
        <w:ind w:firstLine="0"/>
        <w:jc w:val="both"/>
      </w:pPr>
      <w:r>
        <w:t>DIČ:</w:t>
      </w:r>
      <w:r>
        <w:tab/>
        <w:t>CZ25379631</w:t>
      </w:r>
    </w:p>
    <w:p w14:paraId="4B32A0E0" w14:textId="77777777" w:rsidR="00954587" w:rsidRDefault="00496C1E">
      <w:pPr>
        <w:pStyle w:val="Bodytext20"/>
        <w:framePr w:w="9182" w:h="2210" w:hRule="exact" w:wrap="none" w:vAnchor="page" w:hAnchor="page" w:x="1534" w:y="3529"/>
        <w:shd w:val="clear" w:color="auto" w:fill="auto"/>
        <w:tabs>
          <w:tab w:val="left" w:pos="1352"/>
        </w:tabs>
        <w:spacing w:before="0" w:line="230" w:lineRule="exact"/>
        <w:ind w:firstLine="0"/>
        <w:jc w:val="both"/>
      </w:pPr>
      <w:r>
        <w:t>zastoupení:</w:t>
      </w:r>
      <w:r>
        <w:tab/>
        <w:t>Pavel Csank, předseda představenstva</w:t>
      </w:r>
    </w:p>
    <w:p w14:paraId="7052878A" w14:textId="77777777" w:rsidR="00954587" w:rsidRDefault="00496C1E">
      <w:pPr>
        <w:pStyle w:val="Bodytext20"/>
        <w:framePr w:w="9182" w:h="2210" w:hRule="exact" w:wrap="none" w:vAnchor="page" w:hAnchor="page" w:x="1534" w:y="3529"/>
        <w:shd w:val="clear" w:color="auto" w:fill="auto"/>
        <w:spacing w:before="0" w:after="232" w:line="230" w:lineRule="exact"/>
        <w:ind w:firstLine="0"/>
        <w:jc w:val="both"/>
      </w:pPr>
      <w:r>
        <w:t>vedená u Krajského soudu v Ostravě, spis. zn. B 1686</w:t>
      </w:r>
    </w:p>
    <w:p w14:paraId="2926B4FE" w14:textId="77777777" w:rsidR="00954587" w:rsidRDefault="00496C1E">
      <w:pPr>
        <w:pStyle w:val="Bodytext20"/>
        <w:framePr w:w="9182" w:h="2210" w:hRule="exact" w:wrap="none" w:vAnchor="page" w:hAnchor="page" w:x="1534" w:y="3529"/>
        <w:shd w:val="clear" w:color="auto" w:fill="auto"/>
        <w:spacing w:before="0" w:line="240" w:lineRule="exact"/>
        <w:ind w:right="7540" w:firstLine="0"/>
      </w:pPr>
      <w:r>
        <w:t xml:space="preserve">na straně jedné (dále jen </w:t>
      </w:r>
      <w:r>
        <w:rPr>
          <w:rStyle w:val="Bodytext2Bold"/>
          <w:lang w:val="de-DE" w:eastAsia="de-DE" w:bidi="de-DE"/>
        </w:rPr>
        <w:t>„MSIC“)</w:t>
      </w:r>
    </w:p>
    <w:p w14:paraId="4CFA317D" w14:textId="77777777" w:rsidR="00954587" w:rsidRDefault="00496C1E">
      <w:pPr>
        <w:pStyle w:val="Other0"/>
        <w:framePr w:wrap="none" w:vAnchor="page" w:hAnchor="page" w:x="6070" w:y="5975"/>
        <w:shd w:val="clear" w:color="auto" w:fill="auto"/>
        <w:spacing w:line="190" w:lineRule="exact"/>
        <w:jc w:val="both"/>
      </w:pPr>
      <w:r>
        <w:rPr>
          <w:rStyle w:val="OtherArial95ptBold"/>
        </w:rPr>
        <w:t>a</w:t>
      </w:r>
    </w:p>
    <w:p w14:paraId="3549719C" w14:textId="77777777" w:rsidR="00954587" w:rsidRDefault="00496C1E">
      <w:pPr>
        <w:pStyle w:val="Bodytext30"/>
        <w:framePr w:w="4915" w:h="504" w:hRule="exact" w:wrap="none" w:vAnchor="page" w:hAnchor="page" w:x="1578" w:y="6562"/>
        <w:shd w:val="clear" w:color="auto" w:fill="auto"/>
      </w:pPr>
      <w:r>
        <w:t>TJ Group, s.r.o.</w:t>
      </w:r>
    </w:p>
    <w:p w14:paraId="5D984869" w14:textId="77777777" w:rsidR="00954587" w:rsidRDefault="00496C1E">
      <w:pPr>
        <w:pStyle w:val="Bodytext20"/>
        <w:framePr w:w="4915" w:h="504" w:hRule="exact" w:wrap="none" w:vAnchor="page" w:hAnchor="page" w:x="1578" w:y="6562"/>
        <w:shd w:val="clear" w:color="auto" w:fill="auto"/>
        <w:tabs>
          <w:tab w:val="left" w:pos="1406"/>
        </w:tabs>
        <w:spacing w:before="0"/>
        <w:ind w:firstLine="0"/>
        <w:jc w:val="both"/>
      </w:pPr>
      <w:r>
        <w:t>sídlo:</w:t>
      </w:r>
      <w:r>
        <w:tab/>
        <w:t>Dřevařská 873/33, Veveří, 602 00 Brno</w:t>
      </w:r>
    </w:p>
    <w:p w14:paraId="361EBCB6" w14:textId="77777777" w:rsidR="00954587" w:rsidRDefault="00496C1E">
      <w:pPr>
        <w:pStyle w:val="Bodytext20"/>
        <w:framePr w:w="9182" w:h="1008" w:hRule="exact" w:wrap="none" w:vAnchor="page" w:hAnchor="page" w:x="1534" w:y="7029"/>
        <w:shd w:val="clear" w:color="auto" w:fill="auto"/>
        <w:tabs>
          <w:tab w:val="left" w:pos="1390"/>
        </w:tabs>
        <w:spacing w:before="0"/>
        <w:ind w:left="38" w:right="4473" w:firstLine="0"/>
        <w:jc w:val="both"/>
      </w:pPr>
      <w:r>
        <w:t>IČ:</w:t>
      </w:r>
      <w:r>
        <w:tab/>
      </w:r>
      <w:r>
        <w:t>06472664</w:t>
      </w:r>
    </w:p>
    <w:p w14:paraId="543A606B" w14:textId="77777777" w:rsidR="00954587" w:rsidRDefault="00496C1E">
      <w:pPr>
        <w:pStyle w:val="Bodytext20"/>
        <w:framePr w:w="9182" w:h="1008" w:hRule="exact" w:wrap="none" w:vAnchor="page" w:hAnchor="page" w:x="1534" w:y="7029"/>
        <w:shd w:val="clear" w:color="auto" w:fill="auto"/>
        <w:tabs>
          <w:tab w:val="left" w:pos="1390"/>
        </w:tabs>
        <w:spacing w:before="0" w:line="240" w:lineRule="exact"/>
        <w:ind w:left="38" w:right="4473" w:firstLine="0"/>
        <w:jc w:val="both"/>
      </w:pPr>
      <w:r>
        <w:t>DIČ:</w:t>
      </w:r>
      <w:r>
        <w:tab/>
        <w:t>CZ06472664</w:t>
      </w:r>
    </w:p>
    <w:p w14:paraId="5E91BB97" w14:textId="77777777" w:rsidR="00954587" w:rsidRDefault="00496C1E">
      <w:pPr>
        <w:pStyle w:val="Bodytext20"/>
        <w:framePr w:w="9182" w:h="1008" w:hRule="exact" w:wrap="none" w:vAnchor="page" w:hAnchor="page" w:x="1534" w:y="7029"/>
        <w:shd w:val="clear" w:color="auto" w:fill="auto"/>
        <w:tabs>
          <w:tab w:val="left" w:pos="1390"/>
        </w:tabs>
        <w:spacing w:before="0" w:line="240" w:lineRule="exact"/>
        <w:ind w:left="38" w:right="4473" w:firstLine="0"/>
        <w:jc w:val="both"/>
      </w:pPr>
      <w:r>
        <w:t>zastoupení:</w:t>
      </w:r>
      <w:r>
        <w:tab/>
        <w:t>Jakub Tížek, jednatel</w:t>
      </w:r>
    </w:p>
    <w:p w14:paraId="17D67E14" w14:textId="77777777" w:rsidR="00954587" w:rsidRDefault="00496C1E">
      <w:pPr>
        <w:pStyle w:val="Bodytext20"/>
        <w:framePr w:w="9182" w:h="1008" w:hRule="exact" w:wrap="none" w:vAnchor="page" w:hAnchor="page" w:x="1534" w:y="7029"/>
        <w:shd w:val="clear" w:color="auto" w:fill="auto"/>
        <w:spacing w:before="0" w:line="240" w:lineRule="exact"/>
        <w:ind w:left="38" w:right="4473" w:firstLine="0"/>
        <w:jc w:val="both"/>
      </w:pPr>
      <w:r>
        <w:t>vedená u Krajského soudu v Brně, sp. zn. C 102316</w:t>
      </w:r>
    </w:p>
    <w:p w14:paraId="1AAF8029" w14:textId="77777777" w:rsidR="00954587" w:rsidRDefault="00496C1E">
      <w:pPr>
        <w:pStyle w:val="Bodytext20"/>
        <w:framePr w:w="9182" w:h="538" w:hRule="exact" w:wrap="none" w:vAnchor="page" w:hAnchor="page" w:x="1534" w:y="8215"/>
        <w:shd w:val="clear" w:color="auto" w:fill="auto"/>
        <w:spacing w:before="0" w:line="240" w:lineRule="exact"/>
        <w:ind w:right="7220" w:firstLine="0"/>
      </w:pPr>
      <w:r>
        <w:t xml:space="preserve">na straně druhé (dále jen </w:t>
      </w:r>
      <w:r>
        <w:rPr>
          <w:rStyle w:val="Bodytext2Bold"/>
        </w:rPr>
        <w:t>„TJ Group“)</w:t>
      </w:r>
    </w:p>
    <w:p w14:paraId="59D475E4" w14:textId="77777777" w:rsidR="00954587" w:rsidRDefault="00496C1E">
      <w:pPr>
        <w:pStyle w:val="Bodytext20"/>
        <w:framePr w:w="9182" w:h="4096" w:hRule="exact" w:wrap="none" w:vAnchor="page" w:hAnchor="page" w:x="1534" w:y="9543"/>
        <w:shd w:val="clear" w:color="auto" w:fill="auto"/>
        <w:spacing w:before="0" w:after="218"/>
        <w:ind w:firstLine="0"/>
        <w:jc w:val="both"/>
      </w:pPr>
      <w:r>
        <w:t>Vzhledem k tomu, že:</w:t>
      </w:r>
    </w:p>
    <w:p w14:paraId="46BB933B" w14:textId="77777777" w:rsidR="00954587" w:rsidRDefault="00496C1E">
      <w:pPr>
        <w:pStyle w:val="Bodytext20"/>
        <w:framePr w:w="9182" w:h="4096" w:hRule="exact" w:wrap="none" w:vAnchor="page" w:hAnchor="page" w:x="1534" w:y="9543"/>
        <w:shd w:val="clear" w:color="auto" w:fill="auto"/>
        <w:spacing w:before="0" w:after="244" w:line="240" w:lineRule="exact"/>
        <w:ind w:left="760" w:firstLine="0"/>
        <w:jc w:val="both"/>
      </w:pPr>
      <w:r>
        <w:t xml:space="preserve">TJ Group poskytovala v průběhu podzimu 2018 a ledna 2019 konzultační služby </w:t>
      </w:r>
      <w:r>
        <w:t>spojené s plánováním kurzu pro uchazeče o podnikání z řad studentů a absolventů Ostravské univerzity, čímž pomohla naplnit a provést pilotní projekt pro jednu ze služeb projektu Podnikavý region</w:t>
      </w:r>
    </w:p>
    <w:p w14:paraId="250C0B63" w14:textId="77777777" w:rsidR="00954587" w:rsidRDefault="00496C1E">
      <w:pPr>
        <w:pStyle w:val="Bodytext20"/>
        <w:framePr w:w="9182" w:h="4096" w:hRule="exact" w:wrap="none" w:vAnchor="page" w:hAnchor="page" w:x="1534" w:y="9543"/>
        <w:shd w:val="clear" w:color="auto" w:fill="auto"/>
        <w:spacing w:before="0" w:after="240" w:line="235" w:lineRule="exact"/>
        <w:ind w:left="760" w:firstLine="0"/>
        <w:jc w:val="both"/>
      </w:pPr>
      <w:r>
        <w:t>výše uvedené konzultace vyústily v dohodu mezi MS</w:t>
      </w:r>
      <w:r>
        <w:t>IC a TJ Grou</w:t>
      </w:r>
      <w:r>
        <w:t>p o uskutečnění 8-mi týdenního kurzu zaměřeného na preinkubační fázi podnikání,</w:t>
      </w:r>
    </w:p>
    <w:p w14:paraId="5A1D9D58" w14:textId="77777777" w:rsidR="00954587" w:rsidRDefault="00496C1E">
      <w:pPr>
        <w:pStyle w:val="Bodytext20"/>
        <w:framePr w:w="9182" w:h="4096" w:hRule="exact" w:wrap="none" w:vAnchor="page" w:hAnchor="page" w:x="1534" w:y="9543"/>
        <w:shd w:val="clear" w:color="auto" w:fill="auto"/>
        <w:spacing w:before="0" w:after="240" w:line="235" w:lineRule="exact"/>
        <w:ind w:left="760" w:firstLine="0"/>
        <w:jc w:val="both"/>
      </w:pPr>
      <w:r>
        <w:t>smluvní strany mají nadále zájem spolupráci rozvíjet dle toho, jak se budou potřeby projektu Podnikavý region dále vyvíjet a naplňovat</w:t>
      </w:r>
    </w:p>
    <w:p w14:paraId="3D2A24A4" w14:textId="77777777" w:rsidR="00954587" w:rsidRDefault="00496C1E">
      <w:pPr>
        <w:pStyle w:val="Bodytext20"/>
        <w:framePr w:w="9182" w:h="4096" w:hRule="exact" w:wrap="none" w:vAnchor="page" w:hAnchor="page" w:x="1534" w:y="9543"/>
        <w:shd w:val="clear" w:color="auto" w:fill="auto"/>
        <w:spacing w:before="0" w:after="236" w:line="235" w:lineRule="exact"/>
        <w:ind w:left="760" w:firstLine="0"/>
        <w:jc w:val="both"/>
      </w:pPr>
      <w:r>
        <w:t>existují nevypořádané finanční závazky me</w:t>
      </w:r>
      <w:r>
        <w:t>zi smluvními stranami za uskutečnění 8-mi týdenního kurzu TJ Group pro MS</w:t>
      </w:r>
      <w:r>
        <w:t>IC, který proběhl od 7.3. do 2.5. 2019,</w:t>
      </w:r>
    </w:p>
    <w:p w14:paraId="14CC8218" w14:textId="77777777" w:rsidR="00954587" w:rsidRDefault="00496C1E">
      <w:pPr>
        <w:pStyle w:val="Bodytext20"/>
        <w:framePr w:w="9182" w:h="4096" w:hRule="exact" w:wrap="none" w:vAnchor="page" w:hAnchor="page" w:x="1534" w:y="9543"/>
        <w:shd w:val="clear" w:color="auto" w:fill="auto"/>
        <w:spacing w:before="0" w:line="240" w:lineRule="exact"/>
        <w:ind w:firstLine="0"/>
        <w:jc w:val="both"/>
      </w:pPr>
      <w:r>
        <w:t>dohodly se MS</w:t>
      </w:r>
      <w:r>
        <w:t>IC a TJ Group na vypořádání vzájemných práv a povinností ve smyslu ustanovení § 1903 a násl. OZ, a to takto:</w:t>
      </w:r>
    </w:p>
    <w:p w14:paraId="04A79662" w14:textId="77777777" w:rsidR="00954587" w:rsidRDefault="00954587">
      <w:pPr>
        <w:rPr>
          <w:sz w:val="2"/>
          <w:szCs w:val="2"/>
        </w:rPr>
        <w:sectPr w:rsidR="009545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14:paraId="2C40E1E7" w14:textId="1189BD47" w:rsidR="00954587" w:rsidRDefault="00496C1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C05C53D" wp14:editId="51003F50">
                <wp:simplePos x="0" y="0"/>
                <wp:positionH relativeFrom="page">
                  <wp:posOffset>5108575</wp:posOffset>
                </wp:positionH>
                <wp:positionV relativeFrom="page">
                  <wp:posOffset>7352665</wp:posOffset>
                </wp:positionV>
                <wp:extent cx="496570" cy="0"/>
                <wp:effectExtent l="12700" t="8890" r="1460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13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02.25pt;margin-top:578.95pt;width:39.1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6C99DD" wp14:editId="17BF5616">
                <wp:simplePos x="0" y="0"/>
                <wp:positionH relativeFrom="page">
                  <wp:posOffset>3916680</wp:posOffset>
                </wp:positionH>
                <wp:positionV relativeFrom="page">
                  <wp:posOffset>7352665</wp:posOffset>
                </wp:positionV>
                <wp:extent cx="917575" cy="0"/>
                <wp:effectExtent l="11430" t="8890" r="13970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17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9F02" id="AutoShape 5" o:spid="_x0000_s1026" type="#_x0000_t32" style="position:absolute;margin-left:308.4pt;margin-top:578.95pt;width:7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5791EC" wp14:editId="66DE012F">
                <wp:simplePos x="0" y="0"/>
                <wp:positionH relativeFrom="page">
                  <wp:posOffset>3813175</wp:posOffset>
                </wp:positionH>
                <wp:positionV relativeFrom="page">
                  <wp:posOffset>8184515</wp:posOffset>
                </wp:positionV>
                <wp:extent cx="1483995" cy="0"/>
                <wp:effectExtent l="12700" t="12065" r="8255" b="165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95C1" id="AutoShape 4" o:spid="_x0000_s1026" type="#_x0000_t32" style="position:absolute;margin-left:300.25pt;margin-top:644.45pt;width:116.8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" filled="t" strokeweight="1.2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50272C84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81" w:line="221" w:lineRule="exact"/>
        <w:ind w:left="820"/>
        <w:jc w:val="both"/>
      </w:pPr>
      <w:r>
        <w:t>Smluvní strany činí tímto nesporným a potvrzují, že TJ Group poskytla pro MS</w:t>
      </w:r>
      <w:r>
        <w:t>IC službu spočívající v 8-mi týdenním kurzu zaměřeném na preinkubační fázi podnikání, který proběhl od 7. 3. do 2. 5. 2019 včetně konzultací a marketingových aktivit před realizací</w:t>
      </w:r>
      <w:r>
        <w:t xml:space="preserve"> kurzu a zpracování materiálů, prezentací, videa a vyhodnocení jednotlivých projektů po realizaci kurzu (dále jen </w:t>
      </w:r>
      <w:r>
        <w:rPr>
          <w:rStyle w:val="Bodytext2Bold"/>
        </w:rPr>
        <w:t xml:space="preserve">„Kurz“). </w:t>
      </w:r>
      <w:r>
        <w:t>Cena za tento Kurz včetně dalších souvisejících služeb byla dohodnuta na částku 150.000 Kč. TJ Group není plátce DPH, takže částka 15</w:t>
      </w:r>
      <w:r>
        <w:t>0.000,- Kč je úplná a konečná.</w:t>
      </w:r>
    </w:p>
    <w:p w14:paraId="09E39661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112" w:line="245" w:lineRule="exact"/>
        <w:ind w:left="820"/>
        <w:jc w:val="both"/>
      </w:pPr>
      <w:r>
        <w:t>MS</w:t>
      </w:r>
      <w:r>
        <w:t>IC tímto prohlašuje a činí nesporným, žeTJ Group Kurz ve výše uvedeném rozsahu poskytla a zavazuje se za něj TJ Group uhradit částku 150 000 Kč nejpozději do 12. 7. 2019.</w:t>
      </w:r>
    </w:p>
    <w:p w14:paraId="7B0CB338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77" w:line="230" w:lineRule="exact"/>
        <w:ind w:left="820"/>
        <w:jc w:val="both"/>
      </w:pPr>
      <w:r>
        <w:t>TJ Group svým podpisem stvrzuje a potvrzuje správnos</w:t>
      </w:r>
      <w:r>
        <w:t>t výše uvedených skutečností a prohlášení.</w:t>
      </w:r>
    </w:p>
    <w:p w14:paraId="31445D16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115" w:line="259" w:lineRule="exact"/>
        <w:ind w:left="820"/>
        <w:jc w:val="both"/>
      </w:pPr>
      <w:r>
        <w:t>Nezaplatí-li MS</w:t>
      </w:r>
      <w:r>
        <w:t>IC částku dle odst. 2. v uvedeném termínu, má TJ Group právo od této dohody odstoupit.</w:t>
      </w:r>
    </w:p>
    <w:p w14:paraId="26B3E4A5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100" w:line="240" w:lineRule="exact"/>
        <w:ind w:left="820"/>
        <w:jc w:val="both"/>
      </w:pPr>
      <w:r>
        <w:t xml:space="preserve">Po splnění povinností vyplývajících z této dohody zejména po zaplacení částky dle odst. 2., budou </w:t>
      </w:r>
      <w:r>
        <w:t>smluvní strany zcela vyrovnány a nebudou mít vůči sobě v souvislosti se smlouvou mezi TJ Group a MS</w:t>
      </w:r>
      <w:r>
        <w:t>IC, na jejímž základě došlo k poskytnutí Kurzu žádné pohledávky, dluhy, závazky ani jiné nároky.</w:t>
      </w:r>
    </w:p>
    <w:p w14:paraId="5E5744A3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100" w:line="240" w:lineRule="exact"/>
        <w:ind w:left="820"/>
        <w:jc w:val="both"/>
      </w:pPr>
      <w:r>
        <w:t xml:space="preserve">Veškeré informace, které jedna smluvní strana druhé smluvní </w:t>
      </w:r>
      <w:r>
        <w:t>straně sdělí, či jinak zpřístupní v souvislosti s jednáním nebo realizací plnění dle této smlouvy, nesmí druhá smluvní strana zpřístupnit třetí osobě ani je použít v rozporu s jejich účelem pro své potřeby, nebo pro jiné osoby.</w:t>
      </w:r>
    </w:p>
    <w:p w14:paraId="54F111FB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100" w:line="240" w:lineRule="exact"/>
        <w:ind w:left="820"/>
        <w:jc w:val="both"/>
      </w:pPr>
      <w:r>
        <w:t>Pro účely doručování písemno</w:t>
      </w:r>
      <w:r>
        <w:t>stí souvisejících s touto smlouvou smluvní strany prohlašují za závazné adresy uvedené v záhlaví této smlouvy. Jejich změnu je smluvní strana povinna bez zbytečného odkladu prokazatelně oznámit druhé smluvní straně. V opačném případě platí, že tato smluvní</w:t>
      </w:r>
      <w:r>
        <w:t xml:space="preserve"> strana zmařila dojití zásilky a ta se má za řádně došlou, nebude-li prokázán opak.</w:t>
      </w:r>
    </w:p>
    <w:p w14:paraId="3F4BB22F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100" w:line="240" w:lineRule="exact"/>
        <w:ind w:left="820"/>
        <w:jc w:val="both"/>
      </w:pPr>
      <w:r>
        <w:t xml:space="preserve">Tuto smlouvu lze měnit pouze písemnými dodatky. K ujednáním, byť jen o vedlejších náležitostech této smlouvy, týkajících se práv a povinností smluvních stran v souvislosti </w:t>
      </w:r>
      <w:r>
        <w:t>s obsahem a předmětem této smlouvy učiněným smluvními stranami v jiné než písemné formě se nepřihlíží. Právní následky nedostatku písemné formy nastanou i v případě, kdy bylo mezi smluvními stranami započato ve vzájemném plnění práv a povinností.</w:t>
      </w:r>
    </w:p>
    <w:p w14:paraId="55FF9368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92" w:line="240" w:lineRule="exact"/>
        <w:ind w:left="820"/>
        <w:jc w:val="both"/>
      </w:pPr>
      <w:r>
        <w:t>Smluvní s</w:t>
      </w:r>
      <w:r>
        <w:t xml:space="preserve">trany shodně prohlašují a svými podpisy potvrzují, že si tuto smlouvu před jejím podpisem přečetly, s jejím obsahem souhlasí a že byla uzavřena po vzájemném projednání, podle jejich pravé a svobodné vůle, určitě, vážně a srozumitelně, přičemž autentičnost </w:t>
      </w:r>
      <w:r>
        <w:t>této smlouvy potvrzují svými vlastnoručními podpisy.</w:t>
      </w:r>
    </w:p>
    <w:p w14:paraId="48C6F0EB" w14:textId="77777777" w:rsidR="00954587" w:rsidRDefault="00496C1E">
      <w:pPr>
        <w:pStyle w:val="Bodytext20"/>
        <w:framePr w:w="9182" w:h="9424" w:hRule="exact" w:wrap="none" w:vAnchor="page" w:hAnchor="page" w:x="1321" w:y="828"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250" w:lineRule="exact"/>
        <w:ind w:left="820"/>
        <w:jc w:val="both"/>
      </w:pPr>
      <w:r>
        <w:t>Tato smlouva je vyhotovena ve dvou vyhotoveních, kdy každá ze smluvních stran obdrží po jednom originále.</w:t>
      </w:r>
    </w:p>
    <w:p w14:paraId="1315560B" w14:textId="2C751B4F" w:rsidR="00954587" w:rsidRDefault="00496C1E">
      <w:pPr>
        <w:framePr w:wrap="none" w:vAnchor="page" w:hAnchor="page" w:x="1777" w:y="11167"/>
        <w:rPr>
          <w:sz w:val="2"/>
          <w:szCs w:val="2"/>
        </w:rPr>
      </w:pPr>
      <w:r>
        <w:rPr>
          <w:noProof/>
        </w:rPr>
        <w:drawing>
          <wp:inline distT="0" distB="0" distL="0" distR="0" wp14:anchorId="5B85CE05" wp14:editId="72E73F52">
            <wp:extent cx="4810125" cy="257175"/>
            <wp:effectExtent l="0" t="0" r="0" b="0"/>
            <wp:docPr id="1" name="obrázek 1" descr="C:\Users\Olga Pálová\AppData\Local\Microsoft\Windows\INetCache\Content.Outlook\TBN4PWZM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Pálová\AppData\Local\Microsoft\Windows\INetCache\Content.Outlook\TBN4PWZM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A256" w14:textId="77777777" w:rsidR="00954587" w:rsidRDefault="00496C1E">
      <w:pPr>
        <w:pStyle w:val="Heading20"/>
        <w:framePr w:w="8755" w:h="733" w:hRule="exact" w:wrap="none" w:vAnchor="page" w:hAnchor="page" w:x="1748" w:y="12893"/>
        <w:shd w:val="clear" w:color="auto" w:fill="auto"/>
        <w:spacing w:before="0" w:line="226" w:lineRule="exact"/>
        <w:ind w:right="5237"/>
      </w:pPr>
      <w:bookmarkStart w:id="3" w:name="bookmark2"/>
      <w:r>
        <w:t>Moravskoslezské inovační centrum</w:t>
      </w:r>
      <w:r>
        <w:br/>
        <w:t>Ostrava, a.s.</w:t>
      </w:r>
      <w:bookmarkEnd w:id="3"/>
    </w:p>
    <w:p w14:paraId="786A9BE0" w14:textId="77777777" w:rsidR="00954587" w:rsidRDefault="00496C1E">
      <w:pPr>
        <w:pStyle w:val="Bodytext20"/>
        <w:framePr w:w="8755" w:h="733" w:hRule="exact" w:wrap="none" w:vAnchor="page" w:hAnchor="page" w:x="1748" w:y="12893"/>
        <w:shd w:val="clear" w:color="auto" w:fill="auto"/>
        <w:spacing w:before="0" w:line="226" w:lineRule="exact"/>
        <w:ind w:right="5237" w:firstLine="0"/>
        <w:jc w:val="both"/>
      </w:pPr>
      <w:r>
        <w:t>Pavel Csank, předseda představenstva</w:t>
      </w:r>
    </w:p>
    <w:p w14:paraId="2CEACA07" w14:textId="77777777" w:rsidR="00954587" w:rsidRDefault="00496C1E">
      <w:pPr>
        <w:pStyle w:val="Bodytext30"/>
        <w:framePr w:w="1915" w:h="496" w:hRule="exact" w:wrap="none" w:vAnchor="page" w:hAnchor="page" w:x="5958" w:y="12927"/>
        <w:shd w:val="clear" w:color="auto" w:fill="auto"/>
        <w:jc w:val="left"/>
      </w:pPr>
      <w:r>
        <w:t>TJ Group, s.r.o.</w:t>
      </w:r>
    </w:p>
    <w:p w14:paraId="46552684" w14:textId="77777777" w:rsidR="00954587" w:rsidRDefault="00496C1E">
      <w:pPr>
        <w:pStyle w:val="Bodytext20"/>
        <w:framePr w:w="1915" w:h="496" w:hRule="exact" w:wrap="none" w:vAnchor="page" w:hAnchor="page" w:x="5958" w:y="12927"/>
        <w:shd w:val="clear" w:color="auto" w:fill="auto"/>
        <w:spacing w:before="0"/>
        <w:ind w:firstLine="0"/>
      </w:pPr>
      <w:r>
        <w:t>Jakub Tížek, jednatel</w:t>
      </w:r>
    </w:p>
    <w:p w14:paraId="4BB363BA" w14:textId="77777777" w:rsidR="00954587" w:rsidRDefault="00954587">
      <w:pPr>
        <w:rPr>
          <w:sz w:val="2"/>
          <w:szCs w:val="2"/>
        </w:rPr>
      </w:pPr>
    </w:p>
    <w:sectPr w:rsidR="009545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C5BBB" w14:textId="77777777" w:rsidR="00000000" w:rsidRDefault="00496C1E">
      <w:r>
        <w:separator/>
      </w:r>
    </w:p>
  </w:endnote>
  <w:endnote w:type="continuationSeparator" w:id="0">
    <w:p w14:paraId="336DED48" w14:textId="77777777" w:rsidR="00000000" w:rsidRDefault="0049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DD5A5" w14:textId="77777777" w:rsidR="00954587" w:rsidRDefault="00954587"/>
  </w:footnote>
  <w:footnote w:type="continuationSeparator" w:id="0">
    <w:p w14:paraId="1296DC1D" w14:textId="77777777" w:rsidR="00954587" w:rsidRDefault="00954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5C08"/>
    <w:multiLevelType w:val="multilevel"/>
    <w:tmpl w:val="F69670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87"/>
    <w:rsid w:val="00496C1E"/>
    <w:rsid w:val="009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</o:rules>
    </o:shapelayout>
  </w:shapeDefaults>
  <w:decimalSymbol w:val=","/>
  <w:listSeparator w:val=";"/>
  <w14:docId w14:val="2088DA0A"/>
  <w15:docId w15:val="{51DADF7D-0F59-4593-8D69-15AD508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95ptBold">
    <w:name w:val="Other + Arial;9.5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40" w:line="212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80" w:line="230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2</cp:revision>
  <dcterms:created xsi:type="dcterms:W3CDTF">2019-07-23T07:39:00Z</dcterms:created>
  <dcterms:modified xsi:type="dcterms:W3CDTF">2019-07-23T07:39:00Z</dcterms:modified>
</cp:coreProperties>
</file>