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1A50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1A50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1A50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1A50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1A50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A506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1A5068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A52CAF">
        <w:rPr>
          <w:b/>
          <w:snapToGrid w:val="0"/>
          <w:sz w:val="28"/>
          <w:szCs w:val="28"/>
        </w:rPr>
        <w:t>1</w:t>
      </w:r>
      <w:r w:rsidR="001A5068">
        <w:rPr>
          <w:b/>
          <w:snapToGrid w:val="0"/>
          <w:sz w:val="28"/>
          <w:szCs w:val="28"/>
        </w:rPr>
        <w:t>12</w:t>
      </w:r>
      <w:r w:rsidR="008F536D">
        <w:rPr>
          <w:b/>
          <w:snapToGrid w:val="0"/>
          <w:sz w:val="28"/>
          <w:szCs w:val="28"/>
        </w:rPr>
        <w:t>/201</w:t>
      </w:r>
      <w:r w:rsidR="00A52CAF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A5068" w:rsidRDefault="001A5068" w:rsidP="001A506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068" w:rsidRDefault="001A5068" w:rsidP="001A506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1A5068" w:rsidRPr="00814721" w:rsidRDefault="001A5068" w:rsidP="001A506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85E0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B67B8">
        <w:rPr>
          <w:snapToGrid w:val="0"/>
          <w:sz w:val="24"/>
        </w:rPr>
        <w:t>36767100</w:t>
      </w:r>
    </w:p>
    <w:p w:rsidR="003B67B8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3B67B8" w:rsidRPr="00206D3F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Brno-Líšeň</w:t>
      </w:r>
    </w:p>
    <w:p w:rsidR="003B67B8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Jírova 2, 628 00 Brno-Líšeň</w:t>
      </w:r>
    </w:p>
    <w:p w:rsidR="003B67B8" w:rsidRPr="00DC3B82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F214C4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 xml:space="preserve">: </w:t>
      </w:r>
      <w:r w:rsidRPr="006F5799">
        <w:rPr>
          <w:rFonts w:ascii="Times New Roman" w:hAnsi="Times New Roman"/>
          <w:snapToGrid w:val="0"/>
          <w:sz w:val="24"/>
        </w:rPr>
        <w:t>Mgr. Břetislavem Štefanem,</w:t>
      </w:r>
      <w:r>
        <w:rPr>
          <w:rFonts w:ascii="Times New Roman" w:hAnsi="Times New Roman"/>
          <w:snapToGrid w:val="0"/>
          <w:sz w:val="24"/>
        </w:rPr>
        <w:t xml:space="preserve"> starostou městské části</w:t>
      </w:r>
    </w:p>
    <w:p w:rsidR="003B67B8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3B67B8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3B67B8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>Městská část Brno-Líšeň, odbor správy budov,</w:t>
      </w:r>
    </w:p>
    <w:p w:rsidR="003B67B8" w:rsidRPr="006F5799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Jírova 2, 628 00 Brno</w:t>
      </w:r>
    </w:p>
    <w:p w:rsidR="003B67B8" w:rsidRPr="003721EA" w:rsidRDefault="003B67B8" w:rsidP="003B67B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F5799">
        <w:rPr>
          <w:rFonts w:ascii="Times New Roman" w:hAnsi="Times New Roman"/>
          <w:snapToGrid w:val="0"/>
          <w:sz w:val="24"/>
        </w:rPr>
        <w:t>Komerční banka, a.s.</w:t>
      </w:r>
    </w:p>
    <w:p w:rsidR="003B67B8" w:rsidRPr="00C62FB9" w:rsidRDefault="003B67B8" w:rsidP="003B67B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85E0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B67B8" w:rsidRDefault="003B67B8" w:rsidP="003B67B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316</w:t>
      </w:r>
    </w:p>
    <w:p w:rsidR="003B67B8" w:rsidRPr="00DE2BC9" w:rsidRDefault="003B67B8" w:rsidP="003B67B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B67B8" w:rsidRPr="00DE2BC9" w:rsidRDefault="003B67B8" w:rsidP="003B67B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Default="007C328F" w:rsidP="003B67B8">
      <w:pPr>
        <w:tabs>
          <w:tab w:val="left" w:pos="284"/>
        </w:tabs>
        <w:spacing w:before="240"/>
        <w:ind w:left="284" w:right="1134" w:hanging="284"/>
        <w:rPr>
          <w:snapToGrid w:val="0"/>
          <w:sz w:val="24"/>
        </w:rPr>
      </w:pPr>
    </w:p>
    <w:p w:rsidR="004E0645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4E0645" w:rsidRPr="007C328F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4C7F2B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B67B8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3B67B8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.201</w:t>
      </w:r>
      <w:r w:rsidR="00A52CAF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B67B8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52CAF">
        <w:rPr>
          <w:rFonts w:ascii="Times New Roman" w:hAnsi="Times New Roman"/>
          <w:b/>
          <w:snapToGrid w:val="0"/>
          <w:sz w:val="24"/>
          <w:szCs w:val="24"/>
        </w:rPr>
        <w:t>1</w:t>
      </w:r>
      <w:r w:rsidR="003B67B8">
        <w:rPr>
          <w:rFonts w:ascii="Times New Roman" w:hAnsi="Times New Roman"/>
          <w:b/>
          <w:snapToGrid w:val="0"/>
          <w:sz w:val="24"/>
          <w:szCs w:val="24"/>
        </w:rPr>
        <w:t>12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52CAF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52CAF" w:rsidRDefault="00A52CAF" w:rsidP="004C7F2B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783EE5" w:rsidRDefault="00366124" w:rsidP="004C7F2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783EE5">
        <w:rPr>
          <w:rFonts w:ascii="Times New Roman" w:hAnsi="Times New Roman"/>
          <w:b/>
          <w:sz w:val="24"/>
        </w:rPr>
        <w:t>.</w:t>
      </w:r>
      <w:r w:rsidR="00783EE5">
        <w:rPr>
          <w:rFonts w:ascii="Times New Roman" w:hAnsi="Times New Roman"/>
          <w:b/>
          <w:sz w:val="24"/>
        </w:rPr>
        <w:tab/>
      </w:r>
      <w:r w:rsidR="00783EE5" w:rsidRPr="002D570B">
        <w:rPr>
          <w:rFonts w:ascii="Times New Roman" w:hAnsi="Times New Roman"/>
          <w:b/>
          <w:sz w:val="24"/>
        </w:rPr>
        <w:t xml:space="preserve">Dosavadní ustanovení </w:t>
      </w:r>
      <w:r w:rsidR="00783EE5">
        <w:rPr>
          <w:rFonts w:ascii="Times New Roman" w:hAnsi="Times New Roman"/>
          <w:b/>
          <w:sz w:val="24"/>
        </w:rPr>
        <w:t>čl. IV. Cena a způsob úhrady</w:t>
      </w:r>
      <w:r w:rsidR="00783EE5" w:rsidRPr="002D570B">
        <w:rPr>
          <w:rFonts w:ascii="Times New Roman" w:hAnsi="Times New Roman"/>
          <w:b/>
          <w:sz w:val="24"/>
        </w:rPr>
        <w:t xml:space="preserve">, </w:t>
      </w:r>
      <w:r w:rsidR="00783EE5">
        <w:rPr>
          <w:rFonts w:ascii="Times New Roman" w:hAnsi="Times New Roman"/>
          <w:b/>
          <w:sz w:val="24"/>
        </w:rPr>
        <w:t>odst. 4.2.</w:t>
      </w:r>
      <w:r w:rsidR="00AD4E7B">
        <w:rPr>
          <w:rFonts w:ascii="Times New Roman" w:hAnsi="Times New Roman"/>
          <w:b/>
          <w:sz w:val="24"/>
        </w:rPr>
        <w:t>3</w:t>
      </w:r>
      <w:r w:rsidR="00783EE5">
        <w:rPr>
          <w:rFonts w:ascii="Times New Roman" w:hAnsi="Times New Roman"/>
          <w:b/>
          <w:sz w:val="24"/>
        </w:rPr>
        <w:t xml:space="preserve">, </w:t>
      </w:r>
      <w:r w:rsidR="00783EE5" w:rsidRPr="002D570B">
        <w:rPr>
          <w:rFonts w:ascii="Times New Roman" w:hAnsi="Times New Roman"/>
          <w:b/>
          <w:sz w:val="24"/>
        </w:rPr>
        <w:t xml:space="preserve">Smlouvy </w:t>
      </w:r>
      <w:r w:rsidR="00783EE5" w:rsidRPr="002D570B">
        <w:rPr>
          <w:rFonts w:ascii="Times New Roman" w:hAnsi="Times New Roman"/>
          <w:b/>
          <w:sz w:val="24"/>
          <w:u w:val="single"/>
        </w:rPr>
        <w:t>se ruší</w:t>
      </w:r>
      <w:r w:rsidR="00783EE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B67B8" w:rsidRPr="006F5799" w:rsidRDefault="003B67B8" w:rsidP="003B67B8">
      <w:pPr>
        <w:pStyle w:val="Codstavec"/>
        <w:numPr>
          <w:ilvl w:val="2"/>
          <w:numId w:val="26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6F5799">
        <w:rPr>
          <w:rFonts w:ascii="Times New Roman" w:hAnsi="Times New Roman"/>
          <w:b/>
          <w:snapToGrid w:val="0"/>
          <w:sz w:val="24"/>
        </w:rPr>
        <w:t>Statutární město Brno</w:t>
      </w:r>
      <w:r>
        <w:rPr>
          <w:rFonts w:ascii="Times New Roman" w:hAnsi="Times New Roman"/>
          <w:b/>
          <w:snapToGrid w:val="0"/>
          <w:sz w:val="24"/>
        </w:rPr>
        <w:t>,</w:t>
      </w:r>
    </w:p>
    <w:p w:rsidR="003B67B8" w:rsidRPr="00206D3F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firstLine="411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Brno-Líšeň,</w:t>
      </w:r>
    </w:p>
    <w:p w:rsidR="00783EE5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Jírova 2, 628 00 Brno-Líšeň</w:t>
      </w:r>
    </w:p>
    <w:p w:rsidR="00783EE5" w:rsidRDefault="00366124" w:rsidP="004C7F2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>.</w:t>
      </w:r>
      <w:r w:rsidR="00783EE5">
        <w:rPr>
          <w:rFonts w:ascii="Times New Roman" w:hAnsi="Times New Roman"/>
          <w:b/>
          <w:sz w:val="24"/>
        </w:rPr>
        <w:tab/>
      </w:r>
      <w:r w:rsidR="00783EE5" w:rsidRPr="002D570B">
        <w:rPr>
          <w:rFonts w:ascii="Times New Roman" w:hAnsi="Times New Roman"/>
          <w:b/>
          <w:sz w:val="24"/>
        </w:rPr>
        <w:t xml:space="preserve">Dosavadní ustanovení </w:t>
      </w:r>
      <w:r w:rsidR="00783EE5">
        <w:rPr>
          <w:rFonts w:ascii="Times New Roman" w:hAnsi="Times New Roman"/>
          <w:b/>
          <w:sz w:val="24"/>
        </w:rPr>
        <w:t>čl. IV. Cena a způsob úhrady</w:t>
      </w:r>
      <w:r w:rsidR="00783EE5" w:rsidRPr="002D570B">
        <w:rPr>
          <w:rFonts w:ascii="Times New Roman" w:hAnsi="Times New Roman"/>
          <w:b/>
          <w:sz w:val="24"/>
        </w:rPr>
        <w:t xml:space="preserve">, </w:t>
      </w:r>
      <w:r w:rsidR="00783EE5">
        <w:rPr>
          <w:rFonts w:ascii="Times New Roman" w:hAnsi="Times New Roman"/>
          <w:b/>
          <w:sz w:val="24"/>
        </w:rPr>
        <w:t>odst. 4.2.</w:t>
      </w:r>
      <w:r w:rsidR="00AD4E7B">
        <w:rPr>
          <w:rFonts w:ascii="Times New Roman" w:hAnsi="Times New Roman"/>
          <w:b/>
          <w:sz w:val="24"/>
        </w:rPr>
        <w:t>3</w:t>
      </w:r>
      <w:r w:rsidR="00783EE5">
        <w:rPr>
          <w:rFonts w:ascii="Times New Roman" w:hAnsi="Times New Roman"/>
          <w:b/>
          <w:sz w:val="24"/>
        </w:rPr>
        <w:t xml:space="preserve">, </w:t>
      </w:r>
      <w:r w:rsidR="00783EE5" w:rsidRPr="002D570B">
        <w:rPr>
          <w:rFonts w:ascii="Times New Roman" w:hAnsi="Times New Roman"/>
          <w:b/>
          <w:sz w:val="24"/>
        </w:rPr>
        <w:t xml:space="preserve">Smlouvy </w:t>
      </w:r>
      <w:r w:rsidR="00783EE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83EE5">
        <w:rPr>
          <w:rFonts w:ascii="Times New Roman" w:hAnsi="Times New Roman"/>
          <w:b/>
          <w:sz w:val="24"/>
          <w:u w:val="single"/>
        </w:rPr>
        <w:t>nahrazuje</w:t>
      </w:r>
      <w:r w:rsidR="00783EE5" w:rsidRPr="002D570B">
        <w:rPr>
          <w:rFonts w:ascii="Times New Roman" w:hAnsi="Times New Roman"/>
          <w:b/>
          <w:sz w:val="24"/>
        </w:rPr>
        <w:t xml:space="preserve"> v tomto úplném </w:t>
      </w:r>
      <w:r w:rsidR="00783EE5">
        <w:rPr>
          <w:rFonts w:ascii="Times New Roman" w:hAnsi="Times New Roman"/>
          <w:b/>
          <w:sz w:val="24"/>
        </w:rPr>
        <w:t xml:space="preserve">novém </w:t>
      </w:r>
      <w:r w:rsidR="00783EE5" w:rsidRPr="002D570B">
        <w:rPr>
          <w:rFonts w:ascii="Times New Roman" w:hAnsi="Times New Roman"/>
          <w:b/>
          <w:sz w:val="24"/>
        </w:rPr>
        <w:t>znění:</w:t>
      </w:r>
    </w:p>
    <w:p w:rsidR="003B67B8" w:rsidRPr="006F5799" w:rsidRDefault="003B67B8" w:rsidP="003B67B8">
      <w:pPr>
        <w:pStyle w:val="Codstavec"/>
        <w:numPr>
          <w:ilvl w:val="2"/>
          <w:numId w:val="27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6F5799">
        <w:rPr>
          <w:rFonts w:ascii="Times New Roman" w:hAnsi="Times New Roman"/>
          <w:b/>
          <w:snapToGrid w:val="0"/>
          <w:sz w:val="24"/>
        </w:rPr>
        <w:t>Statutární město Brno</w:t>
      </w:r>
      <w:r>
        <w:rPr>
          <w:rFonts w:ascii="Times New Roman" w:hAnsi="Times New Roman"/>
          <w:b/>
          <w:snapToGrid w:val="0"/>
          <w:sz w:val="24"/>
        </w:rPr>
        <w:t>,</w:t>
      </w:r>
    </w:p>
    <w:p w:rsidR="003B67B8" w:rsidRPr="00206D3F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firstLine="411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Brno-Líšeň, odbor správy budov</w:t>
      </w:r>
      <w:r w:rsidR="004C7F2B">
        <w:rPr>
          <w:rFonts w:ascii="Times New Roman" w:hAnsi="Times New Roman"/>
          <w:b/>
          <w:snapToGrid w:val="0"/>
          <w:sz w:val="24"/>
        </w:rPr>
        <w:t>,</w:t>
      </w:r>
    </w:p>
    <w:p w:rsidR="00783EE5" w:rsidRPr="003B67B8" w:rsidRDefault="003B67B8" w:rsidP="003B67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Jírova 2, 628 00 Brno</w:t>
      </w:r>
    </w:p>
    <w:p w:rsidR="00366124" w:rsidRDefault="00366124" w:rsidP="004C7F2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66124" w:rsidRDefault="00366124" w:rsidP="00B5266E">
      <w:pPr>
        <w:pStyle w:val="Codstavec"/>
        <w:tabs>
          <w:tab w:val="left" w:pos="567"/>
        </w:tabs>
        <w:spacing w:before="120"/>
        <w:ind w:left="708" w:right="23" w:hanging="708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="00B5266E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366124" w:rsidRDefault="00366124" w:rsidP="004C7F2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C632E9" w:rsidRDefault="00366124" w:rsidP="00B5266E">
      <w:pPr>
        <w:pStyle w:val="Codstavec"/>
        <w:spacing w:before="120"/>
        <w:ind w:left="708" w:hanging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</w:t>
      </w:r>
    </w:p>
    <w:p w:rsidR="00C632E9" w:rsidRDefault="00C632E9" w:rsidP="00B5266E">
      <w:pPr>
        <w:pStyle w:val="Codstavec"/>
        <w:spacing w:before="120"/>
        <w:ind w:left="708" w:hanging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632E9" w:rsidRDefault="00C632E9" w:rsidP="00C632E9">
      <w:pPr>
        <w:pStyle w:val="Codstavec"/>
        <w:spacing w:before="120"/>
        <w:ind w:left="708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66124" w:rsidRDefault="00366124" w:rsidP="00C632E9">
      <w:pPr>
        <w:pStyle w:val="Codstavec"/>
        <w:spacing w:before="120"/>
        <w:ind w:left="708" w:firstLine="0"/>
        <w:jc w:val="both"/>
        <w:rPr>
          <w:rFonts w:ascii="Times New Roman" w:hAnsi="Times New Roman"/>
          <w:kern w:val="28"/>
          <w:sz w:val="24"/>
          <w:szCs w:val="24"/>
        </w:rPr>
      </w:pPr>
      <w:r w:rsidRPr="007E0297">
        <w:rPr>
          <w:rFonts w:ascii="Times New Roman" w:hAnsi="Times New Roman"/>
          <w:kern w:val="28"/>
          <w:sz w:val="24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90644A" w:rsidRDefault="00366124" w:rsidP="004C7F2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3B67B8" w:rsidRPr="00DE2BC9" w:rsidRDefault="003B67B8" w:rsidP="003B67B8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3B67B8" w:rsidRPr="00DE2BC9" w:rsidRDefault="003B67B8" w:rsidP="003B67B8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:rsidR="003B67B8" w:rsidRDefault="00F85E02" w:rsidP="003B67B8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366124" w:rsidP="004C7F2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3B67B8" w:rsidRPr="00DE2BC9" w:rsidRDefault="003B67B8" w:rsidP="003B67B8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3B67B8" w:rsidRPr="00DE2BC9" w:rsidRDefault="003B67B8" w:rsidP="003B67B8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:rsidR="003B67B8" w:rsidRDefault="00F85E02" w:rsidP="003B67B8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:rsidR="00F663E7" w:rsidRPr="00DB577C" w:rsidRDefault="00366124" w:rsidP="004C7F2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9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366124" w:rsidP="004C7F2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10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66124" w:rsidP="004C7F2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 xml:space="preserve">V </w:t>
      </w:r>
      <w:r w:rsidR="00F73823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73823">
        <w:rPr>
          <w:rFonts w:ascii="Times New Roman" w:hAnsi="Times New Roman"/>
          <w:snapToGrid w:val="0"/>
          <w:sz w:val="24"/>
        </w:rPr>
        <w:t>Mgr. Břetislav Štefan</w:t>
      </w:r>
    </w:p>
    <w:p w:rsidR="001A5068" w:rsidRDefault="001A5068" w:rsidP="001A506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F73823">
        <w:rPr>
          <w:rFonts w:ascii="Times New Roman" w:hAnsi="Times New Roman"/>
          <w:snapToGrid w:val="0"/>
          <w:sz w:val="24"/>
        </w:rPr>
        <w:tab/>
        <w:t>starosta městské části</w:t>
      </w:r>
    </w:p>
    <w:p w:rsidR="001A5068" w:rsidRDefault="001A5068" w:rsidP="001A506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EF0FD7" w:rsidRDefault="00EF0FD7" w:rsidP="001A506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1A5068">
      <w:rPr>
        <w:sz w:val="16"/>
      </w:rPr>
      <w:t>6</w:t>
    </w:r>
    <w:proofErr w:type="gramEnd"/>
    <w:r w:rsidR="002F71B9">
      <w:rPr>
        <w:sz w:val="16"/>
      </w:rPr>
      <w:t xml:space="preserve"> –</w:t>
    </w:r>
    <w:proofErr w:type="gramStart"/>
    <w:r w:rsidR="00A52CAF">
      <w:rPr>
        <w:sz w:val="16"/>
      </w:rPr>
      <w:t>1</w:t>
    </w:r>
    <w:r w:rsidR="001A5068">
      <w:rPr>
        <w:sz w:val="16"/>
      </w:rPr>
      <w:t>12</w:t>
    </w:r>
    <w:r w:rsidR="008F536D">
      <w:rPr>
        <w:sz w:val="16"/>
      </w:rPr>
      <w:t>/201</w:t>
    </w:r>
    <w:r w:rsidR="00A52CAF">
      <w:rPr>
        <w:sz w:val="16"/>
      </w:rPr>
      <w:t>5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85E02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B7763"/>
    <w:multiLevelType w:val="multilevel"/>
    <w:tmpl w:val="C77804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0E17F4"/>
    <w:multiLevelType w:val="multilevel"/>
    <w:tmpl w:val="22F8E4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0"/>
  </w:num>
  <w:num w:numId="5">
    <w:abstractNumId w:val="7"/>
  </w:num>
  <w:num w:numId="6">
    <w:abstractNumId w:val="18"/>
  </w:num>
  <w:num w:numId="7">
    <w:abstractNumId w:val="4"/>
  </w:num>
  <w:num w:numId="8">
    <w:abstractNumId w:val="12"/>
  </w:num>
  <w:num w:numId="9">
    <w:abstractNumId w:val="1"/>
  </w:num>
  <w:num w:numId="10">
    <w:abstractNumId w:val="17"/>
  </w:num>
  <w:num w:numId="11">
    <w:abstractNumId w:val="15"/>
  </w:num>
  <w:num w:numId="12">
    <w:abstractNumId w:val="26"/>
  </w:num>
  <w:num w:numId="13">
    <w:abstractNumId w:val="8"/>
  </w:num>
  <w:num w:numId="14">
    <w:abstractNumId w:val="22"/>
  </w:num>
  <w:num w:numId="15">
    <w:abstractNumId w:val="14"/>
  </w:num>
  <w:num w:numId="16">
    <w:abstractNumId w:val="11"/>
  </w:num>
  <w:num w:numId="17">
    <w:abstractNumId w:val="2"/>
  </w:num>
  <w:num w:numId="18">
    <w:abstractNumId w:val="25"/>
  </w:num>
  <w:num w:numId="19">
    <w:abstractNumId w:val="3"/>
  </w:num>
  <w:num w:numId="20">
    <w:abstractNumId w:val="13"/>
  </w:num>
  <w:num w:numId="21">
    <w:abstractNumId w:val="23"/>
  </w:num>
  <w:num w:numId="22">
    <w:abstractNumId w:val="24"/>
  </w:num>
  <w:num w:numId="23">
    <w:abstractNumId w:val="20"/>
  </w:num>
  <w:num w:numId="24">
    <w:abstractNumId w:val="21"/>
  </w:num>
  <w:num w:numId="25">
    <w:abstractNumId w:val="10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5068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B67B8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C7F2B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2735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E7B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14C4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3823"/>
    <w:rsid w:val="00F76C6E"/>
    <w:rsid w:val="00F854D2"/>
    <w:rsid w:val="00F85E02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BBB575"/>
  <w15:docId w15:val="{2BC2CFE9-9926-483F-98D7-BF0826F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2019-07-02T11:02:00Z</cp:lastPrinted>
  <dcterms:created xsi:type="dcterms:W3CDTF">2019-07-22T12:37:00Z</dcterms:created>
  <dcterms:modified xsi:type="dcterms:W3CDTF">2019-07-22T12:38:00Z</dcterms:modified>
</cp:coreProperties>
</file>