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03" w:rsidRDefault="00FA3FC7">
      <w:pPr>
        <w:pStyle w:val="Styl2popisknzvusmlouvy"/>
        <w:spacing w:after="480"/>
        <w:jc w:val="right"/>
      </w:pPr>
      <w:proofErr w:type="gramStart"/>
      <w:r>
        <w:t>č.j.</w:t>
      </w:r>
      <w:proofErr w:type="gramEnd"/>
      <w:r>
        <w:t xml:space="preserve"> 4348/SFDI/310157/8154/2019</w:t>
      </w:r>
    </w:p>
    <w:p w:rsidR="00CD0C03" w:rsidRDefault="00FA3FC7">
      <w:pPr>
        <w:pStyle w:val="Styl2popisknzvusmlouvy"/>
        <w:spacing w:after="480"/>
        <w:jc w:val="right"/>
      </w:pPr>
      <w:r>
        <w:t xml:space="preserve">CES: </w:t>
      </w:r>
      <w:r w:rsidR="009D77FD" w:rsidRPr="005E2B21">
        <w:t>22/201</w:t>
      </w:r>
      <w:r w:rsidRPr="001D4A22">
        <w:t>9</w:t>
      </w:r>
    </w:p>
    <w:p w:rsidR="00CD0C03" w:rsidRDefault="00CD0C03">
      <w:pPr>
        <w:pStyle w:val="Zhlav"/>
        <w:spacing w:after="0"/>
        <w:jc w:val="right"/>
      </w:pPr>
    </w:p>
    <w:p w:rsidR="00CD0C03" w:rsidRDefault="00CD0C03">
      <w:pPr>
        <w:pStyle w:val="Zhlav"/>
        <w:spacing w:after="0"/>
        <w:jc w:val="right"/>
      </w:pPr>
    </w:p>
    <w:p w:rsidR="00CD0C03" w:rsidRDefault="00FA3FC7">
      <w:pPr>
        <w:pStyle w:val="Zhlav"/>
        <w:spacing w:after="0"/>
        <w:jc w:val="center"/>
        <w:rPr>
          <w:b/>
          <w:sz w:val="48"/>
          <w:szCs w:val="48"/>
        </w:rPr>
      </w:pPr>
      <w:r>
        <w:rPr>
          <w:b/>
          <w:sz w:val="48"/>
          <w:szCs w:val="48"/>
        </w:rPr>
        <w:t>KUPNÍ SMLOUVA</w:t>
      </w:r>
    </w:p>
    <w:p w:rsidR="00CD0C03" w:rsidRDefault="00FA3FC7">
      <w:pPr>
        <w:pStyle w:val="Zhlav"/>
        <w:spacing w:after="0"/>
        <w:jc w:val="center"/>
        <w:rPr>
          <w:b/>
          <w:sz w:val="48"/>
          <w:szCs w:val="48"/>
        </w:rPr>
      </w:pPr>
      <w:r>
        <w:rPr>
          <w:b/>
          <w:sz w:val="48"/>
          <w:szCs w:val="48"/>
        </w:rPr>
        <w:t xml:space="preserve">na dodání vozidel na elektrický pohon </w:t>
      </w:r>
    </w:p>
    <w:p w:rsidR="00CD0C03" w:rsidRDefault="00FA3FC7">
      <w:pPr>
        <w:pStyle w:val="Zhlav"/>
        <w:jc w:val="center"/>
        <w:rPr>
          <w:b/>
          <w:sz w:val="48"/>
          <w:szCs w:val="48"/>
        </w:rPr>
      </w:pPr>
      <w:r>
        <w:rPr>
          <w:b/>
          <w:sz w:val="48"/>
          <w:szCs w:val="48"/>
        </w:rPr>
        <w:t>a poskytování záručního servisu</w:t>
      </w:r>
    </w:p>
    <w:p w:rsidR="00CD0C03" w:rsidRDefault="00FA3FC7">
      <w:pPr>
        <w:pStyle w:val="Zhlav"/>
        <w:spacing w:after="0"/>
        <w:jc w:val="center"/>
      </w:pPr>
      <w:r>
        <w:t xml:space="preserve">uzavřená </w:t>
      </w:r>
      <w:proofErr w:type="gramStart"/>
      <w:r>
        <w:t>mezi</w:t>
      </w:r>
      <w:proofErr w:type="gramEnd"/>
    </w:p>
    <w:p w:rsidR="00CD0C03" w:rsidRDefault="00CD0C03">
      <w:pPr>
        <w:pStyle w:val="Zhlav"/>
        <w:spacing w:after="0"/>
        <w:jc w:val="center"/>
      </w:pPr>
    </w:p>
    <w:p w:rsidR="00CD0C03" w:rsidRDefault="00CD0C03">
      <w:pPr>
        <w:pStyle w:val="Zhlav"/>
        <w:spacing w:after="0"/>
        <w:jc w:val="center"/>
      </w:pPr>
    </w:p>
    <w:p w:rsidR="00CD0C03" w:rsidRDefault="00FA3FC7">
      <w:pPr>
        <w:pStyle w:val="Odstavecseseznamem"/>
        <w:numPr>
          <w:ilvl w:val="0"/>
          <w:numId w:val="3"/>
        </w:numPr>
        <w:ind w:left="567" w:hanging="567"/>
        <w:rPr>
          <w:rFonts w:cs="Arial"/>
          <w:b/>
        </w:rPr>
      </w:pPr>
      <w:r>
        <w:rPr>
          <w:rFonts w:cs="Arial"/>
          <w:b/>
        </w:rPr>
        <w:t>Státní fond dopravní infrastruktury</w:t>
      </w:r>
    </w:p>
    <w:p w:rsidR="00CD0C03" w:rsidRDefault="00FA3FC7">
      <w:pPr>
        <w:ind w:firstLine="567"/>
        <w:rPr>
          <w:snapToGrid w:val="0"/>
        </w:rPr>
      </w:pPr>
      <w:r>
        <w:rPr>
          <w:snapToGrid w:val="0"/>
        </w:rPr>
        <w:t xml:space="preserve">se sídlem: </w:t>
      </w:r>
      <w:r>
        <w:rPr>
          <w:rFonts w:cs="Arial"/>
        </w:rPr>
        <w:t>Sokolovská 1955/278. 190 00 Praha 9</w:t>
      </w:r>
    </w:p>
    <w:p w:rsidR="00CD0C03" w:rsidRDefault="00FA3FC7">
      <w:pPr>
        <w:ind w:firstLine="567"/>
        <w:rPr>
          <w:snapToGrid w:val="0"/>
        </w:rPr>
      </w:pPr>
      <w:r>
        <w:rPr>
          <w:snapToGrid w:val="0"/>
        </w:rPr>
        <w:t xml:space="preserve">za níž jedná: </w:t>
      </w:r>
      <w:r>
        <w:rPr>
          <w:rFonts w:cs="Arial"/>
        </w:rPr>
        <w:t>Ing. Zbyněk Hořelica, ředitel</w:t>
      </w:r>
    </w:p>
    <w:p w:rsidR="00CD0C03" w:rsidRDefault="00FA3FC7">
      <w:pPr>
        <w:ind w:firstLine="567"/>
        <w:rPr>
          <w:snapToGrid w:val="0"/>
        </w:rPr>
      </w:pPr>
      <w:r>
        <w:rPr>
          <w:snapToGrid w:val="0"/>
        </w:rPr>
        <w:t xml:space="preserve">IČO: </w:t>
      </w:r>
      <w:r>
        <w:rPr>
          <w:rFonts w:cs="Arial"/>
        </w:rPr>
        <w:t>70856508</w:t>
      </w:r>
    </w:p>
    <w:p w:rsidR="00CD0C03" w:rsidRDefault="00FA3FC7">
      <w:pPr>
        <w:ind w:firstLine="567"/>
        <w:rPr>
          <w:snapToGrid w:val="0"/>
        </w:rPr>
      </w:pPr>
      <w:r>
        <w:rPr>
          <w:snapToGrid w:val="0"/>
        </w:rPr>
        <w:t xml:space="preserve">DIČ: </w:t>
      </w:r>
      <w:r>
        <w:rPr>
          <w:rFonts w:cs="Arial"/>
        </w:rPr>
        <w:t>CZ70856508</w:t>
      </w:r>
    </w:p>
    <w:p w:rsidR="00CD0C03" w:rsidRDefault="00FA3FC7">
      <w:pPr>
        <w:ind w:left="567"/>
        <w:rPr>
          <w:rFonts w:cs="Arial"/>
        </w:rPr>
      </w:pPr>
      <w:r>
        <w:rPr>
          <w:rFonts w:cs="Arial"/>
          <w:snapToGrid w:val="0"/>
          <w:szCs w:val="20"/>
        </w:rPr>
        <w:t xml:space="preserve">bankovní spojení vč. č. účtu: </w:t>
      </w:r>
      <w:r w:rsidR="00C9290E">
        <w:t>XXXXX</w:t>
      </w:r>
    </w:p>
    <w:p w:rsidR="00CD0C03" w:rsidRDefault="00FA3FC7">
      <w:pPr>
        <w:ind w:firstLine="567"/>
        <w:rPr>
          <w:snapToGrid w:val="0"/>
        </w:rPr>
      </w:pPr>
      <w:r>
        <w:rPr>
          <w:snapToGrid w:val="0"/>
        </w:rPr>
        <w:t xml:space="preserve">ID datové schránky:  </w:t>
      </w:r>
      <w:r>
        <w:t>e5qaihb</w:t>
      </w:r>
    </w:p>
    <w:p w:rsidR="00CD0C03" w:rsidRDefault="00FA3FC7">
      <w:pPr>
        <w:spacing w:after="60"/>
        <w:ind w:firstLine="567"/>
        <w:rPr>
          <w:snapToGrid w:val="0"/>
        </w:rPr>
      </w:pPr>
      <w:r>
        <w:rPr>
          <w:snapToGrid w:val="0"/>
        </w:rPr>
        <w:t>na straně jedné (dále jen „</w:t>
      </w:r>
      <w:r>
        <w:rPr>
          <w:b/>
          <w:snapToGrid w:val="0"/>
        </w:rPr>
        <w:t>Kupující</w:t>
      </w:r>
      <w:r>
        <w:rPr>
          <w:snapToGrid w:val="0"/>
        </w:rPr>
        <w:t>“)</w:t>
      </w:r>
    </w:p>
    <w:p w:rsidR="00CD0C03" w:rsidRDefault="00FA3FC7">
      <w:pPr>
        <w:spacing w:after="60"/>
        <w:ind w:firstLine="567"/>
        <w:rPr>
          <w:snapToGrid w:val="0"/>
        </w:rPr>
      </w:pPr>
      <w:r>
        <w:rPr>
          <w:snapToGrid w:val="0"/>
        </w:rPr>
        <w:t>a</w:t>
      </w:r>
    </w:p>
    <w:p w:rsidR="00CD0C03" w:rsidRDefault="00FA3FC7">
      <w:pPr>
        <w:pStyle w:val="Odstavecseseznamem"/>
        <w:numPr>
          <w:ilvl w:val="0"/>
          <w:numId w:val="3"/>
        </w:numPr>
        <w:ind w:left="567" w:hanging="567"/>
        <w:rPr>
          <w:snapToGrid w:val="0"/>
        </w:rPr>
      </w:pPr>
      <w:r>
        <w:rPr>
          <w:rFonts w:cs="Arial"/>
          <w:b/>
        </w:rPr>
        <w:t>Hyundai Motor Czech s.r.o.</w:t>
      </w:r>
    </w:p>
    <w:p w:rsidR="00CD0C03" w:rsidRDefault="00FA3FC7">
      <w:pPr>
        <w:ind w:firstLine="567"/>
        <w:rPr>
          <w:rFonts w:cs="Arial"/>
          <w:snapToGrid w:val="0"/>
        </w:rPr>
      </w:pPr>
      <w:r>
        <w:rPr>
          <w:snapToGrid w:val="0"/>
        </w:rPr>
        <w:t>se sídlem</w:t>
      </w:r>
      <w:r>
        <w:rPr>
          <w:rFonts w:cs="Arial"/>
          <w:snapToGrid w:val="0"/>
          <w:szCs w:val="20"/>
        </w:rPr>
        <w:t xml:space="preserve">: </w:t>
      </w:r>
      <w:proofErr w:type="spellStart"/>
      <w:r>
        <w:rPr>
          <w:rFonts w:cs="Arial"/>
        </w:rPr>
        <w:t>Siemensova</w:t>
      </w:r>
      <w:proofErr w:type="spellEnd"/>
      <w:r>
        <w:rPr>
          <w:rFonts w:cs="Arial"/>
        </w:rPr>
        <w:t xml:space="preserve"> 2717/4, 155 00 Praha 5</w:t>
      </w:r>
    </w:p>
    <w:p w:rsidR="00CD0C03" w:rsidRDefault="00FA3FC7">
      <w:pPr>
        <w:ind w:left="567"/>
        <w:rPr>
          <w:snapToGrid w:val="0"/>
        </w:rPr>
      </w:pPr>
      <w:r>
        <w:rPr>
          <w:snapToGrid w:val="0"/>
        </w:rPr>
        <w:t xml:space="preserve">zapsaná v Obchodním rejstříku vedeném </w:t>
      </w:r>
      <w:r>
        <w:rPr>
          <w:rFonts w:cs="Arial"/>
        </w:rPr>
        <w:t xml:space="preserve">Městským soudem v Praze </w:t>
      </w:r>
      <w:r>
        <w:rPr>
          <w:snapToGrid w:val="0"/>
        </w:rPr>
        <w:t xml:space="preserve">pod spisovou značkou </w:t>
      </w:r>
      <w:r>
        <w:rPr>
          <w:rFonts w:cs="Arial"/>
        </w:rPr>
        <w:t>C 138784</w:t>
      </w:r>
    </w:p>
    <w:p w:rsidR="00CD0C03" w:rsidRDefault="00FA3FC7">
      <w:pPr>
        <w:ind w:left="567"/>
        <w:jc w:val="left"/>
        <w:rPr>
          <w:snapToGrid w:val="0"/>
        </w:rPr>
      </w:pPr>
      <w:r>
        <w:rPr>
          <w:snapToGrid w:val="0"/>
        </w:rPr>
        <w:t xml:space="preserve">zastoupená: </w:t>
      </w:r>
    </w:p>
    <w:p w:rsidR="00CD0C03" w:rsidRDefault="00FA3FC7">
      <w:pPr>
        <w:tabs>
          <w:tab w:val="left" w:pos="1701"/>
        </w:tabs>
        <w:ind w:left="1701"/>
        <w:jc w:val="left"/>
        <w:rPr>
          <w:snapToGrid w:val="0"/>
        </w:rPr>
      </w:pPr>
      <w:r>
        <w:rPr>
          <w:snapToGrid w:val="0"/>
        </w:rPr>
        <w:t xml:space="preserve">Martinem Krobem – </w:t>
      </w:r>
      <w:proofErr w:type="spellStart"/>
      <w:r>
        <w:rPr>
          <w:snapToGrid w:val="0"/>
        </w:rPr>
        <w:t>Governmental</w:t>
      </w:r>
      <w:proofErr w:type="spellEnd"/>
      <w:r>
        <w:rPr>
          <w:snapToGrid w:val="0"/>
        </w:rPr>
        <w:t xml:space="preserve"> Sales </w:t>
      </w:r>
      <w:proofErr w:type="spellStart"/>
      <w:r>
        <w:rPr>
          <w:snapToGrid w:val="0"/>
        </w:rPr>
        <w:t>Managerem</w:t>
      </w:r>
      <w:proofErr w:type="spellEnd"/>
      <w:r>
        <w:rPr>
          <w:snapToGrid w:val="0"/>
        </w:rPr>
        <w:t xml:space="preserve"> – zmocněným k uzavírání </w:t>
      </w:r>
      <w:r>
        <w:rPr>
          <w:snapToGrid w:val="0"/>
        </w:rPr>
        <w:br/>
        <w:t xml:space="preserve">                                 smluv na základě plné moci</w:t>
      </w:r>
    </w:p>
    <w:p w:rsidR="00CD0C03" w:rsidRDefault="00FA3FC7">
      <w:pPr>
        <w:ind w:left="567"/>
        <w:rPr>
          <w:rFonts w:cs="Arial"/>
          <w:snapToGrid w:val="0"/>
          <w:szCs w:val="20"/>
        </w:rPr>
      </w:pPr>
      <w:r>
        <w:rPr>
          <w:rFonts w:cs="Arial"/>
          <w:snapToGrid w:val="0"/>
          <w:szCs w:val="20"/>
        </w:rPr>
        <w:t xml:space="preserve">IČO: </w:t>
      </w:r>
      <w:r>
        <w:rPr>
          <w:rFonts w:cs="Arial"/>
        </w:rPr>
        <w:t>28399757</w:t>
      </w:r>
    </w:p>
    <w:p w:rsidR="00CD0C03" w:rsidRDefault="00FA3FC7">
      <w:pPr>
        <w:ind w:firstLine="567"/>
        <w:rPr>
          <w:rFonts w:cs="Arial"/>
          <w:snapToGrid w:val="0"/>
          <w:szCs w:val="20"/>
        </w:rPr>
      </w:pPr>
      <w:r>
        <w:rPr>
          <w:rFonts w:cs="Arial"/>
          <w:snapToGrid w:val="0"/>
          <w:szCs w:val="20"/>
        </w:rPr>
        <w:t xml:space="preserve">DIČ: </w:t>
      </w:r>
      <w:r>
        <w:rPr>
          <w:rFonts w:cs="Arial"/>
        </w:rPr>
        <w:t>CZ28399757</w:t>
      </w:r>
      <w:r>
        <w:rPr>
          <w:rFonts w:cs="Arial"/>
          <w:szCs w:val="20"/>
        </w:rPr>
        <w:t xml:space="preserve"> </w:t>
      </w:r>
      <w:r>
        <w:rPr>
          <w:rFonts w:cs="Arial"/>
          <w:color w:val="FF0000"/>
          <w:szCs w:val="20"/>
        </w:rPr>
        <w:t xml:space="preserve"> </w:t>
      </w:r>
    </w:p>
    <w:p w:rsidR="00CD0C03" w:rsidRDefault="00FA3FC7">
      <w:pPr>
        <w:ind w:left="567"/>
        <w:rPr>
          <w:rFonts w:cs="Arial"/>
        </w:rPr>
      </w:pPr>
      <w:r>
        <w:rPr>
          <w:rFonts w:cs="Arial"/>
          <w:snapToGrid w:val="0"/>
          <w:szCs w:val="20"/>
        </w:rPr>
        <w:t xml:space="preserve">bankovní spojení vč. č. účtu: </w:t>
      </w:r>
      <w:r w:rsidR="00C9290E">
        <w:rPr>
          <w:rFonts w:cs="Arial"/>
        </w:rPr>
        <w:t>XXXXX</w:t>
      </w:r>
    </w:p>
    <w:p w:rsidR="00CD0C03" w:rsidRDefault="00FA3FC7">
      <w:pPr>
        <w:ind w:firstLine="567"/>
        <w:rPr>
          <w:snapToGrid w:val="0"/>
        </w:rPr>
      </w:pPr>
      <w:r>
        <w:rPr>
          <w:snapToGrid w:val="0"/>
        </w:rPr>
        <w:t xml:space="preserve">ID datové schránky: </w:t>
      </w:r>
      <w:r>
        <w:rPr>
          <w:rFonts w:cs="Arial"/>
          <w:szCs w:val="20"/>
        </w:rPr>
        <w:t>vb8a87w</w:t>
      </w:r>
      <w:r>
        <w:rPr>
          <w:rFonts w:cs="Arial"/>
        </w:rPr>
        <w:t xml:space="preserve"> </w:t>
      </w:r>
    </w:p>
    <w:p w:rsidR="00CD0C03" w:rsidRDefault="00FA3FC7">
      <w:pPr>
        <w:ind w:firstLine="567"/>
        <w:rPr>
          <w:rFonts w:cs="Arial"/>
          <w:snapToGrid w:val="0"/>
          <w:szCs w:val="20"/>
        </w:rPr>
      </w:pPr>
      <w:r>
        <w:rPr>
          <w:rFonts w:cs="Arial"/>
          <w:snapToGrid w:val="0"/>
          <w:szCs w:val="20"/>
        </w:rPr>
        <w:t>na straně druhé (dále jen „</w:t>
      </w:r>
      <w:r>
        <w:rPr>
          <w:rFonts w:cs="Arial"/>
          <w:b/>
          <w:snapToGrid w:val="0"/>
          <w:szCs w:val="20"/>
        </w:rPr>
        <w:t>Prodávající</w:t>
      </w:r>
      <w:r>
        <w:rPr>
          <w:rFonts w:cs="Arial"/>
          <w:snapToGrid w:val="0"/>
          <w:szCs w:val="20"/>
        </w:rPr>
        <w:t>“)</w:t>
      </w:r>
    </w:p>
    <w:p w:rsidR="00CD0C03" w:rsidRDefault="00FA3FC7">
      <w:pPr>
        <w:spacing w:after="240"/>
        <w:ind w:firstLine="567"/>
        <w:rPr>
          <w:snapToGrid w:val="0"/>
          <w:sz w:val="24"/>
          <w:szCs w:val="24"/>
        </w:rPr>
      </w:pPr>
      <w:r>
        <w:rPr>
          <w:rFonts w:cs="Arial"/>
        </w:rPr>
        <w:t>(společně dále jen „</w:t>
      </w:r>
      <w:r>
        <w:rPr>
          <w:rFonts w:cs="Arial"/>
          <w:b/>
        </w:rPr>
        <w:t>Smluvní strany</w:t>
      </w:r>
      <w:r>
        <w:rPr>
          <w:rFonts w:cs="Arial"/>
        </w:rPr>
        <w:t>“ nebo jednotlivě také jen „</w:t>
      </w:r>
      <w:r>
        <w:rPr>
          <w:rFonts w:cs="Arial"/>
          <w:b/>
        </w:rPr>
        <w:t>Smluvní strana</w:t>
      </w:r>
      <w:r>
        <w:rPr>
          <w:rFonts w:cs="Arial"/>
        </w:rPr>
        <w:t>“)</w:t>
      </w:r>
    </w:p>
    <w:p w:rsidR="00CD0C03" w:rsidRDefault="00FA3FC7">
      <w:pPr>
        <w:rPr>
          <w:snapToGrid w:val="0"/>
        </w:rPr>
      </w:pPr>
      <w:r>
        <w:rPr>
          <w:snapToGrid w:val="0"/>
        </w:rPr>
        <w:t xml:space="preserve">Smluvní strany uzavřely níže uvedeného dne, měsíce a roku v souladu s § 2079 a násl. zákona </w:t>
      </w:r>
      <w:r>
        <w:rPr>
          <w:snapToGrid w:val="0"/>
        </w:rPr>
        <w:br/>
        <w:t>č. 89/2012 Sb., občanský zákoník, ve znění pozdějších předpisů (dále jen „</w:t>
      </w:r>
      <w:r>
        <w:rPr>
          <w:b/>
          <w:snapToGrid w:val="0"/>
        </w:rPr>
        <w:t>Občanský zákoník</w:t>
      </w:r>
      <w:r>
        <w:rPr>
          <w:snapToGrid w:val="0"/>
        </w:rPr>
        <w:t xml:space="preserve">“) </w:t>
      </w:r>
      <w:r>
        <w:rPr>
          <w:snapToGrid w:val="0"/>
        </w:rPr>
        <w:br/>
      </w:r>
      <w:r>
        <w:rPr>
          <w:snapToGrid w:val="0"/>
        </w:rPr>
        <w:lastRenderedPageBreak/>
        <w:t>a v souladu se zákonem č. 134/2016 Sb., o zadávání veřejných zakázek, ve znění pozdějších předpisů (dále jen „</w:t>
      </w:r>
      <w:r>
        <w:rPr>
          <w:b/>
          <w:snapToGrid w:val="0"/>
        </w:rPr>
        <w:t>Zákon o zadávání veřejných zakázek</w:t>
      </w:r>
      <w:r>
        <w:rPr>
          <w:snapToGrid w:val="0"/>
        </w:rPr>
        <w:t xml:space="preserve">“) tuto </w:t>
      </w:r>
    </w:p>
    <w:p w:rsidR="00CD0C03" w:rsidRDefault="00FA3FC7">
      <w:pPr>
        <w:spacing w:after="0"/>
        <w:jc w:val="center"/>
        <w:rPr>
          <w:snapToGrid w:val="0"/>
        </w:rPr>
      </w:pPr>
      <w:r>
        <w:rPr>
          <w:snapToGrid w:val="0"/>
        </w:rPr>
        <w:t>kupní smlouvu na dodání vozidla na elektrický pohon a poskytování záručního servisu</w:t>
      </w:r>
    </w:p>
    <w:p w:rsidR="00CD0C03" w:rsidRDefault="00FA3FC7">
      <w:pPr>
        <w:spacing w:after="0"/>
        <w:jc w:val="center"/>
        <w:rPr>
          <w:snapToGrid w:val="0"/>
        </w:rPr>
      </w:pPr>
      <w:r>
        <w:rPr>
          <w:snapToGrid w:val="0"/>
        </w:rPr>
        <w:t>(dále jen „</w:t>
      </w:r>
      <w:r>
        <w:rPr>
          <w:b/>
          <w:snapToGrid w:val="0"/>
        </w:rPr>
        <w:t>Smlouva</w:t>
      </w:r>
      <w:r>
        <w:rPr>
          <w:snapToGrid w:val="0"/>
        </w:rPr>
        <w:t>“)</w:t>
      </w:r>
    </w:p>
    <w:p w:rsidR="00CD0C03" w:rsidRDefault="00CD0C03">
      <w:pPr>
        <w:spacing w:after="0"/>
        <w:jc w:val="center"/>
        <w:rPr>
          <w:snapToGrid w:val="0"/>
        </w:rPr>
        <w:sectPr w:rsidR="00CD0C03">
          <w:headerReference w:type="first" r:id="rId8"/>
          <w:pgSz w:w="11906" w:h="16838"/>
          <w:pgMar w:top="1417" w:right="1417" w:bottom="1417" w:left="1417" w:header="708" w:footer="708" w:gutter="0"/>
          <w:cols w:space="708"/>
          <w:titlePg/>
          <w:docGrid w:linePitch="360"/>
        </w:sectPr>
      </w:pPr>
    </w:p>
    <w:p w:rsidR="00CD0C03" w:rsidRDefault="00FA3FC7">
      <w:pPr>
        <w:pStyle w:val="Nadpis1"/>
        <w:numPr>
          <w:ilvl w:val="0"/>
          <w:numId w:val="0"/>
        </w:numPr>
        <w:spacing w:before="0"/>
        <w:ind w:left="567" w:hanging="567"/>
        <w:rPr>
          <w:snapToGrid w:val="0"/>
        </w:rPr>
      </w:pPr>
      <w:r>
        <w:rPr>
          <w:snapToGrid w:val="0"/>
        </w:rPr>
        <w:lastRenderedPageBreak/>
        <w:t>preambule</w:t>
      </w:r>
    </w:p>
    <w:p w:rsidR="00CD0C03" w:rsidRDefault="00FA3FC7">
      <w:pPr>
        <w:rPr>
          <w:sz w:val="24"/>
          <w:szCs w:val="24"/>
        </w:rPr>
      </w:pPr>
      <w:r>
        <w:t xml:space="preserve">Tato Smlouva je uzavírána na základě výsledku veřejné zakázky </w:t>
      </w:r>
      <w:r>
        <w:br/>
        <w:t xml:space="preserve">s názvem </w:t>
      </w:r>
      <w:r>
        <w:rPr>
          <w:i/>
        </w:rPr>
        <w:t>„</w:t>
      </w:r>
      <w:r>
        <w:rPr>
          <w:rFonts w:cs="Arial"/>
          <w:i/>
        </w:rPr>
        <w:t>Dynamický nákupní systém na dodávky osobních vozidel – Výzva 2-19 (nákup elektromobilů</w:t>
      </w:r>
      <w:r>
        <w:t>)“</w:t>
      </w:r>
      <w:r>
        <w:rPr>
          <w:rFonts w:cs="Arial"/>
        </w:rPr>
        <w:t xml:space="preserve"> (dále jen „</w:t>
      </w:r>
      <w:r>
        <w:rPr>
          <w:rFonts w:cs="Arial"/>
          <w:b/>
        </w:rPr>
        <w:t>Veřejná zakázka</w:t>
      </w:r>
      <w:r>
        <w:rPr>
          <w:rFonts w:cs="Arial"/>
        </w:rPr>
        <w:t>“)</w:t>
      </w:r>
      <w:r>
        <w:t>. Evidenční číslo dynamického nákupního systému ve Věstníku veřejných zakázek je Z2017-008295</w:t>
      </w:r>
      <w:r>
        <w:rPr>
          <w:rFonts w:cs="Arial"/>
        </w:rPr>
        <w:t>. Předmětem Veřejné zakázky je dodávka vozidla na elektrický pohon blíže specifikovaných v článku 1 této Smlouvy a následné zajišťování kompletního servisu vozidla v souladu s článkem 7 této Smlouvy.</w:t>
      </w:r>
    </w:p>
    <w:p w:rsidR="00CD0C03" w:rsidRDefault="00FA3FC7">
      <w:r>
        <w:rPr>
          <w:rFonts w:cs="Arial"/>
        </w:rPr>
        <w:t>Prodávající projevil zájem dodat vozidlo na elektrický pohon blíže specifikované v článku 1 této Smlouvy a podal nabídku v rámci Veřejné zakázky. Prodávající splnil všechny požadované předpoklady a další požadavky vyplývající ze zadávacích podmínek na Veřejnou zakázku. Centrální zadavatel Veřejné zakázky následně rozhodl o výběru Prodávajícího, neboť jeho nabídka byla vybrána jako ekonomicky nejvýhodnější.</w:t>
      </w:r>
    </w:p>
    <w:p w:rsidR="00CD0C03" w:rsidRDefault="00FA3FC7">
      <w:pPr>
        <w:rPr>
          <w:rFonts w:cs="Arial"/>
        </w:rPr>
      </w:pPr>
      <w:r>
        <w:rPr>
          <w:rFonts w:cs="Arial"/>
        </w:rPr>
        <w:t xml:space="preserve">Pokud se v této Smlouvě odkazuje na zadávací podmínky, zadávací dokumentaci či nabídku Prodávajícího, míní se tím dokumenty související se zadáním Veřejné zakázky. </w:t>
      </w:r>
    </w:p>
    <w:p w:rsidR="00CD0C03" w:rsidRDefault="00FA3FC7">
      <w:pPr>
        <w:pStyle w:val="Nadpis1"/>
        <w:rPr>
          <w:snapToGrid w:val="0"/>
        </w:rPr>
      </w:pPr>
      <w:r>
        <w:t>účel a předmět</w:t>
      </w:r>
      <w:r>
        <w:rPr>
          <w:snapToGrid w:val="0"/>
        </w:rPr>
        <w:t xml:space="preserve"> smlouvy</w:t>
      </w:r>
    </w:p>
    <w:p w:rsidR="00CD0C03" w:rsidRDefault="00FA3FC7">
      <w:pPr>
        <w:pStyle w:val="Nadpis2"/>
        <w:rPr>
          <w:rFonts w:cs="Arial"/>
          <w:snapToGrid w:val="0"/>
        </w:rPr>
      </w:pPr>
      <w:r>
        <w:rPr>
          <w:rFonts w:cs="Arial"/>
          <w:snapToGrid w:val="0"/>
        </w:rPr>
        <w:t>Účelem této Smlouvy je úprava a smluvní zajištění podmínek, za nichž bude Kupujícímu dodáno vozidlo na elektrický pohon specifikované v článku 1.3 této Smlouvy Prodávajícím.</w:t>
      </w:r>
    </w:p>
    <w:p w:rsidR="00CD0C03" w:rsidRDefault="00FA3FC7">
      <w:pPr>
        <w:pStyle w:val="Nadpis2"/>
        <w:rPr>
          <w:rFonts w:cs="Arial"/>
          <w:snapToGrid w:val="0"/>
        </w:rPr>
      </w:pPr>
      <w:r>
        <w:t>Předmětem této Smlouvy je:</w:t>
      </w:r>
    </w:p>
    <w:p w:rsidR="00CD0C03" w:rsidRDefault="00FA3FC7">
      <w:pPr>
        <w:pStyle w:val="Nadpis4"/>
        <w:rPr>
          <w:snapToGrid w:val="0"/>
        </w:rPr>
      </w:pPr>
      <w:r>
        <w:t xml:space="preserve">závazek Prodávajícího řádně a včas dodat Kupujícímu vozidlo na elektrický pohon, které je předmětem koupě </w:t>
      </w:r>
      <w:r>
        <w:rPr>
          <w:snapToGrid w:val="0"/>
        </w:rPr>
        <w:t>(dále jen „</w:t>
      </w:r>
      <w:r>
        <w:rPr>
          <w:b/>
          <w:snapToGrid w:val="0"/>
        </w:rPr>
        <w:t>Předmět koupě</w:t>
      </w:r>
      <w:r>
        <w:rPr>
          <w:snapToGrid w:val="0"/>
        </w:rPr>
        <w:t xml:space="preserve">“), umožnit Kupujícímu nabytí vlastnického práva k Předmětu koupě, a rovněž závazek Kupujícího Předmět koupě převzít a zaplatit Prodávajícímu kupní cenu dále Smluvními stranami sjednanou; </w:t>
      </w:r>
    </w:p>
    <w:p w:rsidR="00CD0C03" w:rsidRDefault="00FA3FC7">
      <w:pPr>
        <w:pStyle w:val="Nadpis4"/>
        <w:rPr>
          <w:snapToGrid w:val="0"/>
        </w:rPr>
      </w:pPr>
      <w:r>
        <w:rPr>
          <w:snapToGrid w:val="0"/>
        </w:rPr>
        <w:t xml:space="preserve">závazek Prodávajícího poskytovat k Předmětu koupě servis v termínech </w:t>
      </w:r>
      <w:r>
        <w:rPr>
          <w:snapToGrid w:val="0"/>
        </w:rPr>
        <w:br/>
        <w:t>a způsobem stanoveným touto Smlouvou a dle podmínek a doporučení výrobce Předmětu koupě (dále jen „</w:t>
      </w:r>
      <w:r>
        <w:rPr>
          <w:b/>
          <w:snapToGrid w:val="0"/>
        </w:rPr>
        <w:t>Servis Předmětu koupě</w:t>
      </w:r>
      <w:r>
        <w:rPr>
          <w:snapToGrid w:val="0"/>
        </w:rPr>
        <w:t>“).</w:t>
      </w:r>
    </w:p>
    <w:p w:rsidR="00CD0C03" w:rsidRDefault="00FA3FC7">
      <w:pPr>
        <w:pStyle w:val="Nadpis2"/>
        <w:rPr>
          <w:snapToGrid w:val="0"/>
        </w:rPr>
      </w:pPr>
      <w:r>
        <w:rPr>
          <w:snapToGrid w:val="0"/>
        </w:rPr>
        <w:t xml:space="preserve">Předmětem koupě se pro účely této Smlouvy rozumí </w:t>
      </w:r>
      <w:r>
        <w:t>1 (jednoho) kusu osobního vozidla na elektrický pohon [počet a název vozidel doplní Kupující před podpisem Smlouvy dle nabídky vybraného Prodávajícího]</w:t>
      </w:r>
      <w:r>
        <w:rPr>
          <w:snapToGrid w:val="0"/>
        </w:rPr>
        <w:t>, a to včetně vybavení a dokladů nutných k řádnému užití tohoto vozidla/ těchto vozidel.</w:t>
      </w:r>
    </w:p>
    <w:p w:rsidR="00CD0C03" w:rsidRDefault="00FA3FC7">
      <w:pPr>
        <w:pStyle w:val="Nadpis2"/>
      </w:pPr>
      <w:r>
        <w:t>Doklady a výbavu každého vozidla v rámci Předmětu koupě tvoří Technický průkaz motorového vozidla, návod k obsluze a údržbě v českém jazyce, konfigurační list vozidla, servisní sešit, seznam záručních opraven a výbava stanovená platnými právními předpisy, zejména lékárnička, výstražný trojúhelník (§ 31 vyhlášky Ministerstva dopravy č. 341/2014 Sb., ve znění pozdějších předpisů).</w:t>
      </w:r>
    </w:p>
    <w:p w:rsidR="00CD0C03" w:rsidRDefault="00FA3FC7">
      <w:pPr>
        <w:pStyle w:val="Nadpis2"/>
        <w:rPr>
          <w:snapToGrid w:val="0"/>
        </w:rPr>
      </w:pPr>
      <w:r>
        <w:rPr>
          <w:snapToGrid w:val="0"/>
        </w:rPr>
        <w:t>Prodávající závazně prohlašuje, že Předmět koupě odpovídá požadavkům uvedeným v technické specifikaci Předmětu koupě, která tvoří nedílnou součást této Smlouvy jako její Příloha č. 1 (dále jen „</w:t>
      </w:r>
      <w:r>
        <w:rPr>
          <w:b/>
          <w:snapToGrid w:val="0"/>
        </w:rPr>
        <w:t>Technická specifikace Předmětu koupě</w:t>
      </w:r>
      <w:r>
        <w:rPr>
          <w:snapToGrid w:val="0"/>
        </w:rPr>
        <w:t>“) a že Předmět koupě odpovídá též veškerým technickým, bezpečnostním a hygienickým normám platným v České republice.</w:t>
      </w:r>
    </w:p>
    <w:p w:rsidR="00CD0C03" w:rsidRDefault="00FA3FC7">
      <w:pPr>
        <w:pStyle w:val="Nadpis2"/>
      </w:pPr>
      <w:r>
        <w:t xml:space="preserve">Prodávající dále prohlašuje, že touto Smlouvou za dohodnutou kupní cenu uvedenou v článku 3 </w:t>
      </w:r>
      <w:proofErr w:type="gramStart"/>
      <w:r>
        <w:t>této</w:t>
      </w:r>
      <w:proofErr w:type="gramEnd"/>
      <w:r>
        <w:t xml:space="preserve"> Smlouvy odevzdává a prodává Kupujícímu Předmět koupě včetně všech součástí a příslušenství a Kupující Předmět koupě včetně všech součástí a příslušenství nabývá </w:t>
      </w:r>
      <w:r>
        <w:br/>
        <w:t>a kupuje do svého výlučného vlastnictví.</w:t>
      </w:r>
    </w:p>
    <w:p w:rsidR="00CD0C03" w:rsidRDefault="00FA3FC7">
      <w:pPr>
        <w:pStyle w:val="Nadpis2"/>
      </w:pPr>
      <w:r>
        <w:lastRenderedPageBreak/>
        <w:t>Smluvní strany si výslovně ujednaly, že v případě dodání většího množství Předmětu koupě, než je ujednáno v článku 1.3 této Smlouvy, není Smlouva na toto množství uzavřena. Ustanovení § 2093 Občanského zákoníku se tak mezi Smluvními stranami neuplatní.</w:t>
      </w:r>
    </w:p>
    <w:p w:rsidR="00CD0C03" w:rsidRDefault="00FA3FC7">
      <w:pPr>
        <w:pStyle w:val="Nadpis2"/>
        <w:keepLines w:val="0"/>
        <w:ind w:left="576"/>
      </w:pPr>
      <w:r>
        <w:t>Smluvní strany se dohodly, že na vztah založený touto Smlouvou se neuplatní § 2126 Občanského zákoníku týkající se svépomocného prodeje, tj. Smluvní strany sjednávají, že v případě prodlení jedné strany s převzetím Předmětu koupě či s placením za Předmět koupě nevzniká druhé Smluvní straně právo Předmět koupě po předchozím upozornění na účet prodlévající Smluvní strany prodat.</w:t>
      </w:r>
    </w:p>
    <w:p w:rsidR="00CD0C03" w:rsidRDefault="00FA3FC7">
      <w:pPr>
        <w:pStyle w:val="Nadpis1"/>
      </w:pPr>
      <w:r>
        <w:t>místo a doba dodání předmětu koupě</w:t>
      </w:r>
    </w:p>
    <w:p w:rsidR="00CD0C03" w:rsidRDefault="00FA3FC7">
      <w:pPr>
        <w:pStyle w:val="Nadpis2"/>
      </w:pPr>
      <w:r>
        <w:t>Místem dodání Předmětu koupě je sídlo Kupujícího, uvedené v záhlaví této Smlouvy, nedohodnou-li se Smluvní strany jinak (</w:t>
      </w:r>
      <w:r>
        <w:rPr>
          <w:rFonts w:cs="Arial"/>
        </w:rPr>
        <w:t>dále jen „</w:t>
      </w:r>
      <w:r>
        <w:rPr>
          <w:rFonts w:cs="Arial"/>
          <w:b/>
        </w:rPr>
        <w:t>Místo dodání</w:t>
      </w:r>
      <w:r>
        <w:rPr>
          <w:rFonts w:cs="Arial"/>
        </w:rPr>
        <w:t>“)</w:t>
      </w:r>
      <w:r>
        <w:t>.</w:t>
      </w:r>
    </w:p>
    <w:p w:rsidR="00CD0C03" w:rsidRDefault="00FA3FC7">
      <w:pPr>
        <w:pStyle w:val="Nadpis2"/>
        <w:keepLines w:val="0"/>
        <w:ind w:left="576"/>
      </w:pPr>
      <w:r>
        <w:t xml:space="preserve">Prodávající je povinen předat Kupujícímu Předmět koupě do </w:t>
      </w:r>
      <w:r>
        <w:rPr>
          <w:rFonts w:cs="Arial"/>
        </w:rPr>
        <w:t>175</w:t>
      </w:r>
      <w:r>
        <w:t xml:space="preserve"> kalendářních dnů od nabytí účinnosti této Smlouvy. Konkrétní termín předání bude Prodávajícím dojednán minimálně 2 pracovní dny předem s Oprávněnými osobami Kupujícího uvedenými v článku 12.3 této Smlouvy. Termín předání nesmí být stanoven na jiný den než pracovní, a to pouze v pracovní době, přičemž za pracovní dobu se považuje doba od pondělí do pátku od 8:00 hodin do 16:00 hodin, a to s výjimkou státních svátků, nedohodnou-li se Smluvní strany jinak.</w:t>
      </w:r>
    </w:p>
    <w:p w:rsidR="00CD0C03" w:rsidRDefault="00FA3FC7">
      <w:pPr>
        <w:pStyle w:val="Nadpis2"/>
        <w:rPr>
          <w:b/>
          <w:i/>
          <w:iCs/>
        </w:rPr>
      </w:pPr>
      <w:r>
        <w:t>Pro převzetí Předmětu koupě platí, že Kupující má právo odmítnout převzít Předmět koupě v případě, že podstatným způsobem neodpovídá této Smlouvě. Za podstatné se pro účely této Smlouvy považuje:</w:t>
      </w:r>
    </w:p>
    <w:p w:rsidR="00CD0C03" w:rsidRDefault="00FA3FC7">
      <w:pPr>
        <w:pStyle w:val="Nadpis4"/>
        <w:numPr>
          <w:ilvl w:val="0"/>
          <w:numId w:val="12"/>
        </w:numPr>
        <w:ind w:left="1134" w:hanging="567"/>
      </w:pPr>
      <w:r>
        <w:t xml:space="preserve">Předmětem koupě je množství větší než objednané, v tomto případě má Kupující právo odmítnout množství, které přesahuje množství objednané, v případě, že toto šlo při předání jednoduchým způsobem bez použití dalšího zjistit, jinak má lhůtu 5 pracovních dnů na odmítnutí tohoto plnění; pro splnění této lhůty postačí odmítnutí odeslat; </w:t>
      </w:r>
    </w:p>
    <w:p w:rsidR="00CD0C03" w:rsidRDefault="00FA3FC7">
      <w:pPr>
        <w:pStyle w:val="Nadpis4"/>
      </w:pPr>
      <w:r>
        <w:t>Předmět koupě, který svou jakostí zcela zjevně neodpovídá Předmětu koupě Kupujícím objednané;</w:t>
      </w:r>
    </w:p>
    <w:p w:rsidR="00CD0C03" w:rsidRDefault="00FA3FC7">
      <w:pPr>
        <w:pStyle w:val="Nadpis4"/>
      </w:pPr>
      <w:r>
        <w:t>Nedodání kompletní dodávky, např. chybějící doklady k Předmětu koupě nebo chybějící výbava ve smyslu článku 1.4 této Smlouvy.</w:t>
      </w:r>
    </w:p>
    <w:p w:rsidR="00CD0C03" w:rsidRDefault="00FA3FC7">
      <w:pPr>
        <w:pStyle w:val="Nadpis2"/>
      </w:pPr>
      <w:r>
        <w:t>Dodávka vozidla tvořící Předmět koupě je považována za splněnou jejím bezvýhradným převzetím některou z Oprávněných osob Kupujícího a podpisem předávacího protokolu v Místě dodání (dále jen „</w:t>
      </w:r>
      <w:r>
        <w:rPr>
          <w:b/>
        </w:rPr>
        <w:t>Předávací protokol</w:t>
      </w:r>
      <w:r>
        <w:t xml:space="preserve">“). Předávací protokol bude vyhotoven Prodávajícím ve </w:t>
      </w:r>
      <w:r>
        <w:br/>
        <w:t>dvou stejnopisech s platností originálu, přičemž 1 vyhotovení obdrží Kupující a jedno vyhotovení obdrží Prodávající. Obsah Předávacího protokolu bude potvrzen čitelnými vlastnoručními podpisy Oprávněných osob obou Smluvních stran.</w:t>
      </w:r>
    </w:p>
    <w:p w:rsidR="00CD0C03" w:rsidRDefault="00FA3FC7">
      <w:pPr>
        <w:pStyle w:val="Nadpis2"/>
      </w:pPr>
      <w:r>
        <w:t>Předávací protokol musí obsahovat identifikaci Smluvních stran (název, IČO, sídlo), označení Místa dodání, přesnou specifikaci vozidla tvořící Předmět koupě včetně počtu kusů a datum dodání.</w:t>
      </w:r>
    </w:p>
    <w:p w:rsidR="00CD0C03" w:rsidRDefault="00FA3FC7">
      <w:pPr>
        <w:pStyle w:val="Nadpis2"/>
      </w:pPr>
      <w:r>
        <w:lastRenderedPageBreak/>
        <w:t xml:space="preserve">Převezme-li Kupující dodávku vozidla tvořícího Předmět koupě bez výhrad, má se za to, že vozidlo tvořící Předmět koupě nemají žádné zjevné vady. Převezme-li Kupující dodávku vozidla tvořícího Předmět koupě s výhradami, je povinen tyto výhrady uvést do Předávacího protokolu. Nesouhlasí-li Prodávající s uvedenými výhradami, je povinen je písemně v Předávacím protokolu rozporovat. Nerozporuje-li Prodávající výhrady uvedené Kupujícím na Předávacím protokolu, má se za to, že s výhradami souhlasí. V případě, že Předávací protokol obsahuje výhrady Kupujícího, zavazuje se Prodávající odstranit výhrady ve lhůtě a způsobem uvedeným Kupujícím v Předávacím protokolu.  </w:t>
      </w:r>
    </w:p>
    <w:p w:rsidR="00CD0C03" w:rsidRDefault="00FA3FC7">
      <w:pPr>
        <w:pStyle w:val="Nadpis1"/>
      </w:pPr>
      <w:r>
        <w:t>cena a platební podmínky</w:t>
      </w:r>
    </w:p>
    <w:p w:rsidR="00CD0C03" w:rsidRDefault="00FA3FC7">
      <w:pPr>
        <w:pStyle w:val="Nadpis2"/>
      </w:pPr>
      <w:r>
        <w:t>Smluvní strany si ujednaly, že cena za vozidlo tvořící Předmět koupě a cena za Servis Předmětu koupě (dohromady dále jen jako „</w:t>
      </w:r>
      <w:r>
        <w:rPr>
          <w:b/>
        </w:rPr>
        <w:t>Kupní cena</w:t>
      </w:r>
      <w:r>
        <w:t>“) činí částku 732.300,83 Kč nezvýšenou o částku odpovídající dani z přidané hodnoty platné ke dni uskutečnění zdanitelného plnění.</w:t>
      </w:r>
    </w:p>
    <w:p w:rsidR="00CD0C03" w:rsidRDefault="00FA3FC7">
      <w:pPr>
        <w:pStyle w:val="Nadpis2"/>
        <w:keepLines w:val="0"/>
        <w:ind w:left="576"/>
      </w:pPr>
      <w:r>
        <w:rPr>
          <w:rFonts w:cs="Arial"/>
        </w:rPr>
        <w:t>Ke Kupní ceně bude v případě, že je Prodávající plátcem DPH, připočítána DPH dle sazby daně platné ke dni uskutečnění zdanitelného plnění.</w:t>
      </w:r>
    </w:p>
    <w:p w:rsidR="00CD0C03" w:rsidRDefault="00FA3FC7">
      <w:pPr>
        <w:pStyle w:val="Nadpis2"/>
      </w:pPr>
      <w:r>
        <w:t>Kupní cena je cenou maximální a nepřekročitelnou a zahrnuje veškeré náklady Prodávajícího související s realizací předmětu této Smlouvy včetně nákladů souvisejících (např. náklady na dopravu do Místa dodání).</w:t>
      </w:r>
    </w:p>
    <w:p w:rsidR="00CD0C03" w:rsidRDefault="00FA3FC7">
      <w:pPr>
        <w:pStyle w:val="Nadpis2"/>
        <w:keepLines w:val="0"/>
        <w:ind w:left="576"/>
      </w:pPr>
      <w:r>
        <w:t>Kupní cena bude Objednatelem uhrazena na základě daňového dokladu – faktury (dále jen „</w:t>
      </w:r>
      <w:r>
        <w:rPr>
          <w:b/>
        </w:rPr>
        <w:t>Faktura</w:t>
      </w:r>
      <w:r>
        <w:t>“ nebo souhrnně „</w:t>
      </w:r>
      <w:r>
        <w:rPr>
          <w:b/>
        </w:rPr>
        <w:t>Faktury</w:t>
      </w:r>
      <w:r>
        <w:t>“). Prodávající vystaví Fakturu do 5 pracovních dnů po řádném předání Předmětu koupě, popř. jeho části Kupujícímu, tj. od podpisu Předávacího protokolu bez výhrad.</w:t>
      </w:r>
    </w:p>
    <w:p w:rsidR="00CD0C03" w:rsidRDefault="00FA3FC7">
      <w:pPr>
        <w:pStyle w:val="Nadpis2"/>
        <w:keepLines w:val="0"/>
        <w:ind w:left="576"/>
      </w:pPr>
      <w:r>
        <w:t>Faktura bude obsahovat náležitosti obchodní listiny dle § 435 Občanského zákoníku a dále též:</w:t>
      </w:r>
    </w:p>
    <w:p w:rsidR="00CD0C03" w:rsidRDefault="00FA3FC7">
      <w:pPr>
        <w:pStyle w:val="Nadpis4"/>
        <w:widowControl w:val="0"/>
        <w:numPr>
          <w:ilvl w:val="0"/>
          <w:numId w:val="4"/>
        </w:numPr>
        <w:ind w:left="1134" w:hanging="567"/>
      </w:pPr>
      <w:r>
        <w:t>číslo Smlouvy uvedené v záhlaví této Smlouvy, které slouží jako identifikátor platby;</w:t>
      </w:r>
    </w:p>
    <w:p w:rsidR="00CD0C03" w:rsidRDefault="00FA3FC7">
      <w:pPr>
        <w:pStyle w:val="Nadpis4"/>
        <w:widowControl w:val="0"/>
      </w:pPr>
      <w:r>
        <w:t>specifikace předmětu plnění, tj. specifikace Předmětu koupě a specifikace Servisu Předmětu koupě;</w:t>
      </w:r>
    </w:p>
    <w:p w:rsidR="00CD0C03" w:rsidRDefault="00FA3FC7">
      <w:pPr>
        <w:pStyle w:val="Nadpis4"/>
        <w:widowControl w:val="0"/>
      </w:pPr>
      <w:r>
        <w:t>úplné bankovní spojení Prodávajícího, přičemž číslo účtu bude odpovídat číslu účtu uvedenému v záhlaví této Smlouvy nebo číslu účtu v registru plátců DPH, popř. řádně oznámenému číslu účtu postupem dle této Smlouvy;</w:t>
      </w:r>
    </w:p>
    <w:p w:rsidR="00CD0C03" w:rsidRDefault="00FA3FC7">
      <w:pPr>
        <w:pStyle w:val="Nadpis4"/>
        <w:widowControl w:val="0"/>
      </w:pPr>
      <w:r>
        <w:t>veškeré náležitosti dle § 29 zákona č. 235/2004 Sb., o dani z přidané hodnoty, ve znění pozdějších předpisů (dále jen „</w:t>
      </w:r>
      <w:r>
        <w:rPr>
          <w:b/>
        </w:rPr>
        <w:t>Zákon o DPH</w:t>
      </w:r>
      <w:r>
        <w:t>“), pokud je Prodávající ke dni podání nabídky na Veřejné zakázky, popř. ke dni uskutečnění zdanitelného plnění, plátcem DPH.</w:t>
      </w:r>
    </w:p>
    <w:p w:rsidR="00CD0C03" w:rsidRDefault="00FA3FC7">
      <w:pPr>
        <w:pStyle w:val="Nadpis2"/>
        <w:keepLines w:val="0"/>
        <w:ind w:left="576"/>
      </w:pPr>
      <w:r>
        <w:t>Prodávající bude Faktury doručovat ve formátu PDF do datové schránky Kupujícího (ID: e5qaihb) nebo v listinné podobě na adresu sídla Kupujícího, popř. do řádně oznámené datové schránky či na adresu oznámenou postupem dle této Smlouvy. Přílohou Faktury bude kopie Předávacího protokolu bez výhrad potvrzeného Kupujícím.</w:t>
      </w:r>
    </w:p>
    <w:p w:rsidR="00CD0C03" w:rsidRDefault="00FA3FC7">
      <w:pPr>
        <w:pStyle w:val="Nadpis2"/>
        <w:ind w:left="576"/>
        <w:rPr>
          <w:i/>
        </w:rPr>
      </w:pPr>
      <w:r>
        <w:t xml:space="preserve">Splatnost řádně vystavené Faktury činí 30 kalendářních dnů ode dne jejího řádného doručení Kupujícímu. </w:t>
      </w:r>
    </w:p>
    <w:p w:rsidR="00CD0C03" w:rsidRDefault="00FA3FC7">
      <w:pPr>
        <w:pStyle w:val="Nadpis2"/>
        <w:ind w:left="576"/>
      </w:pPr>
      <w:r>
        <w:t>Kupující má právo před uplynutím lhůty splatnosti Faktury požádat Oprávněnou osobu Prodávajícího o vystavení nové Faktury, a to aniž by došlo k prodlení s její úhradou, neobsahuje-li obdržená Faktura náležitosti nebo údaje stanovené touto Smlouvou nebo obecně závaznými právními předpisy, obsahuje-li jiné cenové údaje nebo jiný rozsah Předmětu koupě nebo bude-li obsahovat chybné údaje. Nová lhůta splatnosti v délce 30 kalendářních dnů počne plynout ode dne doručení nové Faktury Kupujícímu.</w:t>
      </w:r>
    </w:p>
    <w:p w:rsidR="00CD0C03" w:rsidRDefault="00FA3FC7">
      <w:pPr>
        <w:pStyle w:val="Nadpis2"/>
        <w:keepLines w:val="0"/>
        <w:ind w:left="576"/>
      </w:pPr>
      <w:r>
        <w:lastRenderedPageBreak/>
        <w:t>Faktura je považována za proplacenou okamžikem odepsání příslušné finanční částky z účtu Kupujícího ve prospěch účtu Prodávajícího.</w:t>
      </w:r>
    </w:p>
    <w:p w:rsidR="00CD0C03" w:rsidRDefault="00FA3FC7">
      <w:pPr>
        <w:pStyle w:val="Nadpis2"/>
        <w:keepLines w:val="0"/>
        <w:ind w:left="576"/>
      </w:pPr>
      <w:r>
        <w:t>Prodávající souhlasí s tím, že Kupující neposkytuje jakékoliv zálohy na dodávku Předmětu koupě.</w:t>
      </w:r>
    </w:p>
    <w:p w:rsidR="00CD0C03" w:rsidRDefault="00FA3FC7">
      <w:pPr>
        <w:pStyle w:val="Nadpis2"/>
        <w:keepLines w:val="0"/>
        <w:ind w:left="576"/>
      </w:pPr>
      <w:r>
        <w:t>Veškeré platby budou probíhat výhradně v korunách českých a rovněž veškeré cenové údaje budou uvedeny v této měně.</w:t>
      </w:r>
    </w:p>
    <w:p w:rsidR="00CD0C03" w:rsidRDefault="00FA3FC7">
      <w:pPr>
        <w:pStyle w:val="Nadpis2"/>
        <w:keepLines w:val="0"/>
        <w:ind w:left="576"/>
        <w:rPr>
          <w:rFonts w:cs="Arial"/>
        </w:rPr>
      </w:pPr>
      <w:r>
        <w:t>Prodávající prohlašuje, že správce daně před uzavřením této Smlouvy nerozhodl, že je Prodávající nespolehlivým plátcem ve smyslu § 106a Zákona o DPH (dále jen „</w:t>
      </w:r>
      <w:r>
        <w:rPr>
          <w:b/>
        </w:rPr>
        <w:t>Nespolehlivý plátce</w:t>
      </w:r>
      <w:r>
        <w:t xml:space="preserve">“). V případě, že správce daně rozhodne po uzavření této Smlouvy o tom, že Prodávající je Nespolehlivým plátcem, zavazuje se Prodávající o tomto informovat Kupujícího do 5 pracovních dní od vydání takového rozhodnutí. Stane-li se Prodávající Nespolehlivým plátcem, může uhradit Kupující Prodávajícímu pouze základ daně, přičemž DPH bude Kupujícím uhrazena Prodávajícímu až po písemném doložení Prodávajícího o jeho úhradě této DPH příslušnému správci daně. </w:t>
      </w:r>
    </w:p>
    <w:p w:rsidR="00CD0C03" w:rsidRDefault="00FA3FC7">
      <w:pPr>
        <w:pStyle w:val="Nadpis1"/>
      </w:pPr>
      <w:r>
        <w:t>práva a povinnosti smluvních stran</w:t>
      </w:r>
    </w:p>
    <w:p w:rsidR="00CD0C03" w:rsidRDefault="00FA3FC7">
      <w:pPr>
        <w:pStyle w:val="Nadpis2"/>
        <w:keepLines w:val="0"/>
        <w:ind w:left="576"/>
      </w:pPr>
      <w:r>
        <w:t>Kupující je povinen:</w:t>
      </w:r>
    </w:p>
    <w:p w:rsidR="00CD0C03" w:rsidRDefault="00FA3FC7">
      <w:pPr>
        <w:pStyle w:val="Nadpis4"/>
        <w:numPr>
          <w:ilvl w:val="0"/>
          <w:numId w:val="7"/>
        </w:numPr>
        <w:ind w:left="1134" w:hanging="567"/>
      </w:pPr>
      <w:r>
        <w:t>dohodnout s Prodávajícím rozsah oprávnění Prodávajícího ke vstupu, případně též vjezdu do Místa dodání;</w:t>
      </w:r>
    </w:p>
    <w:p w:rsidR="00CD0C03" w:rsidRDefault="00FA3FC7">
      <w:pPr>
        <w:pStyle w:val="Nadpis4"/>
      </w:pPr>
      <w:r>
        <w:t>vytvořit podmínky pro řádné a bezpečné předání Předmětu koupě a poskytnout Prodávajícímu potřebnou součinnost, kterou lze po něm spravedlivě požadovat při řešení všech záležitostí souvisejících s předáním Předmětu koupě;</w:t>
      </w:r>
    </w:p>
    <w:p w:rsidR="00CD0C03" w:rsidRDefault="00FA3FC7">
      <w:pPr>
        <w:pStyle w:val="Nadpis4"/>
      </w:pPr>
      <w:r>
        <w:t>zaplatit včas Kupní cenu dle článku 3.1 této Smlouvy.</w:t>
      </w:r>
    </w:p>
    <w:p w:rsidR="00CD0C03" w:rsidRDefault="00FA3FC7">
      <w:pPr>
        <w:pStyle w:val="Nadpis2"/>
        <w:keepLines w:val="0"/>
        <w:ind w:left="576"/>
      </w:pPr>
      <w:r>
        <w:t xml:space="preserve">Prodávající je </w:t>
      </w:r>
      <w:r w:rsidR="009D77FD" w:rsidRPr="00A769A2">
        <w:t>povinen:</w:t>
      </w:r>
    </w:p>
    <w:p w:rsidR="00CD0C03" w:rsidRDefault="00FA3FC7">
      <w:pPr>
        <w:pStyle w:val="Nadpis4"/>
        <w:widowControl w:val="0"/>
        <w:numPr>
          <w:ilvl w:val="0"/>
          <w:numId w:val="6"/>
        </w:numPr>
        <w:ind w:left="1134" w:hanging="567"/>
      </w:pPr>
      <w:r>
        <w:t>předat Předmět koupě řádně a včas Kupujícímu a převést vlastnické právo k Předmětu koupě na Kupujícího;</w:t>
      </w:r>
    </w:p>
    <w:p w:rsidR="00CD0C03" w:rsidRDefault="00FA3FC7">
      <w:pPr>
        <w:pStyle w:val="Nadpis4"/>
      </w:pPr>
      <w:r>
        <w:t xml:space="preserve">umožnit osobám oprávněným k výkonu kontroly, např. podle zákona č. 218/2000 Sb., </w:t>
      </w:r>
      <w:r>
        <w:br/>
        <w:t xml:space="preserve">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o DPH); </w:t>
      </w:r>
    </w:p>
    <w:p w:rsidR="00CD0C03" w:rsidRDefault="00FA3FC7">
      <w:pPr>
        <w:pStyle w:val="Nadpis4"/>
      </w:pPr>
      <w:r>
        <w:rPr>
          <w:snapToGrid w:val="0"/>
        </w:rPr>
        <w:t>uchovávat veškeré originální dokumenty související s realizací Veřejné zakázky po dobu uvedenou v závazných právních předpisech upravujících oblast zadávání veřejných zakázek</w:t>
      </w:r>
      <w:r>
        <w:t>;</w:t>
      </w:r>
    </w:p>
    <w:p w:rsidR="00CD0C03" w:rsidRDefault="00FA3FC7">
      <w:pPr>
        <w:pStyle w:val="Nadpis4"/>
        <w:widowControl w:val="0"/>
      </w:pPr>
      <w:r>
        <w:rPr>
          <w:snapToGrid w:val="0"/>
        </w:rPr>
        <w:t xml:space="preserve">poskytovat Servis Předmětu koupě po celou dobu trvání této Smlouvy, a to v termínech </w:t>
      </w:r>
      <w:r>
        <w:rPr>
          <w:snapToGrid w:val="0"/>
        </w:rPr>
        <w:br/>
        <w:t>a způsobem stanoveným touto Smlouvou a dle technických podmínek daných výrobcem Předmětu koupě.</w:t>
      </w:r>
    </w:p>
    <w:p w:rsidR="00CD0C03" w:rsidRDefault="00FA3FC7">
      <w:pPr>
        <w:pStyle w:val="Nadpis1"/>
      </w:pPr>
      <w:r>
        <w:t>vlastnické právo a práva duševního vlastnictví k předmětu koupě</w:t>
      </w:r>
    </w:p>
    <w:p w:rsidR="00CD0C03" w:rsidRDefault="00FA3FC7">
      <w:pPr>
        <w:pStyle w:val="Nadpis2"/>
        <w:keepLines w:val="0"/>
        <w:ind w:left="576"/>
      </w:pPr>
      <w:r>
        <w:t xml:space="preserve">Kupující nabývá vlastnického práva k vozidlu tvořícím Předmět koupě jeho dodáním </w:t>
      </w:r>
      <w:r w:rsidR="00A769A2">
        <w:br/>
      </w:r>
      <w:r>
        <w:t>a převzetím bez výhrad dle článku 2.4 této Smlouvy. Bude-li Prodávající plnit po částech, převádí se vlastnické právo ke každému vozidlu tvořící Předmět koupě zvlášť v době předání.</w:t>
      </w:r>
    </w:p>
    <w:p w:rsidR="00CD0C03" w:rsidRDefault="00FA3FC7">
      <w:pPr>
        <w:pStyle w:val="Nadpis2"/>
        <w:keepLines w:val="0"/>
        <w:ind w:left="576"/>
      </w:pPr>
      <w:r>
        <w:t xml:space="preserve">Prodávající prohlašuje, že jakékoliv plnění dle této Smlouvy je bez právních vad, zejména že není a nebude zatíženo žádnými právy třetích osob, z nichž by pro Kupujícího vyplynul jakýkoliv </w:t>
      </w:r>
      <w:r>
        <w:lastRenderedPageBreak/>
        <w:t>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CD0C03" w:rsidRDefault="00FA3FC7">
      <w:pPr>
        <w:pStyle w:val="Nadpis1"/>
      </w:pPr>
      <w:r>
        <w:t>odpovědnost za vady a záruka za jakost</w:t>
      </w:r>
    </w:p>
    <w:p w:rsidR="00CD0C03" w:rsidRDefault="00FA3FC7">
      <w:pPr>
        <w:pStyle w:val="Nadpis2"/>
        <w:keepLines w:val="0"/>
        <w:ind w:left="576"/>
      </w:pPr>
      <w:r>
        <w:t>Prodávající prohlašuje, že dodávaný Předmět koupě nebo nemá v době předání žádné vady.</w:t>
      </w:r>
    </w:p>
    <w:p w:rsidR="00CD0C03" w:rsidRDefault="00FA3FC7">
      <w:pPr>
        <w:pStyle w:val="Nadpis2"/>
        <w:keepLines w:val="0"/>
        <w:ind w:left="576"/>
      </w:pPr>
      <w:r>
        <w:t xml:space="preserve">Smluvní strany si ujednaly, že Prodávající poskytuje Kupujícímu záruku za bezvadnou funkci za každé vozidlo v délce trvání 5 let nebo do ujetí 150.000 kilometrů, podle toho, která z těchto skutečností nastane dříve; na lak v délce trvání 3 roky, na neprorezavění karoserie v délce 10 let; na baterie v délce trvání 8 let nebo ujetí 100 000 kilometrů, podle toho, která z těchto skutečností nastane dříve, přičemž kapacita baterie nesmí klesnout pod 70 % původní kapacity. Záruka začíná běžet ode dne převzetí vozidla či vozidel tvořících Předmět Koupě, tj. od podpisu Předávacího protokolu oběma Smluvními stranami bez výhrad. V případě náhrady barvy karoserie formou </w:t>
      </w:r>
      <w:proofErr w:type="spellStart"/>
      <w:r>
        <w:t>celopolepení</w:t>
      </w:r>
      <w:proofErr w:type="spellEnd"/>
      <w:r>
        <w:t xml:space="preserve"> fólií (car </w:t>
      </w:r>
      <w:proofErr w:type="spellStart"/>
      <w:r>
        <w:t>wrap</w:t>
      </w:r>
      <w:proofErr w:type="spellEnd"/>
      <w:r>
        <w:t>) Prodávající dále poskytne Kupujícímu záruku na instalaci polepu po dobu 36 měsíců a na fólii po dobu 60 měsíců, obojí ode dne převzetí vozidla/vozidel tvořícího/tvořících Předmět koupě nebo jeho část, tj. od podpisu Předávacího protokolu oběma Smluvními stranami bez výhrad.</w:t>
      </w:r>
    </w:p>
    <w:p w:rsidR="00CD0C03" w:rsidRDefault="00FA3FC7">
      <w:pPr>
        <w:pStyle w:val="Nadpis2"/>
      </w:pPr>
      <w:r>
        <w:t>V případě, že Prodávající běžně poskytuje na některé části vozidel delší záruční dobu než je délka plné záruky dle článku 6.2 Smlouvy, platí tato delší záruční doba a Prodávající se k této delší záruční době na některé části vozidel zaváže ve vztahu k Předmětu koupě.</w:t>
      </w:r>
    </w:p>
    <w:p w:rsidR="00CD0C03" w:rsidRDefault="00FA3FC7">
      <w:pPr>
        <w:pStyle w:val="Nadpis2"/>
        <w:keepLines w:val="0"/>
        <w:ind w:left="576"/>
      </w:pPr>
      <w:r>
        <w:t>V případě, že bude na Faktuře nebo na Předávacím protokolu vyznačena delší záruční doba, má tato přednost před ustanovením této Smlouvy. Kupující je oprávněn uplatnit vady u Prodávajícího kdykoliv během záruční doby bez ohledu na to, kdy Kupující takové vady zjistil nebo mohl zjistit. Pro vyloučení pochybnosti Smluvní strany sjednávají, že převzetím vozidel tvořících Předmět koupě není dotčeno právo Kupujícího uplatňovat práva z vad, které byly zjistitelné, ale nebyly zjištěny při převzetí.</w:t>
      </w:r>
    </w:p>
    <w:p w:rsidR="00CD0C03" w:rsidRDefault="00FA3FC7">
      <w:pPr>
        <w:pStyle w:val="Nadpis1"/>
      </w:pPr>
      <w:r>
        <w:t>servis předmětu koupě</w:t>
      </w:r>
    </w:p>
    <w:p w:rsidR="00CD0C03" w:rsidRDefault="00FA3FC7">
      <w:pPr>
        <w:pStyle w:val="Nadpis2"/>
      </w:pPr>
      <w:r>
        <w:t xml:space="preserve">Prodávající je povinen poskytovat Servis Předmětu koupě po dobu 5 let od podpisu Předávacího protokolu potvrzujícího převzetí Předmětu koupě nebo do najetí 150.000 kilometrů s každým jednotlivým vozidlem, podle toho, která z těchto skutečností nastane dříve. </w:t>
      </w:r>
    </w:p>
    <w:p w:rsidR="00CD0C03" w:rsidRDefault="00FA3FC7">
      <w:pPr>
        <w:pStyle w:val="Nadpis2"/>
      </w:pPr>
      <w:r>
        <w:t>Servis Předmětu koupě bude Prodávajícím poskytován na základě požadavku Oprávněné osoby Kupujícího, který bude vycházet ze servisní knížky nebo diagnostiky Předmětu koupě, zaslaného prostřednictvím e-mailové zprávy Oprávněné osobě Prodávajícího nebo osobě pověřené Oprávněnou osobou Prodávajícího (dále jen „</w:t>
      </w:r>
      <w:r>
        <w:rPr>
          <w:b/>
        </w:rPr>
        <w:t>Požadavek</w:t>
      </w:r>
      <w:r>
        <w:t xml:space="preserve">“). Místem poskytování Servisu Předmětu koupě budou autorizovaná servisní střediska Prodávajícího. </w:t>
      </w:r>
    </w:p>
    <w:p w:rsidR="00CD0C03" w:rsidRDefault="00FA3FC7">
      <w:pPr>
        <w:pStyle w:val="Nadpis2"/>
      </w:pPr>
      <w:r>
        <w:t>Oprávněná osoba Prodávajícího nebo jím pověřená osoba se zavazuje potvrdit přijetí Požadavku prostřednictvím e-mailové zprávy Oprávněné osobě Kupujícího ve lhůtě 24 hodin ode dne jeho doručení (dále jen „</w:t>
      </w:r>
      <w:r>
        <w:rPr>
          <w:b/>
        </w:rPr>
        <w:t>Potvrzení Požadavku</w:t>
      </w:r>
      <w:r>
        <w:t>“), případně ve stejné lhůtě zaslat žádost o doplnění či upřesnění údajů. Požádá-li Prodávající o doplnění či upřesnění údajů, staví se lhůta pro učinění Potvrzení Požadavku do okamžiku zaslání řádného doplnění Požadavku.</w:t>
      </w:r>
    </w:p>
    <w:p w:rsidR="00CD0C03" w:rsidRDefault="00FA3FC7">
      <w:pPr>
        <w:pStyle w:val="Nadpis2"/>
      </w:pPr>
      <w:r>
        <w:lastRenderedPageBreak/>
        <w:t>Potvrzením Požadavku se má za to, že Prodávající souhlasí s obsahem Požadavku, nepožaduje jeho doplnění či upřesnění a jako takový jej akceptuje. V Potvrzení Požadavku Prodávající zároveň uvede termín zahájení a závazný termín ukončení Servisu Předmětu koupě (dále jen „</w:t>
      </w:r>
      <w:r>
        <w:rPr>
          <w:b/>
        </w:rPr>
        <w:t>Termín zahájení</w:t>
      </w:r>
      <w:r>
        <w:t>“ a „</w:t>
      </w:r>
      <w:r>
        <w:rPr>
          <w:b/>
        </w:rPr>
        <w:t>Termín ukončení</w:t>
      </w:r>
      <w:r>
        <w:t>“) a adresu nejbližšího autorizovaného servisního střediska dle Místa dodání, nedohodnou-li se Smluvní strany jinak, ve kterém bude Servis Předmětu koupě poskytnut.</w:t>
      </w:r>
    </w:p>
    <w:p w:rsidR="00CD0C03" w:rsidRDefault="00FA3FC7">
      <w:pPr>
        <w:pStyle w:val="Nadpis2"/>
      </w:pPr>
      <w:r>
        <w:t xml:space="preserve">Kupující se zavazuje za účelem poskytnutí Servisu Předmětu koupě dopravit Předmět koupě do servisního střediska uvedeného v Potvrzení Požadavku, a to nejpozději v Termínu zahájení. Prodávající je povinen poskytnout Servis Předmětu koupě specifikovaný v konkrétním Požadavku do Termínu ukončení, pokud nebude mezi Smluvními stranami dohodnuto jinak. Prodávající se zavazuje informovat Oprávněnou osobu Kupujícího o ukončení poskytování Servisu Předmětu koupě. </w:t>
      </w:r>
    </w:p>
    <w:p w:rsidR="00CD0C03" w:rsidRDefault="00FA3FC7">
      <w:pPr>
        <w:pStyle w:val="Nadpis2"/>
      </w:pPr>
      <w:r>
        <w:t xml:space="preserve">O poskytnutí Servisu Předmětu koupě sepíší Kupující, příp. osoba řídící Předmět koupě, </w:t>
      </w:r>
      <w:r>
        <w:br/>
        <w:t>a oprávněná osoba Prodávajícího nebo jím pověřená osoba akceptační protokol ve 2 stejnopisech, kdy jeden zůstane Kupujícímu a jeden Prodávajícímu. Podpisem akceptačního protokolu dle předchozí věty není vyloučena možnost Kupujícího uplatňovat vady Servisu Předmětu koupě vůči Prodávajícímu.</w:t>
      </w:r>
    </w:p>
    <w:p w:rsidR="00CD0C03" w:rsidRDefault="00FA3FC7">
      <w:pPr>
        <w:pStyle w:val="Nadpis2"/>
      </w:pPr>
      <w:r>
        <w:t xml:space="preserve">Servis Předmětu koupě zahrnuje veškeré úkony související s provozem Předmětu koupě v záruční době, tj. zejména (nikoliv však výlučně) pravidelné servisní prohlídky v nejbližším autorizovaném servisním středisku Prodávajícího, výměnu brzdové kapaliny, seřízení geometrie, výměnu chladicí kapaliny, výměnu pylového, příp. též olejového filtru a olejové náplně apod. </w:t>
      </w:r>
    </w:p>
    <w:p w:rsidR="00CD0C03" w:rsidRDefault="00FA3FC7">
      <w:pPr>
        <w:pStyle w:val="Nadpis2"/>
      </w:pPr>
      <w:r>
        <w:t xml:space="preserve">Servis Předmětu koupě zahrnuje rovněž bezplatný odtah vozidla v případě jeho nepojízdnosti z důvodu vybití baterie vozidla, a to v četnosti 2x ročně. Poskytuje-li Prodávající běžně službu bezplatného odtahu vozidla, uplatní se podmínky jejího poskytování, jsou-li pro Kupujícího příznivější než postup dle článku 7.3. </w:t>
      </w:r>
    </w:p>
    <w:p w:rsidR="00CD0C03" w:rsidRDefault="00FA3FC7">
      <w:pPr>
        <w:pStyle w:val="Nadpis2"/>
      </w:pPr>
      <w:r>
        <w:t>V případě, že Prodávající nesplní Termín ukončení Servisu Předmětu koupě, je povinen zajistit Kupujícímu následující pracovní den po uplynutí závazného Termínu ukončení Servisu Předmětu koupě bezplatně náhradní vozidlo stejné kategorie, pokud se Smluvní strany nedohodnou jinak (dále jen „</w:t>
      </w:r>
      <w:r>
        <w:rPr>
          <w:b/>
        </w:rPr>
        <w:t>Náhradní vozidlo</w:t>
      </w:r>
      <w:r>
        <w:t>“). Náhradní vozidlo si na základě oznámení Prodávajícího Oprávněné osobě Kupujícího vyzvedne Kupující v nejbližším autorizovaném servisním středisku Prodávajícího. O předání a převzetí Náhradního vozidla sepíší zástupci Kupujícího a Prodávajícího předávací protokol o poskytnutí náhradního vozidla ve dvou stejnopisech, kdy jeden zůstane Prodávajícímu a jeden Kupujícímu.</w:t>
      </w:r>
    </w:p>
    <w:p w:rsidR="00CD0C03" w:rsidRDefault="00FA3FC7">
      <w:pPr>
        <w:pStyle w:val="Nadpis2"/>
      </w:pPr>
      <w:r>
        <w:t>Veškeré náklady za poskytnutí Náhradního vozidla nese Prodávající.</w:t>
      </w:r>
    </w:p>
    <w:p w:rsidR="00CD0C03" w:rsidRDefault="00FA3FC7">
      <w:pPr>
        <w:pStyle w:val="Nadpis2"/>
      </w:pPr>
      <w:r>
        <w:t>Náhradní vozidlo je Kupující povinen vrátit Prodávajícímu následující pracovní den poté, co Prodávající ukončí Servis Předmětu koupě, a to na stejném místě, kde si Náhradní vozidlo od Prodávajícího převzal, pokud se Smluvní strany nedohodnou jinak. O předání a převzetí Náhradního vozidla zpět Prodávajícímu sepíší zástupci Kupujícího a Prodávajícího předávací protokol o poskytnutí náhradního vozidla ve dvou stejnopisech, kdy jeden zůstane Prodávajícímu a jeden Kupujícímu.</w:t>
      </w:r>
    </w:p>
    <w:p w:rsidR="00CD0C03" w:rsidRDefault="00FA3FC7">
      <w:pPr>
        <w:pStyle w:val="Nadpis1"/>
      </w:pPr>
      <w:r>
        <w:t>odpovědnost za škodu</w:t>
      </w:r>
    </w:p>
    <w:p w:rsidR="00CD0C03" w:rsidRDefault="00FA3FC7">
      <w:pPr>
        <w:pStyle w:val="Nadpis2"/>
        <w:keepLines w:val="0"/>
        <w:ind w:left="578" w:hanging="578"/>
      </w:pPr>
      <w:r>
        <w:t>Smluvní strany sjednávají, že náhrada škody se bude řídit platným právním řádem ČR, není-li v této Smlouvě sjednáno jinak.</w:t>
      </w:r>
    </w:p>
    <w:p w:rsidR="00CD0C03" w:rsidRDefault="00FA3FC7">
      <w:pPr>
        <w:pStyle w:val="Nadpis2"/>
        <w:keepLines w:val="0"/>
        <w:ind w:left="576"/>
      </w:pPr>
      <w:r>
        <w:t>Prodávající odpovídá za každé zaviněné porušení smluvní povinnosti.</w:t>
      </w:r>
    </w:p>
    <w:p w:rsidR="00CD0C03" w:rsidRDefault="00FA3FC7">
      <w:pPr>
        <w:pStyle w:val="Nadpis2"/>
        <w:keepLines w:val="0"/>
        <w:ind w:left="576"/>
      </w:pPr>
      <w:r>
        <w:lastRenderedPageBreak/>
        <w:t xml:space="preserve">Škodu hradí škůdce v penězích, nežádá-li </w:t>
      </w:r>
      <w:r w:rsidR="00A769A2">
        <w:t xml:space="preserve">poškozený </w:t>
      </w:r>
      <w:r>
        <w:t>uvedení do předešlého stavu.</w:t>
      </w:r>
    </w:p>
    <w:p w:rsidR="00CD0C03" w:rsidRDefault="00FA3FC7">
      <w:pPr>
        <w:pStyle w:val="Nadpis2"/>
        <w:keepLines w:val="0"/>
        <w:ind w:left="578" w:hanging="578"/>
      </w:pPr>
      <w:r>
        <w:t xml:space="preserve">Smluvní strany se dohodly, že v případě náhrady škody v penězích se bude hradit pouze skutečná, prokazatelně vzniklá škoda. </w:t>
      </w:r>
    </w:p>
    <w:p w:rsidR="00CD0C03" w:rsidRDefault="00FA3FC7">
      <w:pPr>
        <w:pStyle w:val="Nadpis2"/>
        <w:keepLines w:val="0"/>
        <w:ind w:left="578" w:hanging="578"/>
      </w:pPr>
      <w:r>
        <w:t>Náhrada škody je splatná ve lhůtě 30 kalendářních dnů od doručení písemné výzvy oprávněné Smluvní strany Smluvní straně povinné z náhrady škody.</w:t>
      </w:r>
    </w:p>
    <w:p w:rsidR="00CD0C03" w:rsidRDefault="00FA3FC7">
      <w:pPr>
        <w:pStyle w:val="Nadpis1"/>
      </w:pPr>
      <w:r>
        <w:t>mlčenlivost</w:t>
      </w:r>
    </w:p>
    <w:p w:rsidR="00CD0C03" w:rsidRDefault="00FA3FC7">
      <w:pPr>
        <w:pStyle w:val="Nadpis2"/>
        <w:keepLines w:val="0"/>
        <w:ind w:left="576"/>
      </w:pPr>
      <w:r>
        <w:t>Smluvní strany se zavazují udržovat v tajnosti, podniknout všechny nezbytné kroky k zabezpečení a nezpřístupnit třetím osobám informace důvěrné povahy (dále jen „</w:t>
      </w:r>
      <w:r>
        <w:rPr>
          <w:b/>
        </w:rPr>
        <w:t>Informace důvěrné povahy</w:t>
      </w:r>
      <w:r>
        <w:t xml:space="preserve">“). Povinnost poskytovat informace podle zákona č. 106/1999 Sb., </w:t>
      </w:r>
      <w:r>
        <w:br/>
        <w:t>o svobodném přístupu k informacím, ve znění pozdějších předpisů, není tímto ustanovením dotčena. Za Informace důvěrné povahy se považují veškeré následující informace:</w:t>
      </w:r>
    </w:p>
    <w:p w:rsidR="00CD0C03" w:rsidRDefault="00FA3FC7">
      <w:pPr>
        <w:pStyle w:val="Nadpis4"/>
        <w:widowControl w:val="0"/>
        <w:numPr>
          <w:ilvl w:val="0"/>
          <w:numId w:val="8"/>
        </w:numPr>
        <w:ind w:left="1134" w:hanging="567"/>
      </w:pPr>
      <w:r>
        <w:t>veškeré informace poskytnuté Prodávajícímu Kupujícím v souvislosti s plněním této Smlouvy (pokud nejsou výslovně obsaženy ve znění Smlouvy zveřejňovaném dle článku 12.6 této Smlouvy);</w:t>
      </w:r>
    </w:p>
    <w:p w:rsidR="00CD0C03" w:rsidRDefault="00FA3FC7">
      <w:pPr>
        <w:pStyle w:val="Nadpis4"/>
        <w:widowControl w:val="0"/>
      </w:pPr>
      <w:r>
        <w:t>informace, na která se vztahuje zákonem uložená povinnost mlčenlivosti;</w:t>
      </w:r>
    </w:p>
    <w:p w:rsidR="00CD0C03" w:rsidRDefault="00FA3FC7">
      <w:pPr>
        <w:pStyle w:val="Nadpis4"/>
        <w:widowControl w:val="0"/>
      </w:pPr>
      <w:r>
        <w:t>veškeré další informace, které budou Kupujícím označeny jako důvěrné ve smyslu ustanovení § 36 odst. 8 Zákona o zadávání veřejných zakázek.</w:t>
      </w:r>
    </w:p>
    <w:p w:rsidR="00CD0C03" w:rsidRDefault="00FA3FC7">
      <w:pPr>
        <w:pStyle w:val="Nadpis2"/>
        <w:keepNext/>
        <w:keepLines w:val="0"/>
        <w:ind w:left="578" w:hanging="578"/>
      </w:pPr>
      <w:r>
        <w:t>Povinnost zachovávat mlčenlivost, uvedená v předchozím článku, se nevztahuje na informace:</w:t>
      </w:r>
    </w:p>
    <w:p w:rsidR="00CD0C03" w:rsidRDefault="00FA3FC7">
      <w:pPr>
        <w:pStyle w:val="Nadpis4"/>
        <w:widowControl w:val="0"/>
        <w:numPr>
          <w:ilvl w:val="0"/>
          <w:numId w:val="9"/>
        </w:numPr>
        <w:ind w:left="1134" w:hanging="567"/>
      </w:pPr>
      <w:r>
        <w:t>které je Kupující povinen poskytnout třetím osobám podle zákona č. 106/1999 Sb., o svobodném přístupu k informacím, ve znění pozdějších předpisů;</w:t>
      </w:r>
    </w:p>
    <w:p w:rsidR="00CD0C03" w:rsidRDefault="00FA3FC7">
      <w:pPr>
        <w:pStyle w:val="Nadpis4"/>
        <w:widowControl w:val="0"/>
      </w:pPr>
      <w:r>
        <w:t>jejichž sdělení vyžaduje jiný právní předpis;</w:t>
      </w:r>
    </w:p>
    <w:p w:rsidR="00CD0C03" w:rsidRDefault="00FA3FC7">
      <w:pPr>
        <w:pStyle w:val="Nadpis4"/>
        <w:widowControl w:val="0"/>
      </w:pPr>
      <w:r>
        <w:t>které jsou nebo se stanou všeobecně a veřejně přístupnými jinak než porušením právních povinností ze strany některé ze Smluvních stran;</w:t>
      </w:r>
    </w:p>
    <w:p w:rsidR="00CD0C03" w:rsidRDefault="00FA3FC7">
      <w:pPr>
        <w:pStyle w:val="Nadpis4"/>
        <w:widowControl w:val="0"/>
      </w:pPr>
      <w:r>
        <w:t>u nichž je Prodávající schopen prokázat, že mu byly známy ještě před přijetím těchto informací od Kupujícího, avšak pouze za podmínky, že se na tyto informace nevztahuje povinnost mlčenlivosti z jiných důvodů;</w:t>
      </w:r>
    </w:p>
    <w:p w:rsidR="00CD0C03" w:rsidRDefault="00FA3FC7">
      <w:pPr>
        <w:pStyle w:val="Nadpis4"/>
      </w:pPr>
      <w:r>
        <w:t>které budou Prodávajícímu po uzavření této Smlouvy sděleny bez závazku mlčenlivosti třetí stranou, jež rovněž není ve vztahu k těmto informacím nijak vázána.</w:t>
      </w:r>
    </w:p>
    <w:p w:rsidR="00CD0C03" w:rsidRDefault="00FA3FC7">
      <w:pPr>
        <w:pStyle w:val="Nadpis2"/>
        <w:ind w:left="578" w:hanging="578"/>
      </w:pPr>
      <w:r>
        <w:t>Jako s Informacemi důvěrné povahy musí být nakládáno také s informacemi, které splňují podmínky uvedené v článku 9.1 této Smlouvy, i když byly získané náhodně nebo bez vědomí Kupujícího, a dále s veškerými informacemi získanými od jakékoliv třetí strany, pokud se týkají Kupujícího či plnění této Smlouvy.</w:t>
      </w:r>
    </w:p>
    <w:p w:rsidR="00CD0C03" w:rsidRDefault="00FA3FC7">
      <w:pPr>
        <w:pStyle w:val="Nadpis2"/>
        <w:keepLines w:val="0"/>
        <w:ind w:left="578" w:hanging="578"/>
      </w:pPr>
      <w:r>
        <w:t>Prodávající se zavazuje, že Informace důvěrné povahy užije pouze za účelem plnění této Smlouvy. K jinému použití je třeba předchozí písemný souhlas Kupujícího.</w:t>
      </w:r>
    </w:p>
    <w:p w:rsidR="00CD0C03" w:rsidRDefault="00FA3FC7">
      <w:pPr>
        <w:pStyle w:val="Nadpis2"/>
        <w:keepLines w:val="0"/>
        <w:ind w:left="578" w:hanging="578"/>
      </w:pPr>
      <w:r>
        <w:t xml:space="preserve">Prodávající je povinen zavázat povinností mlčenlivosti a respektováním práv Kupujícího všechny osoby, kterým umožní jakkoliv se s Informacemi důvěrné povahy seznámit, včetně svého případného poddodavatele, a to nejméně ve stejném rozsahu, v jakém je v tomto smluvním vztahu zavázán sám. </w:t>
      </w:r>
    </w:p>
    <w:p w:rsidR="00CD0C03" w:rsidRDefault="00FA3FC7">
      <w:pPr>
        <w:pStyle w:val="Nadpis2"/>
        <w:keepLines w:val="0"/>
        <w:ind w:left="578" w:hanging="578"/>
      </w:pPr>
      <w:r>
        <w:t>Povinnost zachování mlčenlivosti trvá ještě po dobu 5 let od skončení záruční doby uvedené v článku 6.2 této Smlouvy.</w:t>
      </w:r>
    </w:p>
    <w:p w:rsidR="00CD0C03" w:rsidRDefault="00FA3FC7">
      <w:pPr>
        <w:pStyle w:val="Nadpis2"/>
        <w:keepLines w:val="0"/>
        <w:ind w:left="578" w:hanging="578"/>
      </w:pPr>
      <w:r>
        <w:t>Závazky vyplývající z tohoto článku není žádná ze Smluvních stran oprávněna vypovědět ani jiným způsobem jednostranně ukončit.</w:t>
      </w:r>
    </w:p>
    <w:p w:rsidR="00CD0C03" w:rsidRDefault="00FA3FC7">
      <w:pPr>
        <w:pStyle w:val="Nadpis1"/>
      </w:pPr>
      <w:r>
        <w:lastRenderedPageBreak/>
        <w:t>smluvní pokuty a úrok z prodlení</w:t>
      </w:r>
    </w:p>
    <w:p w:rsidR="00CD0C03" w:rsidRDefault="00FA3FC7">
      <w:pPr>
        <w:pStyle w:val="Nadpis2"/>
        <w:keepLines w:val="0"/>
        <w:ind w:left="576"/>
      </w:pPr>
      <w:r>
        <w:t xml:space="preserve">V případě, že Prodávající nepředá Předmět koupě Kupujícímu ve lhůtě uvedené v článku 2.2 této Smlouvy, je Kupující oprávněn požadovat úhradu smluvní pokuty ve výši 5.000 Kč </w:t>
      </w:r>
      <w:r>
        <w:br/>
        <w:t>za každý započatý den prodlení.</w:t>
      </w:r>
    </w:p>
    <w:p w:rsidR="00CD0C03" w:rsidRDefault="00FA3FC7">
      <w:pPr>
        <w:pStyle w:val="Nadpis2"/>
        <w:keepLines w:val="0"/>
        <w:ind w:left="576"/>
      </w:pPr>
      <w:r>
        <w:t xml:space="preserve">V případě, že Prodávající poruší povinnost uvedenou v článku 3.12 této Smlouvy týkající se neoznámení vydání rozhodnutí správce daně o tom, že Prodávající je Nespolehlivým plátcem, je Kupující oprávněn požadovat úhradu smluvní pokuty ve výši 1.000 Kč za každý započatý den prodlení. </w:t>
      </w:r>
    </w:p>
    <w:p w:rsidR="00CD0C03" w:rsidRDefault="00FA3FC7">
      <w:pPr>
        <w:pStyle w:val="Nadpis2"/>
      </w:pPr>
      <w:r>
        <w:t>V případě, že Prodávající bude v prodlení se závazným Termínem ukončení Servisu Předmětu koupě dle článku 7.4 této Smlouvy, je Kupující oprávněn požadovat úhradu smluvní pokuty ve výši 300 Kč za každý započatý den prodlení.</w:t>
      </w:r>
    </w:p>
    <w:p w:rsidR="00CD0C03" w:rsidRDefault="00FA3FC7">
      <w:pPr>
        <w:pStyle w:val="Nadpis2"/>
        <w:keepLines w:val="0"/>
        <w:ind w:left="576"/>
      </w:pPr>
      <w:r>
        <w:t>V případě, že Prodávající poruší smluvní povinnost týkající se mlčenlivosti uvedenou v článku 9 této Smlouvy nebo povinnost dle článku 12.9 této Smlouvy, je Kupující oprávněn požadovat úhradu smluvní pokuty ve výši 50.000 Kč za každý jednotlivý případ porušení.</w:t>
      </w:r>
    </w:p>
    <w:p w:rsidR="00CD0C03" w:rsidRDefault="00FA3FC7">
      <w:pPr>
        <w:pStyle w:val="Nadpis2"/>
        <w:keepLines w:val="0"/>
        <w:ind w:left="576"/>
      </w:pPr>
      <w:r>
        <w:t>V případě, že bude Kupující v prodlení s úhradou Faktury, je Prodávající oprávněn požadovat úhradu úroku z prodlení ve výši stanovené příslušnými právními předpisy.</w:t>
      </w:r>
    </w:p>
    <w:p w:rsidR="00CD0C03" w:rsidRDefault="00FA3FC7">
      <w:pPr>
        <w:pStyle w:val="Nadpis2"/>
        <w:keepLines w:val="0"/>
        <w:ind w:left="576"/>
        <w:rPr>
          <w:i/>
        </w:rPr>
      </w:pPr>
      <w:r>
        <w:t xml:space="preserve">Kupující je oprávněn uplatňovat vůči Prodávajícímu veškeré smluvní pokuty, na které mu bude </w:t>
      </w:r>
      <w:r>
        <w:br/>
        <w:t>z porušení Smlouvy Prodávajícím vyplývat nárok dle tohoto článku. Zaplacením smluvní pokuty není dotčeno právo na náhradu škody vzniklé z porušení povinnosti, ke které se smluvní pokuta vztahuje. Zaplacením smluvní pokuty není dotčeno právo na úrok z prodlení dle platných právních předpisů.</w:t>
      </w:r>
    </w:p>
    <w:p w:rsidR="00CD0C03" w:rsidRDefault="00FA3FC7">
      <w:pPr>
        <w:pStyle w:val="Nadpis2"/>
        <w:keepLines w:val="0"/>
        <w:ind w:left="576"/>
      </w:pPr>
      <w:r>
        <w:t xml:space="preserve">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w:t>
      </w:r>
      <w:r>
        <w:br/>
        <w:t xml:space="preserve">o způsobu úhrady. </w:t>
      </w:r>
    </w:p>
    <w:p w:rsidR="00CD0C03" w:rsidRDefault="00FA3FC7">
      <w:pPr>
        <w:pStyle w:val="Nadpis1"/>
      </w:pPr>
      <w:r>
        <w:t>Doba trvání Smlouvy a její ukončení</w:t>
      </w:r>
    </w:p>
    <w:p w:rsidR="00CD0C03" w:rsidRDefault="00FA3FC7">
      <w:pPr>
        <w:pStyle w:val="Nadpis2"/>
        <w:keepLines w:val="0"/>
        <w:ind w:left="578" w:hanging="578"/>
        <w:rPr>
          <w:rStyle w:val="h1a"/>
        </w:rPr>
      </w:pPr>
      <w:r>
        <w:t xml:space="preserve">Tato Smlouva nabývá platnosti dnem jejího podpisu oběma Smluvními stranami a účinnosti dnem uveřejnění v registru smluv podle zákona č. 340/2015 Sb., o zvláštních podmínkách účinnosti některých smluv, uveřejňování těchto smluv a o registru smluv (zákon o registru smluv). Kupující se zavazuje, že tuto Smlouvu včetně jejích příloh (s vyloučením jinak chráněných informací) </w:t>
      </w:r>
      <w:r>
        <w:rPr>
          <w:rStyle w:val="h1a"/>
        </w:rPr>
        <w:t xml:space="preserve">uveřejní v registru smluv a o jejím uveřejnění bude prostřednictvím </w:t>
      </w:r>
      <w:r>
        <w:rPr>
          <w:rStyle w:val="h1a"/>
        </w:rPr>
        <w:br/>
        <w:t>e-mailové zprávy informovat Oprávněnou osobu Prodávajícího.</w:t>
      </w:r>
    </w:p>
    <w:p w:rsidR="00CD0C03" w:rsidRDefault="00FA3FC7">
      <w:pPr>
        <w:pStyle w:val="Nadpis2"/>
      </w:pPr>
      <w:r>
        <w:t>Tato Smlouva se uzavírá na dobu určitou do skončení záruky uvedené v článku 6.2 této Smlouvy.</w:t>
      </w:r>
    </w:p>
    <w:p w:rsidR="00CD0C03" w:rsidRDefault="00FA3FC7">
      <w:pPr>
        <w:pStyle w:val="Nadpis2"/>
      </w:pPr>
      <w:r>
        <w:t>Před uplynutím sjednané doby trvání lze Smlouvu ukončit pouze jedním z následujících způsobů:</w:t>
      </w:r>
    </w:p>
    <w:p w:rsidR="00CD0C03" w:rsidRDefault="00FA3FC7">
      <w:pPr>
        <w:pStyle w:val="Nadpis4"/>
        <w:numPr>
          <w:ilvl w:val="0"/>
          <w:numId w:val="10"/>
        </w:numPr>
        <w:ind w:left="1134" w:hanging="567"/>
      </w:pPr>
      <w:r>
        <w:t>písemnou dohodou Smluvních stran; v takovém případě končí platnost této Smlouvy dnem uvedeným v dohodě;</w:t>
      </w:r>
    </w:p>
    <w:p w:rsidR="00CD0C03" w:rsidRDefault="00FA3FC7">
      <w:pPr>
        <w:pStyle w:val="Nadpis4"/>
      </w:pPr>
      <w:r>
        <w:t>písemnou výpovědí Kupujícího, a to i bez uvedení důvodu; výpovědní doba činí 6 kalendářních měsíců a počíná běžet prvním dnem měsíce následujícího po měsíci, v němž bylo písemné vyhotovení výpovědi prokazatelně doručeno Prodávajícímu;</w:t>
      </w:r>
    </w:p>
    <w:p w:rsidR="00CD0C03" w:rsidRDefault="00FA3FC7">
      <w:pPr>
        <w:pStyle w:val="Nadpis4"/>
      </w:pPr>
      <w:r>
        <w:t>písemným odstoupením od této Smlouvy za podmínek stanovených v tomto článku.</w:t>
      </w:r>
    </w:p>
    <w:p w:rsidR="00CD0C03" w:rsidRDefault="00FA3FC7">
      <w:pPr>
        <w:pStyle w:val="Nadpis2"/>
        <w:numPr>
          <w:ilvl w:val="0"/>
          <w:numId w:val="0"/>
        </w:numPr>
        <w:ind w:left="567"/>
      </w:pPr>
      <w:r>
        <w:lastRenderedPageBreak/>
        <w:t xml:space="preserve">V případě předčasného ukončení Smlouvy některým ze způsobů dle čl. 11.3 písm. a) až c) je Prodávající povinen vrátit Kupujícímu alikvotní část úhrady za nekonzumované servisní služby, které byly uhrazeny předem na dobu 5 let jakožto cena za Servis Předmětu koupě v rámci Kupní ceny. </w:t>
      </w:r>
    </w:p>
    <w:p w:rsidR="00CD0C03" w:rsidRDefault="00FA3FC7">
      <w:pPr>
        <w:pStyle w:val="Nadpis2"/>
      </w:pPr>
      <w:r>
        <w:t>Smluvní strany jsou oprávněny od této Smlouvy odstoupit, nastanou-li okolnosti předvídané ustanovením § 2002 Občanského zákoníku.</w:t>
      </w:r>
    </w:p>
    <w:p w:rsidR="00CD0C03" w:rsidRDefault="00FA3FC7">
      <w:pPr>
        <w:pStyle w:val="Nadpis2"/>
      </w:pPr>
      <w:r>
        <w:t>Za podstatné porušení této Smlouvy Prodávajícím se ve smyslu § 2002 Občanského zákoníku považují zejména případy, kdy:</w:t>
      </w:r>
    </w:p>
    <w:p w:rsidR="00CD0C03" w:rsidRDefault="00FA3FC7">
      <w:pPr>
        <w:pStyle w:val="Nadpis4"/>
        <w:numPr>
          <w:ilvl w:val="0"/>
          <w:numId w:val="11"/>
        </w:numPr>
        <w:ind w:left="1134" w:hanging="567"/>
      </w:pPr>
      <w:r>
        <w:t>Prodávající nedodá vozidla tvořící Předmět koupě ani do 30 kalendářních dnů po uplynutí lhůty uvedené v článku 2.2 této Smlouvy;</w:t>
      </w:r>
    </w:p>
    <w:p w:rsidR="00CD0C03" w:rsidRDefault="00FA3FC7">
      <w:pPr>
        <w:pStyle w:val="Nadpis4"/>
      </w:pPr>
      <w:r>
        <w:t>Prodávající nebude řádně a včas poskytovat Kupujícímu Servis Předmětu koupě, a to ani v dodatečné lhůtě stanovené Kupujícím;</w:t>
      </w:r>
    </w:p>
    <w:p w:rsidR="00CD0C03" w:rsidRDefault="00FA3FC7">
      <w:pPr>
        <w:pStyle w:val="Nadpis4"/>
      </w:pPr>
      <w:r>
        <w:t>Prodávající předložil ve své nabídce na Veřejnou zakázku informace nebo doklady, které neodpovídají skutečnosti a měly vliv na výběr ekonomicky nejvýhodnější nabídky;</w:t>
      </w:r>
    </w:p>
    <w:p w:rsidR="00CD0C03" w:rsidRDefault="00FA3FC7">
      <w:pPr>
        <w:pStyle w:val="Nadpis4"/>
      </w:pPr>
      <w:r>
        <w:t>bude rozhodnuto o likvidaci Prodávajícího;</w:t>
      </w:r>
    </w:p>
    <w:p w:rsidR="00CD0C03" w:rsidRDefault="00FA3FC7">
      <w:pPr>
        <w:pStyle w:val="Nadpis4"/>
      </w:pPr>
      <w:r>
        <w:t>Prodávající podá insolvenční návrh ohledně své osoby, bude rozhodnuto o úpadku Prodávajícího nebo bude ve vztahu k Prodávajícímu vydáno jiné rozhodnutí s obdobnými účinky;</w:t>
      </w:r>
    </w:p>
    <w:p w:rsidR="00CD0C03" w:rsidRDefault="00FA3FC7">
      <w:pPr>
        <w:pStyle w:val="Nadpis4"/>
      </w:pPr>
      <w:r>
        <w:t>Prodávající bude pravomocně odsouzen za úmyslný majetkový nebo hospodářský trestný čin.</w:t>
      </w:r>
    </w:p>
    <w:p w:rsidR="00CD0C03" w:rsidRDefault="00FA3FC7">
      <w:pPr>
        <w:pStyle w:val="Nadpis2"/>
        <w:keepLines w:val="0"/>
        <w:ind w:left="576"/>
      </w:pPr>
      <w:r>
        <w:t xml:space="preserve">Nastane-li některý z případů uvedených v článku </w:t>
      </w:r>
      <w:r>
        <w:rPr>
          <w:rFonts w:cs="Arial"/>
          <w:snapToGrid w:val="0"/>
        </w:rPr>
        <w:t>11.5</w:t>
      </w:r>
      <w:r>
        <w:t xml:space="preserve"> písm. d) až f) této Smlouvy, je Prodávající povinen informovat o této skutečnosti Kupujícího písemně do 3 pracovních dnů od jejího vzniku, společně s informací o tom, o kterou ze skutečností jde, a s uvedením bližších údajů, které by Kupující mohl v této souvislosti potřebovat pro své rozhodnutí o odstoupení od této Smlouvy. Nedodržení této povinnosti je podstatným porušením této Smlouvy.</w:t>
      </w:r>
    </w:p>
    <w:p w:rsidR="00CD0C03" w:rsidRDefault="00FA3FC7">
      <w:pPr>
        <w:pStyle w:val="Nadpis2"/>
        <w:keepLines w:val="0"/>
      </w:pPr>
      <w:r>
        <w:t>Kupující je oprávněn od této Smlouvy odstoupit také pouze ohledně nesplněného zbytku plnění, plnil-li Prodávající jen zčásti, pokud má přijaté dílčí plnění pro Kupujícího význam.</w:t>
      </w:r>
    </w:p>
    <w:p w:rsidR="00CD0C03" w:rsidRDefault="00FA3FC7">
      <w:pPr>
        <w:pStyle w:val="Nadpis2"/>
        <w:keepLines w:val="0"/>
        <w:ind w:left="576"/>
      </w:pPr>
      <w:r>
        <w:t>Odstoupení od této Smlouvy musí být písemné, jinak je neplatné. Odstoupení je účinné ode dne, kdy bylo doručeno druhé Smluvní straně. V pochybnostech se má za to, že odstoupení od této Smlouvy bylo doručeno 5. kalendářním dnem po jeho odeslání příslušné Smluvní straně poštovní doporučenou zásilkou nebo doručením do datové schránky příslušné Smluvní strany při odeslání datovou zprávou.</w:t>
      </w:r>
    </w:p>
    <w:p w:rsidR="00CD0C03" w:rsidRDefault="00FA3FC7">
      <w:pPr>
        <w:pStyle w:val="Nadpis2"/>
        <w:keepLines w:val="0"/>
        <w:ind w:left="576"/>
      </w:pPr>
      <w:r>
        <w:t>Ukončením této Smlouvy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této Smlouvy. Ukončení této Smlouvy se nedotýká ani práv poskytnutých ve smyslu článku 5 této Smlouvy.</w:t>
      </w:r>
    </w:p>
    <w:p w:rsidR="00CD0C03" w:rsidRDefault="00FA3FC7">
      <w:pPr>
        <w:pStyle w:val="Nadpis1"/>
      </w:pPr>
      <w:r>
        <w:t>Závěrečná ustanovení</w:t>
      </w:r>
    </w:p>
    <w:p w:rsidR="00CD0C03" w:rsidRDefault="00FA3FC7">
      <w:pPr>
        <w:pStyle w:val="Nadpis2"/>
        <w:keepLines w:val="0"/>
        <w:ind w:left="576"/>
      </w:pPr>
      <w:r>
        <w:t>Oznámení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w:t>
      </w:r>
      <w:r>
        <w:noBreakHyphen/>
        <w:t xml:space="preserve">mailem, kurýrem či prostřednictvím datové schránky (není-li v této Smlouvě dohodnuto jinak) </w:t>
      </w:r>
      <w:r>
        <w:lastRenderedPageBreak/>
        <w:t>na adresy uvedené v tomto článku nebo na jinou adresu, kterou příslušná Smluvní strana v předstihu písemně oznámí druhé Smluvní straně.</w:t>
      </w:r>
    </w:p>
    <w:p w:rsidR="00CD0C03" w:rsidRDefault="00FA3FC7">
      <w:pPr>
        <w:pStyle w:val="Nadpis4"/>
        <w:numPr>
          <w:ilvl w:val="0"/>
          <w:numId w:val="0"/>
        </w:numPr>
        <w:spacing w:after="60"/>
        <w:ind w:left="1134" w:hanging="567"/>
      </w:pPr>
      <w:r>
        <w:t>Kupující:</w:t>
      </w:r>
      <w:r>
        <w:tab/>
      </w:r>
      <w:r>
        <w:tab/>
        <w:t xml:space="preserve">Název: </w:t>
      </w:r>
      <w:r>
        <w:rPr>
          <w:rFonts w:cs="Arial"/>
        </w:rPr>
        <w:t>Státní fond dopravní infrastruktury</w:t>
      </w:r>
    </w:p>
    <w:p w:rsidR="00CD0C03" w:rsidRDefault="00FA3FC7">
      <w:pPr>
        <w:spacing w:after="60"/>
        <w:ind w:left="1842" w:firstLine="282"/>
      </w:pPr>
      <w:r>
        <w:t xml:space="preserve">Adresa: </w:t>
      </w:r>
      <w:r>
        <w:rPr>
          <w:rFonts w:cs="Arial"/>
        </w:rPr>
        <w:t>Sokolovská 1955/278, 190 00 Praha 9</w:t>
      </w:r>
    </w:p>
    <w:p w:rsidR="00CD0C03" w:rsidRDefault="00FA3FC7">
      <w:pPr>
        <w:spacing w:after="60"/>
        <w:ind w:left="2127"/>
      </w:pPr>
      <w:r>
        <w:t xml:space="preserve">K rukám: jméno Oprávněné osoby Kupujícího </w:t>
      </w:r>
    </w:p>
    <w:p w:rsidR="00CD0C03" w:rsidRDefault="00FA3FC7">
      <w:pPr>
        <w:spacing w:after="60"/>
        <w:ind w:left="1560" w:firstLine="564"/>
      </w:pPr>
      <w:r>
        <w:t xml:space="preserve">E-mail: </w:t>
      </w:r>
      <w:hyperlink r:id="rId9" w:history="1">
        <w:r>
          <w:rPr>
            <w:rStyle w:val="Hypertextovodkaz"/>
            <w:rFonts w:cs="Arial"/>
          </w:rPr>
          <w:t>info@sfdi.cz</w:t>
        </w:r>
      </w:hyperlink>
      <w:r>
        <w:rPr>
          <w:rFonts w:cs="Arial"/>
        </w:rPr>
        <w:t xml:space="preserve"> </w:t>
      </w:r>
    </w:p>
    <w:p w:rsidR="00CD0C03" w:rsidRDefault="00FA3FC7">
      <w:pPr>
        <w:spacing w:after="240"/>
        <w:ind w:left="1843" w:firstLine="284"/>
      </w:pPr>
      <w:r>
        <w:t>Datová schránka: e5qaihb</w:t>
      </w:r>
    </w:p>
    <w:p w:rsidR="00CD0C03" w:rsidRDefault="00FA3FC7">
      <w:pPr>
        <w:pStyle w:val="Nadpis4"/>
        <w:numPr>
          <w:ilvl w:val="0"/>
          <w:numId w:val="0"/>
        </w:numPr>
        <w:spacing w:after="60"/>
        <w:ind w:left="1134" w:hanging="567"/>
      </w:pPr>
      <w:r>
        <w:t>Prodávající:</w:t>
      </w:r>
      <w:r>
        <w:tab/>
        <w:t xml:space="preserve">Název: </w:t>
      </w:r>
      <w:r>
        <w:rPr>
          <w:rFonts w:cs="Arial"/>
        </w:rPr>
        <w:t>Hyundai Motor Czech s.r.o.</w:t>
      </w:r>
    </w:p>
    <w:p w:rsidR="00CD0C03" w:rsidRDefault="00FA3FC7">
      <w:pPr>
        <w:spacing w:after="60"/>
        <w:ind w:left="1842" w:firstLine="282"/>
      </w:pPr>
      <w:r>
        <w:t xml:space="preserve">Adresa: </w:t>
      </w:r>
      <w:proofErr w:type="spellStart"/>
      <w:r>
        <w:rPr>
          <w:rFonts w:cs="Arial"/>
        </w:rPr>
        <w:t>Siemensova</w:t>
      </w:r>
      <w:proofErr w:type="spellEnd"/>
      <w:r>
        <w:rPr>
          <w:rFonts w:cs="Arial"/>
        </w:rPr>
        <w:t xml:space="preserve"> 2717/4, 155 00 Praha 5</w:t>
      </w:r>
    </w:p>
    <w:p w:rsidR="00CD0C03" w:rsidRDefault="00FA3FC7">
      <w:pPr>
        <w:spacing w:after="60"/>
        <w:ind w:left="1560" w:firstLine="564"/>
      </w:pPr>
      <w:r>
        <w:t xml:space="preserve">E-mail: </w:t>
      </w:r>
      <w:r w:rsidR="00C9290E">
        <w:t>XXXXX</w:t>
      </w:r>
    </w:p>
    <w:p w:rsidR="00CD0C03" w:rsidRDefault="00FA3FC7">
      <w:pPr>
        <w:ind w:left="1560" w:firstLine="564"/>
        <w:rPr>
          <w:rFonts w:cs="Arial"/>
        </w:rPr>
      </w:pPr>
      <w:r>
        <w:t>Datová schránka:</w:t>
      </w:r>
      <w:r>
        <w:rPr>
          <w:rFonts w:cs="Arial"/>
        </w:rPr>
        <w:t xml:space="preserve"> vb8a87w</w:t>
      </w:r>
    </w:p>
    <w:p w:rsidR="00CD0C03" w:rsidRDefault="00FA3FC7">
      <w:pPr>
        <w:ind w:left="1560" w:firstLine="564"/>
      </w:pPr>
      <w:r>
        <w:rPr>
          <w:rFonts w:cs="Arial"/>
        </w:rPr>
        <w:t>Kontaktní osoba: Martin Krob, tel.</w:t>
      </w:r>
      <w:r w:rsidR="007B3617">
        <w:rPr>
          <w:rFonts w:cs="Arial"/>
        </w:rPr>
        <w:t xml:space="preserve"> XXXXX</w:t>
      </w:r>
    </w:p>
    <w:p w:rsidR="00CD0C03" w:rsidRDefault="00FA3FC7">
      <w:pPr>
        <w:pStyle w:val="Nadpis2"/>
        <w:ind w:left="576"/>
      </w:pPr>
      <w:r>
        <w:t>Účinnost oznámení nastává v pracovní den následující po dni doručení tohoto oznámení druhé Smluvní straně, není-li ve Smlouvě nebo dohodou Smluvních stran stanoveno jinak.</w:t>
      </w:r>
    </w:p>
    <w:p w:rsidR="00CD0C03" w:rsidRDefault="00FA3FC7">
      <w:pPr>
        <w:pStyle w:val="Nadpis2"/>
        <w:keepLines w:val="0"/>
        <w:ind w:left="576"/>
      </w:pPr>
      <w:r>
        <w:t>Smluvní strany se dohodly na určení Oprávněnýc</w:t>
      </w:r>
      <w:bookmarkStart w:id="0" w:name="_GoBack"/>
      <w:bookmarkEnd w:id="0"/>
      <w:r>
        <w:t>h osob za Kupujícího a Prodávajícího. Oprávněné osoby jsou oprávněné ke všem jednáním týkající se této Smlouvy, není-li v této Smlouvě stanoveno jinak, s výjimkou změn nebo ukončení této Smlouvy</w:t>
      </w:r>
      <w:r>
        <w:rPr>
          <w:rFonts w:cs="Arial"/>
          <w:szCs w:val="20"/>
        </w:rPr>
        <w:t xml:space="preserve">. </w:t>
      </w:r>
      <w:r>
        <w:t xml:space="preserve"> V případě, že má Smluvní strana více Oprávněných osob, zasílají se veškeré e-mailové zprávy na adresy všech Oprávněných osob v kopii.</w:t>
      </w:r>
    </w:p>
    <w:p w:rsidR="00CD0C03" w:rsidRDefault="00FA3FC7">
      <w:pPr>
        <w:pStyle w:val="Nadpis4"/>
        <w:keepNext/>
        <w:numPr>
          <w:ilvl w:val="0"/>
          <w:numId w:val="5"/>
        </w:numPr>
        <w:spacing w:after="60"/>
        <w:ind w:left="1134" w:hanging="567"/>
      </w:pPr>
      <w:r>
        <w:t>Oprávněnými osobami Kupujícího jsou:</w:t>
      </w:r>
    </w:p>
    <w:p w:rsidR="00CD0C03" w:rsidRDefault="00FA3FC7">
      <w:pPr>
        <w:pStyle w:val="Nadpis2"/>
        <w:numPr>
          <w:ilvl w:val="0"/>
          <w:numId w:val="0"/>
        </w:numPr>
        <w:ind w:left="1134"/>
        <w:rPr>
          <w:color w:val="000000" w:themeColor="text1"/>
        </w:rPr>
      </w:pPr>
      <w:r>
        <w:rPr>
          <w:rFonts w:cs="Arial"/>
        </w:rPr>
        <w:t xml:space="preserve">Mgr. Marie Borecká, </w:t>
      </w:r>
      <w:hyperlink r:id="rId10" w:history="1">
        <w:r>
          <w:rPr>
            <w:rStyle w:val="Hypertextovodkaz"/>
            <w:rFonts w:cs="Arial"/>
          </w:rPr>
          <w:t>marie.borecka@sfdi.cz</w:t>
        </w:r>
      </w:hyperlink>
      <w:r>
        <w:rPr>
          <w:rFonts w:cs="Arial"/>
        </w:rPr>
        <w:t>, tel. +420 </w:t>
      </w:r>
      <w:r w:rsidR="003C74A2">
        <w:rPr>
          <w:rFonts w:cs="Arial"/>
        </w:rPr>
        <w:t>702 290 103</w:t>
      </w:r>
      <w:r>
        <w:rPr>
          <w:rFonts w:cs="Arial"/>
        </w:rPr>
        <w:t xml:space="preserve"> </w:t>
      </w:r>
    </w:p>
    <w:p w:rsidR="00CD0C03" w:rsidRDefault="00FA3FC7">
      <w:pPr>
        <w:pStyle w:val="Nadpis4"/>
        <w:keepNext/>
        <w:numPr>
          <w:ilvl w:val="0"/>
          <w:numId w:val="5"/>
        </w:numPr>
        <w:spacing w:after="60"/>
        <w:ind w:left="1134" w:hanging="567"/>
      </w:pPr>
      <w:r>
        <w:t>Oprávněnými osobami Prodávajícího jsou:</w:t>
      </w:r>
    </w:p>
    <w:p w:rsidR="00CD0C03" w:rsidRDefault="00FA3FC7">
      <w:pPr>
        <w:ind w:left="1134"/>
        <w:rPr>
          <w:rFonts w:cs="Arial"/>
        </w:rPr>
      </w:pPr>
      <w:r>
        <w:rPr>
          <w:rFonts w:cs="Arial"/>
        </w:rPr>
        <w:t xml:space="preserve">Martin Krob, e-mail: </w:t>
      </w:r>
      <w:hyperlink r:id="rId11" w:history="1">
        <w:r w:rsidR="00C9290E">
          <w:rPr>
            <w:rStyle w:val="Hypertextovodkaz"/>
            <w:rFonts w:cs="Arial"/>
          </w:rPr>
          <w:t>XXXXX</w:t>
        </w:r>
      </w:hyperlink>
      <w:r>
        <w:rPr>
          <w:rFonts w:cs="Arial"/>
        </w:rPr>
        <w:t xml:space="preserve">, tel. </w:t>
      </w:r>
      <w:r w:rsidR="00C9290E">
        <w:rPr>
          <w:rFonts w:cs="Arial"/>
        </w:rPr>
        <w:t>XXXXX</w:t>
      </w:r>
      <w:r>
        <w:rPr>
          <w:rFonts w:cs="Arial"/>
        </w:rPr>
        <w:t>.</w:t>
      </w:r>
    </w:p>
    <w:p w:rsidR="00CD0C03" w:rsidRDefault="00FA3FC7">
      <w:pPr>
        <w:ind w:left="1134"/>
      </w:pPr>
      <w:r>
        <w:t>Pro účely poskytování Servisu Předmětu koupě podle části 7 Smlouvy (články 7.1 až 7.11 Smlouvy) Oprávněná osoba Prodávajícího pověřuje zaměstnance jednotlivých autorizovaných servisních partnerů dle Přílohy č. 3 Smlouvy.</w:t>
      </w:r>
    </w:p>
    <w:p w:rsidR="00CD0C03" w:rsidRDefault="00FA3FC7">
      <w:pPr>
        <w:pStyle w:val="Nadpis2"/>
        <w:ind w:left="578" w:hanging="578"/>
      </w:pPr>
      <w:r>
        <w:rPr>
          <w:rFonts w:cs="Arial"/>
          <w:szCs w:val="20"/>
        </w:rPr>
        <w:t xml:space="preserve">Ke </w:t>
      </w:r>
      <w:r>
        <w:t xml:space="preserve">změně nebo zrušení této Smlouvy je za Kupujícího oprávněn </w:t>
      </w:r>
      <w:r>
        <w:rPr>
          <w:rFonts w:cs="Arial"/>
        </w:rPr>
        <w:t>Ing. Zbyněk Hořelica</w:t>
      </w:r>
      <w:r>
        <w:t>. K jednáním směřujícím ke změně nebo ukončení této Smlouvy je za Prodávajícího oprávněn Prodávající sám, je-li fyzickou osobou podnikající nebo statutární orgán Prodávajícího, příp. prokurista, a to dle způsobu jednání uvedeném v obchodním rejstříku. Jiné osoby mohou tato právní jednání činit pouze s písemným pověřením osoby či orgánu vymezených v předchozí větě (dále jen „</w:t>
      </w:r>
      <w:r>
        <w:rPr>
          <w:b/>
        </w:rPr>
        <w:t>Odpovědné osoby pro věci smluvní</w:t>
      </w:r>
      <w:r>
        <w:t>“). Odpovědné osoby pro věci smluvní mají současně všechna oprávnění Kontaktních osob.</w:t>
      </w:r>
    </w:p>
    <w:p w:rsidR="00CD0C03" w:rsidRDefault="00FA3FC7">
      <w:pPr>
        <w:pStyle w:val="Nadpis2"/>
        <w:ind w:left="578" w:hanging="578"/>
      </w:pPr>
      <w:r>
        <w:t xml:space="preserve">Jakékoliv změny kontaktních údajů, bankovních údajů, požadovaného formátu Faktury, Oprávněných osob nebo Místa dodání jsou Smluvní strany oprávněny provádět jednostranně </w:t>
      </w:r>
      <w:r>
        <w:br/>
        <w:t xml:space="preserve">a jsou povinny tyto změny neprodleně písemně prostřednictvím datové schránky oznámit druhé Smluvní straně. </w:t>
      </w:r>
    </w:p>
    <w:p w:rsidR="00CD0C03" w:rsidRDefault="00FA3FC7">
      <w:pPr>
        <w:pStyle w:val="Nadpis2"/>
        <w:ind w:left="578" w:hanging="578"/>
      </w:pPr>
      <w:r>
        <w:t xml:space="preserve">Prodávající prohlašuje, že tato Smlouva, jakož i její text a přílohy, neobsahuje obchodní tajemství a souhlasí, aby ji Kupující v plném rozsahu (s vyloučením jinak chráněných informací) v elektronické podobě uveřejnil na profilu zadavatele ve smyslu Zákona o zadávání veřejných zakázek a v registru smluv ve smyslu zákona č. 340/2015 Sb., o zvláštních podmínkách účinnosti některých smluv, uveřejňování těchto smluv a o registru smluv (zákon o registru smluv), ve znění pozdějších předpisů, případně na jiném místě, bude-li k tomu Kupující povinován, a to bez časového omezení. </w:t>
      </w:r>
    </w:p>
    <w:p w:rsidR="00CD0C03" w:rsidRDefault="00FA3FC7">
      <w:pPr>
        <w:pStyle w:val="Nadpis2"/>
        <w:ind w:left="576"/>
      </w:pPr>
      <w:r>
        <w:lastRenderedPageBreak/>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rsidR="00CD0C03" w:rsidRDefault="00FA3FC7">
      <w:pPr>
        <w:pStyle w:val="Nadpis2"/>
        <w:ind w:left="578" w:hanging="578"/>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CD0C03" w:rsidRDefault="00FA3FC7">
      <w:pPr>
        <w:pStyle w:val="Nadpis2"/>
        <w:ind w:left="57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rsidR="00CD0C03" w:rsidRDefault="00FA3FC7">
      <w:pPr>
        <w:pStyle w:val="Nadpis2"/>
        <w:keepLines w:val="0"/>
        <w:ind w:left="576"/>
      </w:pPr>
      <w:r>
        <w:t>Tato Smlouva se řídí právními předpisy České republiky. Smluvní strany pro vyloučení pochybností sjednávají, že tato Smlouva se řídí ustanoveními Občanského zákoníku upravujícími koupi.</w:t>
      </w:r>
    </w:p>
    <w:p w:rsidR="00CD0C03" w:rsidRDefault="00FA3FC7">
      <w:pPr>
        <w:pStyle w:val="Nadpis2"/>
        <w:keepLines w:val="0"/>
        <w:ind w:left="576"/>
      </w:pPr>
      <w:r>
        <w:t>Smluvní strany se dohodly, že všechny spory vyplývající z této Smlouvy nebo spory o existenci této Smlouvy (včetně otázky jejího vzniku a platnosti) budou rozhodovány před věcně a místně příslušným soudem České republiky. Smluvní strany výslovně vylučují možnost využití rozhodčí doložky.</w:t>
      </w:r>
    </w:p>
    <w:p w:rsidR="00CD0C03" w:rsidRDefault="00FA3FC7">
      <w:pPr>
        <w:pStyle w:val="Nadpis2"/>
        <w:ind w:left="578" w:hanging="578"/>
      </w:pPr>
      <w:r>
        <w:t>Smluvní strany se dohodly, že v rámci této Smlouvy vylučují aplikaci ustanovení § 557 Občanského zákoníku.</w:t>
      </w:r>
    </w:p>
    <w:p w:rsidR="003C632D" w:rsidRPr="00C15168" w:rsidRDefault="003C632D" w:rsidP="003C632D">
      <w:pPr>
        <w:ind w:left="567" w:hanging="567"/>
      </w:pPr>
      <w:r>
        <w:t xml:space="preserve">12.13 </w:t>
      </w:r>
      <w:r w:rsidRPr="00C15168">
        <w:t xml:space="preserve">Smluvní strany shodně konstatují, že v souvislosti s uzavřením této Smlouvy a na jejím základě si smluvní strany vzájemně předávají a i do budoucna budou předávat za účelem zajištění řádného plnění Smlouvy osobní údaje kontaktních osob, které se podílejí nebo budou podílet na plnění této Smlouvy, s uvedením jejich osobních údajů: jméno, příjmení, titul, funkce, telefonický a e-mailový kontakt, u kterých právním důvodem pro jejich zpracování smluvními stranami, jako správci těchto osobních údajů, je jejich oprávněný zájem na splnění této Smlouvy, na kterém se v mezích své kompetence podílejí subjekty údajů. V souvislosti s tím se každá smluvní strana zavazuje v rámci svých povinností, jako správce předaných osobních údajů, zajistit, aby subjekty těchto údajů byly při poskytnutí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že toto zpracování je v souladu s úpravou dle článku 6 odst. 1 písm. f) uvedeného nařízení a </w:t>
      </w:r>
      <w:r>
        <w:t xml:space="preserve">se zákonem č. 110/2019 </w:t>
      </w:r>
      <w:proofErr w:type="spellStart"/>
      <w:r>
        <w:t>Sb</w:t>
      </w:r>
      <w:proofErr w:type="spellEnd"/>
      <w:r>
        <w:t xml:space="preserve">, o zpracování osobních údajů, a </w:t>
      </w:r>
      <w:r w:rsidRPr="00C15168">
        <w:t>dále aby subjekty údajů byly informovány o svých právech v rozsahu, jak pro ně</w:t>
      </w:r>
      <w:r>
        <w:t xml:space="preserve"> vyplývají z uvedeného nařízení a z citovaného zákona.</w:t>
      </w:r>
    </w:p>
    <w:p w:rsidR="00CD0C03" w:rsidRDefault="00FA3FC7">
      <w:pPr>
        <w:pStyle w:val="Nadpis2"/>
        <w:ind w:left="567" w:hanging="567"/>
        <w:rPr>
          <w:i/>
          <w:szCs w:val="24"/>
        </w:rPr>
      </w:pPr>
      <w:r>
        <w:t xml:space="preserve">Nedílnou součástí této Smlouvy je následující příloha: </w:t>
      </w:r>
    </w:p>
    <w:p w:rsidR="00CD0C03" w:rsidRDefault="00FA3FC7">
      <w:pPr>
        <w:pStyle w:val="Nadpis2"/>
        <w:numPr>
          <w:ilvl w:val="0"/>
          <w:numId w:val="0"/>
        </w:numPr>
        <w:rPr>
          <w:szCs w:val="24"/>
        </w:rPr>
      </w:pPr>
      <w:r>
        <w:rPr>
          <w:szCs w:val="24"/>
        </w:rPr>
        <w:t>Příloha č. 1 – Technická s</w:t>
      </w:r>
      <w:r>
        <w:rPr>
          <w:rFonts w:cs="Arial"/>
          <w:snapToGrid w:val="0"/>
        </w:rPr>
        <w:t>pecifikace Předmětu koupě</w:t>
      </w:r>
      <w:r>
        <w:rPr>
          <w:szCs w:val="24"/>
        </w:rPr>
        <w:t>.</w:t>
      </w:r>
    </w:p>
    <w:p w:rsidR="00CD0C03" w:rsidRDefault="00FA3FC7">
      <w:r>
        <w:t xml:space="preserve">Příloha č. 2 – Technické údaje HYUNDAI </w:t>
      </w:r>
      <w:proofErr w:type="spellStart"/>
      <w:r>
        <w:t>Kona</w:t>
      </w:r>
      <w:proofErr w:type="spellEnd"/>
      <w:r>
        <w:t xml:space="preserve"> Electric</w:t>
      </w:r>
    </w:p>
    <w:p w:rsidR="00CD0C03" w:rsidRDefault="00FA3FC7">
      <w:r>
        <w:t>Příloha č. 3 – Seznam servisních míst dodavatele, společnosti Hyundai, autorizovaných pro servis elektrických vozidel Hyundai</w:t>
      </w:r>
    </w:p>
    <w:p w:rsidR="00487CF2" w:rsidRDefault="00487CF2">
      <w:r>
        <w:t>Příloha č. 4 – Plná moc</w:t>
      </w:r>
    </w:p>
    <w:p w:rsidR="00CD0C03" w:rsidRDefault="00FA3FC7">
      <w:pPr>
        <w:pStyle w:val="Nadpis2"/>
        <w:ind w:left="578" w:hanging="578"/>
      </w:pPr>
      <w:r>
        <w:lastRenderedPageBreak/>
        <w:t>Změny nebo doplňky této Smlouvy včetně jejích příloh musejí být vyhotoveny písemně formou dodatku, datovány a podepsány oběma Smluvními stranami s podpisy Smluvních stran na jedné listině.</w:t>
      </w:r>
    </w:p>
    <w:p w:rsidR="00CD0C03" w:rsidRDefault="00FA3FC7">
      <w:pPr>
        <w:pStyle w:val="Nadpis2"/>
        <w:keepLines w:val="0"/>
        <w:spacing w:after="360"/>
        <w:ind w:left="578" w:hanging="578"/>
      </w:pPr>
      <w:r>
        <w:t xml:space="preserve">Tato Smlouva je vyhotovena v 1 vyhotovení v českém jazyce s platností originálu s elektronickými podpisy obou Smluvních stran v souladu se zákonem č. 297/2016 Sb., </w:t>
      </w:r>
      <w:r w:rsidR="00A769A2">
        <w:br/>
      </w:r>
      <w:r>
        <w:t>o službách vytvářejících důvěru pro elektronické transakce, ve znění pozdějších předpisů.</w:t>
      </w:r>
    </w:p>
    <w:p w:rsidR="00CD0C03" w:rsidRDefault="00FA3FC7">
      <w:pPr>
        <w:pStyle w:val="Nadpis2"/>
        <w:numPr>
          <w:ilvl w:val="0"/>
          <w:numId w:val="0"/>
        </w:numPr>
        <w:rPr>
          <w:b/>
          <w:i/>
        </w:rPr>
      </w:pPr>
      <w:r>
        <w:rPr>
          <w:b/>
        </w:rPr>
        <w:t xml:space="preserve">Smluvní strany prohlašují, že před podepsáním této Smlouvy si ji přečetly, že tato Smlouva je projevem jejich pravé a svobodné vůle a nebyla sjednána v tísni ani za jinak jednostranně nevýhodných podmínek. Na důkaz této skutečnosti připojují své podpisy. </w:t>
      </w:r>
    </w:p>
    <w:p w:rsidR="00CD0C03" w:rsidRDefault="00CD0C03">
      <w:pPr>
        <w:rPr>
          <w:snapToGrid w:val="0"/>
          <w:sz w:val="24"/>
          <w:szCs w:val="24"/>
        </w:rPr>
      </w:pPr>
    </w:p>
    <w:tbl>
      <w:tblPr>
        <w:tblW w:w="9072" w:type="dxa"/>
        <w:tblInd w:w="108" w:type="dxa"/>
        <w:tblLook w:val="04A0" w:firstRow="1" w:lastRow="0" w:firstColumn="1" w:lastColumn="0" w:noHBand="0" w:noVBand="1"/>
      </w:tblPr>
      <w:tblGrid>
        <w:gridCol w:w="3969"/>
        <w:gridCol w:w="1134"/>
        <w:gridCol w:w="3969"/>
      </w:tblGrid>
      <w:tr w:rsidR="00CD0C03">
        <w:tc>
          <w:tcPr>
            <w:tcW w:w="3969" w:type="dxa"/>
            <w:shd w:val="clear" w:color="auto" w:fill="auto"/>
          </w:tcPr>
          <w:p w:rsidR="00CD0C03" w:rsidRDefault="00FA3FC7">
            <w:pPr>
              <w:spacing w:after="60"/>
              <w:ind w:left="-108"/>
              <w:rPr>
                <w:rFonts w:cs="Arial"/>
              </w:rPr>
            </w:pPr>
            <w:r>
              <w:rPr>
                <w:rFonts w:cs="Arial"/>
              </w:rPr>
              <w:t>Za Kupujícího:</w:t>
            </w:r>
          </w:p>
        </w:tc>
        <w:tc>
          <w:tcPr>
            <w:tcW w:w="1134" w:type="dxa"/>
            <w:shd w:val="clear" w:color="auto" w:fill="auto"/>
          </w:tcPr>
          <w:p w:rsidR="00CD0C03" w:rsidRDefault="00CD0C03">
            <w:pPr>
              <w:ind w:left="-108"/>
              <w:rPr>
                <w:rFonts w:cs="Arial"/>
                <w:iCs/>
              </w:rPr>
            </w:pPr>
          </w:p>
        </w:tc>
        <w:tc>
          <w:tcPr>
            <w:tcW w:w="3969" w:type="dxa"/>
            <w:shd w:val="clear" w:color="auto" w:fill="auto"/>
          </w:tcPr>
          <w:p w:rsidR="00CD0C03" w:rsidRDefault="00FA3FC7">
            <w:pPr>
              <w:spacing w:after="60"/>
              <w:ind w:left="-108"/>
              <w:rPr>
                <w:rFonts w:cs="Arial"/>
              </w:rPr>
            </w:pPr>
            <w:r>
              <w:rPr>
                <w:rFonts w:cs="Arial"/>
              </w:rPr>
              <w:t>Za Prodávajícího:</w:t>
            </w:r>
          </w:p>
          <w:p w:rsidR="00CD0C03" w:rsidRDefault="00CD0C03">
            <w:pPr>
              <w:ind w:left="-108"/>
              <w:rPr>
                <w:rFonts w:cs="Arial"/>
                <w:iCs/>
              </w:rPr>
            </w:pPr>
          </w:p>
        </w:tc>
      </w:tr>
      <w:tr w:rsidR="00CD0C03">
        <w:tc>
          <w:tcPr>
            <w:tcW w:w="3969" w:type="dxa"/>
            <w:shd w:val="clear" w:color="auto" w:fill="auto"/>
          </w:tcPr>
          <w:p w:rsidR="00CD0C03" w:rsidRDefault="00FA3FC7">
            <w:pPr>
              <w:ind w:left="-108"/>
              <w:rPr>
                <w:rFonts w:cs="Arial"/>
                <w:iCs/>
              </w:rPr>
            </w:pPr>
            <w:r>
              <w:rPr>
                <w:rFonts w:cs="Arial"/>
                <w:iCs/>
              </w:rPr>
              <w:t>V ________  dne ________________</w:t>
            </w:r>
          </w:p>
        </w:tc>
        <w:tc>
          <w:tcPr>
            <w:tcW w:w="1134" w:type="dxa"/>
            <w:shd w:val="clear" w:color="auto" w:fill="auto"/>
          </w:tcPr>
          <w:p w:rsidR="00CD0C03" w:rsidRDefault="00CD0C03">
            <w:pPr>
              <w:ind w:left="-108"/>
              <w:rPr>
                <w:rFonts w:cs="Arial"/>
                <w:iCs/>
              </w:rPr>
            </w:pPr>
          </w:p>
        </w:tc>
        <w:tc>
          <w:tcPr>
            <w:tcW w:w="3969" w:type="dxa"/>
            <w:shd w:val="clear" w:color="auto" w:fill="auto"/>
          </w:tcPr>
          <w:p w:rsidR="00CD0C03" w:rsidRDefault="00FA3FC7">
            <w:pPr>
              <w:ind w:left="-108"/>
              <w:rPr>
                <w:rFonts w:cs="Arial"/>
                <w:iCs/>
              </w:rPr>
            </w:pPr>
            <w:r>
              <w:rPr>
                <w:rFonts w:cs="Arial"/>
                <w:iCs/>
              </w:rPr>
              <w:t xml:space="preserve">V _________ dne ________________ </w:t>
            </w:r>
          </w:p>
        </w:tc>
      </w:tr>
      <w:tr w:rsidR="00CD0C03">
        <w:tc>
          <w:tcPr>
            <w:tcW w:w="3969" w:type="dxa"/>
            <w:tcBorders>
              <w:bottom w:val="single" w:sz="4" w:space="0" w:color="auto"/>
            </w:tcBorders>
            <w:shd w:val="clear" w:color="auto" w:fill="auto"/>
          </w:tcPr>
          <w:p w:rsidR="00CD0C03" w:rsidRDefault="00CD0C03">
            <w:pPr>
              <w:ind w:left="-108"/>
              <w:rPr>
                <w:rFonts w:cs="Arial"/>
                <w:iCs/>
              </w:rPr>
            </w:pPr>
          </w:p>
          <w:p w:rsidR="00CD0C03" w:rsidRDefault="00CD0C03">
            <w:pPr>
              <w:ind w:left="-108"/>
              <w:rPr>
                <w:rFonts w:cs="Arial"/>
                <w:iCs/>
              </w:rPr>
            </w:pPr>
          </w:p>
          <w:p w:rsidR="00CD0C03" w:rsidRDefault="00CD0C03">
            <w:pPr>
              <w:ind w:left="-108"/>
              <w:rPr>
                <w:rFonts w:cs="Arial"/>
                <w:iCs/>
              </w:rPr>
            </w:pPr>
          </w:p>
          <w:p w:rsidR="00CD0C03" w:rsidRDefault="00CD0C03">
            <w:pPr>
              <w:ind w:left="-108"/>
              <w:rPr>
                <w:rFonts w:cs="Arial"/>
                <w:iCs/>
              </w:rPr>
            </w:pPr>
          </w:p>
        </w:tc>
        <w:tc>
          <w:tcPr>
            <w:tcW w:w="1134" w:type="dxa"/>
            <w:shd w:val="clear" w:color="auto" w:fill="auto"/>
          </w:tcPr>
          <w:p w:rsidR="00CD0C03" w:rsidRDefault="00CD0C03">
            <w:pPr>
              <w:ind w:left="-108"/>
              <w:rPr>
                <w:rFonts w:cs="Arial"/>
                <w:iCs/>
              </w:rPr>
            </w:pPr>
          </w:p>
        </w:tc>
        <w:tc>
          <w:tcPr>
            <w:tcW w:w="3969" w:type="dxa"/>
            <w:tcBorders>
              <w:bottom w:val="single" w:sz="4" w:space="0" w:color="auto"/>
            </w:tcBorders>
            <w:shd w:val="clear" w:color="auto" w:fill="auto"/>
          </w:tcPr>
          <w:p w:rsidR="00CD0C03" w:rsidRDefault="00CD0C03">
            <w:pPr>
              <w:ind w:left="-108"/>
              <w:rPr>
                <w:rFonts w:cs="Arial"/>
                <w:iCs/>
              </w:rPr>
            </w:pPr>
          </w:p>
        </w:tc>
      </w:tr>
      <w:tr w:rsidR="00CD0C03" w:rsidTr="005E2B21">
        <w:tc>
          <w:tcPr>
            <w:tcW w:w="3969" w:type="dxa"/>
            <w:tcBorders>
              <w:top w:val="single" w:sz="4" w:space="0" w:color="auto"/>
              <w:bottom w:val="single" w:sz="4" w:space="0" w:color="auto"/>
            </w:tcBorders>
            <w:shd w:val="clear" w:color="auto" w:fill="auto"/>
          </w:tcPr>
          <w:p w:rsidR="00CD0C03" w:rsidRDefault="00FA3FC7">
            <w:pPr>
              <w:spacing w:before="120" w:after="0"/>
              <w:ind w:left="-108"/>
              <w:jc w:val="center"/>
              <w:rPr>
                <w:rFonts w:cs="Arial"/>
              </w:rPr>
            </w:pPr>
            <w:r>
              <w:rPr>
                <w:rFonts w:cs="Arial"/>
              </w:rPr>
              <w:t>Ing. Zbyněk Hořelica</w:t>
            </w:r>
          </w:p>
          <w:p w:rsidR="00CD0C03" w:rsidRDefault="00FA3FC7">
            <w:pPr>
              <w:spacing w:before="120" w:after="0"/>
              <w:ind w:left="-108"/>
              <w:jc w:val="center"/>
              <w:rPr>
                <w:rFonts w:cs="Arial"/>
              </w:rPr>
            </w:pPr>
            <w:r>
              <w:rPr>
                <w:rFonts w:cs="Arial"/>
              </w:rPr>
              <w:t>Ředitel</w:t>
            </w:r>
          </w:p>
          <w:p w:rsidR="00CD0C03" w:rsidRDefault="00FA3FC7">
            <w:pPr>
              <w:spacing w:before="120" w:after="0"/>
              <w:ind w:left="-108"/>
              <w:jc w:val="center"/>
              <w:rPr>
                <w:rFonts w:cs="Arial"/>
                <w:iCs/>
              </w:rPr>
            </w:pPr>
            <w:r>
              <w:rPr>
                <w:rFonts w:cs="Arial"/>
              </w:rPr>
              <w:t>Státní fond dopravní infrastruktury</w:t>
            </w:r>
          </w:p>
        </w:tc>
        <w:tc>
          <w:tcPr>
            <w:tcW w:w="1134" w:type="dxa"/>
            <w:shd w:val="clear" w:color="auto" w:fill="auto"/>
          </w:tcPr>
          <w:p w:rsidR="00CD0C03" w:rsidRDefault="00CD0C03">
            <w:pPr>
              <w:rPr>
                <w:rFonts w:cs="Arial"/>
                <w:iCs/>
              </w:rPr>
            </w:pPr>
          </w:p>
        </w:tc>
        <w:tc>
          <w:tcPr>
            <w:tcW w:w="3969" w:type="dxa"/>
            <w:tcBorders>
              <w:top w:val="single" w:sz="4" w:space="0" w:color="auto"/>
              <w:bottom w:val="single" w:sz="4" w:space="0" w:color="auto"/>
            </w:tcBorders>
            <w:shd w:val="clear" w:color="auto" w:fill="auto"/>
          </w:tcPr>
          <w:p w:rsidR="00CD0C03" w:rsidRDefault="00FA3FC7">
            <w:pPr>
              <w:spacing w:before="120" w:after="0"/>
              <w:ind w:left="-108"/>
              <w:rPr>
                <w:rFonts w:cs="Arial"/>
              </w:rPr>
            </w:pPr>
            <w:r>
              <w:rPr>
                <w:rFonts w:cs="Arial"/>
              </w:rPr>
              <w:t xml:space="preserve">                    Martin Krob </w:t>
            </w:r>
          </w:p>
          <w:p w:rsidR="00CD0C03" w:rsidRDefault="00FA3FC7">
            <w:pPr>
              <w:spacing w:before="120" w:after="0"/>
              <w:ind w:left="-108"/>
              <w:rPr>
                <w:rFonts w:cs="Arial"/>
              </w:rPr>
            </w:pPr>
            <w:r>
              <w:rPr>
                <w:rFonts w:cs="Arial"/>
              </w:rPr>
              <w:t xml:space="preserve">     </w:t>
            </w:r>
            <w:proofErr w:type="spellStart"/>
            <w:r>
              <w:rPr>
                <w:rFonts w:cs="Arial"/>
              </w:rPr>
              <w:t>Governmental</w:t>
            </w:r>
            <w:proofErr w:type="spellEnd"/>
            <w:r>
              <w:rPr>
                <w:rFonts w:cs="Arial"/>
              </w:rPr>
              <w:t xml:space="preserve"> Sales </w:t>
            </w:r>
            <w:proofErr w:type="spellStart"/>
            <w:r>
              <w:rPr>
                <w:rFonts w:cs="Arial"/>
              </w:rPr>
              <w:t>Manager</w:t>
            </w:r>
            <w:proofErr w:type="spellEnd"/>
          </w:p>
          <w:p w:rsidR="00CD0C03" w:rsidRDefault="00FA3FC7">
            <w:pPr>
              <w:spacing w:before="120" w:after="0"/>
              <w:ind w:left="-108"/>
              <w:rPr>
                <w:rFonts w:cs="Arial"/>
              </w:rPr>
            </w:pPr>
            <w:r>
              <w:rPr>
                <w:rFonts w:cs="Arial"/>
              </w:rPr>
              <w:t xml:space="preserve">       Hyundai Motor Czech s.r.o.</w:t>
            </w:r>
          </w:p>
          <w:p w:rsidR="00171D72" w:rsidRDefault="00171D72" w:rsidP="00C9290E">
            <w:pPr>
              <w:spacing w:before="120" w:after="0"/>
              <w:ind w:left="-108"/>
              <w:jc w:val="center"/>
              <w:rPr>
                <w:rFonts w:cs="Arial"/>
              </w:rPr>
            </w:pPr>
            <w:r>
              <w:rPr>
                <w:rFonts w:cs="Arial"/>
              </w:rPr>
              <w:t>z plné moci</w:t>
            </w:r>
          </w:p>
          <w:p w:rsidR="00CD0C03" w:rsidRDefault="00CD0C03">
            <w:pPr>
              <w:spacing w:before="120" w:after="0"/>
              <w:ind w:left="-108"/>
              <w:rPr>
                <w:rFonts w:cs="Arial"/>
              </w:rPr>
            </w:pPr>
          </w:p>
          <w:p w:rsidR="00CD0C03" w:rsidRDefault="00CD0C03">
            <w:pPr>
              <w:spacing w:before="120" w:after="0"/>
              <w:rPr>
                <w:rFonts w:cs="Arial"/>
                <w:iCs/>
              </w:rPr>
            </w:pPr>
          </w:p>
        </w:tc>
      </w:tr>
      <w:tr w:rsidR="00171D72">
        <w:tc>
          <w:tcPr>
            <w:tcW w:w="3969" w:type="dxa"/>
            <w:tcBorders>
              <w:top w:val="single" w:sz="4" w:space="0" w:color="auto"/>
            </w:tcBorders>
            <w:shd w:val="clear" w:color="auto" w:fill="auto"/>
          </w:tcPr>
          <w:p w:rsidR="00171D72" w:rsidRDefault="00171D72">
            <w:pPr>
              <w:spacing w:before="120" w:after="0"/>
              <w:ind w:left="-108"/>
              <w:jc w:val="center"/>
              <w:rPr>
                <w:rFonts w:cs="Arial"/>
              </w:rPr>
            </w:pPr>
          </w:p>
        </w:tc>
        <w:tc>
          <w:tcPr>
            <w:tcW w:w="1134" w:type="dxa"/>
            <w:shd w:val="clear" w:color="auto" w:fill="auto"/>
          </w:tcPr>
          <w:p w:rsidR="00171D72" w:rsidRDefault="00171D72">
            <w:pPr>
              <w:rPr>
                <w:rFonts w:cs="Arial"/>
                <w:iCs/>
              </w:rPr>
            </w:pPr>
          </w:p>
        </w:tc>
        <w:tc>
          <w:tcPr>
            <w:tcW w:w="3969" w:type="dxa"/>
            <w:tcBorders>
              <w:top w:val="single" w:sz="4" w:space="0" w:color="auto"/>
            </w:tcBorders>
            <w:shd w:val="clear" w:color="auto" w:fill="auto"/>
          </w:tcPr>
          <w:p w:rsidR="00171D72" w:rsidRDefault="00171D72">
            <w:pPr>
              <w:spacing w:before="120" w:after="0"/>
              <w:ind w:left="-108"/>
              <w:rPr>
                <w:rFonts w:cs="Arial"/>
              </w:rPr>
            </w:pPr>
          </w:p>
        </w:tc>
      </w:tr>
    </w:tbl>
    <w:p w:rsidR="00CD0C03" w:rsidRDefault="00CD0C03">
      <w:pPr>
        <w:rPr>
          <w:u w:val="single"/>
        </w:rPr>
        <w:sectPr w:rsidR="00CD0C03">
          <w:footerReference w:type="default" r:id="rId12"/>
          <w:pgSz w:w="11906" w:h="16838"/>
          <w:pgMar w:top="1417" w:right="1417" w:bottom="1417" w:left="1417" w:header="708" w:footer="708" w:gutter="0"/>
          <w:cols w:space="708"/>
          <w:docGrid w:linePitch="360"/>
        </w:sectPr>
      </w:pPr>
    </w:p>
    <w:p w:rsidR="00CD0C03" w:rsidRDefault="00FA3FC7">
      <w:pPr>
        <w:spacing w:after="60"/>
        <w:jc w:val="center"/>
        <w:rPr>
          <w:b/>
        </w:rPr>
      </w:pPr>
      <w:r>
        <w:rPr>
          <w:b/>
        </w:rPr>
        <w:lastRenderedPageBreak/>
        <w:t>Příloha č. 1</w:t>
      </w:r>
    </w:p>
    <w:p w:rsidR="00CD0C03" w:rsidRDefault="00FA3FC7">
      <w:pPr>
        <w:spacing w:after="0"/>
        <w:jc w:val="center"/>
        <w:rPr>
          <w:b/>
        </w:rPr>
      </w:pPr>
      <w:r>
        <w:rPr>
          <w:rFonts w:cs="Arial"/>
          <w:b/>
          <w:snapToGrid w:val="0"/>
        </w:rPr>
        <w:t>Technická specifikace Předmětu koupě</w:t>
      </w:r>
    </w:p>
    <w:p w:rsidR="00CD0C03" w:rsidRDefault="00CD0C03">
      <w:pPr>
        <w:jc w:val="center"/>
        <w:rPr>
          <w:b/>
        </w:rPr>
      </w:pPr>
    </w:p>
    <w:tbl>
      <w:tblPr>
        <w:tblW w:w="0" w:type="auto"/>
        <w:jc w:val="center"/>
        <w:tblInd w:w="55" w:type="dxa"/>
        <w:tblCellMar>
          <w:left w:w="70" w:type="dxa"/>
          <w:right w:w="70" w:type="dxa"/>
        </w:tblCellMar>
        <w:tblLook w:val="04A0" w:firstRow="1" w:lastRow="0" w:firstColumn="1" w:lastColumn="0" w:noHBand="0" w:noVBand="1"/>
      </w:tblPr>
      <w:tblGrid>
        <w:gridCol w:w="364"/>
        <w:gridCol w:w="2534"/>
        <w:gridCol w:w="2555"/>
        <w:gridCol w:w="882"/>
        <w:gridCol w:w="2822"/>
      </w:tblGrid>
      <w:tr w:rsidR="00CD0C03">
        <w:trPr>
          <w:trHeight w:val="900"/>
          <w:jc w:val="center"/>
        </w:trPr>
        <w:tc>
          <w:tcPr>
            <w:tcW w:w="0" w:type="auto"/>
            <w:gridSpan w:val="5"/>
            <w:tcBorders>
              <w:top w:val="single" w:sz="8" w:space="0" w:color="auto"/>
              <w:left w:val="single" w:sz="8" w:space="0" w:color="auto"/>
              <w:bottom w:val="single" w:sz="8" w:space="0" w:color="auto"/>
              <w:right w:val="single" w:sz="8" w:space="0" w:color="000000"/>
            </w:tcBorders>
            <w:shd w:val="clear" w:color="000000" w:fill="92D050"/>
            <w:vAlign w:val="center"/>
            <w:hideMark/>
          </w:tcPr>
          <w:p w:rsidR="00CD0C03" w:rsidRDefault="00FA3FC7">
            <w:pPr>
              <w:spacing w:after="0" w:line="240" w:lineRule="auto"/>
              <w:jc w:val="center"/>
              <w:rPr>
                <w:rFonts w:ascii="Calibri" w:eastAsia="Times New Roman" w:hAnsi="Calibri" w:cs="Calibri"/>
                <w:b/>
                <w:bCs/>
                <w:sz w:val="28"/>
                <w:szCs w:val="28"/>
              </w:rPr>
            </w:pPr>
            <w:bookmarkStart w:id="1" w:name="RANGE!A1:E49"/>
            <w:r>
              <w:rPr>
                <w:rFonts w:ascii="Calibri" w:eastAsia="Times New Roman" w:hAnsi="Calibri" w:cs="Calibri"/>
                <w:b/>
                <w:bCs/>
                <w:sz w:val="28"/>
                <w:szCs w:val="28"/>
              </w:rPr>
              <w:t>Příloha č. 1 - Technická specifikace předmětu veřejné zakázky</w:t>
            </w:r>
            <w:r>
              <w:rPr>
                <w:rFonts w:ascii="Calibri" w:eastAsia="Times New Roman" w:hAnsi="Calibri" w:cs="Calibri"/>
                <w:b/>
                <w:bCs/>
                <w:sz w:val="28"/>
                <w:szCs w:val="28"/>
              </w:rPr>
              <w:br/>
              <w:t xml:space="preserve">Elektromobily kategorie B - nižší střední </w:t>
            </w:r>
            <w:bookmarkEnd w:id="1"/>
          </w:p>
        </w:tc>
      </w:tr>
      <w:tr w:rsidR="00CD0C03">
        <w:trPr>
          <w:trHeight w:val="1110"/>
          <w:jc w:val="center"/>
        </w:trPr>
        <w:tc>
          <w:tcPr>
            <w:tcW w:w="0" w:type="auto"/>
            <w:gridSpan w:val="3"/>
            <w:tcBorders>
              <w:top w:val="single" w:sz="8" w:space="0" w:color="auto"/>
              <w:left w:val="single" w:sz="8" w:space="0" w:color="auto"/>
              <w:bottom w:val="single" w:sz="8" w:space="0" w:color="auto"/>
              <w:right w:val="nil"/>
            </w:tcBorders>
            <w:shd w:val="clear" w:color="000000" w:fill="BFBFBF"/>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Požadavky Zadavatele (Kupujícího)</w:t>
            </w:r>
          </w:p>
        </w:tc>
        <w:tc>
          <w:tcPr>
            <w:tcW w:w="0" w:type="auto"/>
            <w:gridSpan w:val="2"/>
            <w:tcBorders>
              <w:top w:val="single" w:sz="8" w:space="0" w:color="auto"/>
              <w:left w:val="single" w:sz="12" w:space="0" w:color="auto"/>
              <w:bottom w:val="single" w:sz="8" w:space="0" w:color="auto"/>
              <w:right w:val="single" w:sz="8" w:space="0" w:color="000000"/>
            </w:tcBorders>
            <w:shd w:val="clear" w:color="000000" w:fill="C4D79B"/>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Nabídka dodavatele (Prodávajícího)</w:t>
            </w:r>
          </w:p>
        </w:tc>
      </w:tr>
      <w:tr w:rsidR="00CD0C03">
        <w:trPr>
          <w:trHeight w:val="1050"/>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Parametr</w:t>
            </w:r>
          </w:p>
        </w:tc>
        <w:tc>
          <w:tcPr>
            <w:tcW w:w="0" w:type="auto"/>
            <w:tcBorders>
              <w:top w:val="nil"/>
              <w:left w:val="nil"/>
              <w:bottom w:val="single" w:sz="8" w:space="0" w:color="auto"/>
              <w:right w:val="nil"/>
            </w:tcBorders>
            <w:shd w:val="clear" w:color="000000" w:fill="BFBFBF"/>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Požadavek Zadavatele (Kupujícího)</w:t>
            </w:r>
          </w:p>
        </w:tc>
        <w:tc>
          <w:tcPr>
            <w:tcW w:w="867" w:type="dxa"/>
            <w:tcBorders>
              <w:top w:val="nil"/>
              <w:left w:val="single" w:sz="12" w:space="0" w:color="auto"/>
              <w:bottom w:val="single" w:sz="8" w:space="0" w:color="auto"/>
              <w:right w:val="single" w:sz="8" w:space="0" w:color="auto"/>
            </w:tcBorders>
            <w:shd w:val="clear" w:color="000000" w:fill="C4D79B"/>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 xml:space="preserve">Splněno </w:t>
            </w:r>
          </w:p>
        </w:tc>
        <w:tc>
          <w:tcPr>
            <w:tcW w:w="2822" w:type="dxa"/>
            <w:tcBorders>
              <w:top w:val="nil"/>
              <w:left w:val="nil"/>
              <w:bottom w:val="single" w:sz="8" w:space="0" w:color="auto"/>
              <w:right w:val="single" w:sz="8" w:space="0" w:color="auto"/>
            </w:tcBorders>
            <w:shd w:val="clear" w:color="000000" w:fill="C4D79B"/>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Konkrétní popis splnění požadavku</w:t>
            </w:r>
          </w:p>
        </w:tc>
      </w:tr>
      <w:tr w:rsidR="00CD0C03">
        <w:trPr>
          <w:trHeight w:val="555"/>
          <w:jc w:val="center"/>
        </w:trPr>
        <w:tc>
          <w:tcPr>
            <w:tcW w:w="0" w:type="auto"/>
            <w:gridSpan w:val="2"/>
            <w:tcBorders>
              <w:top w:val="single" w:sz="8" w:space="0" w:color="auto"/>
              <w:left w:val="single" w:sz="8" w:space="0" w:color="auto"/>
              <w:bottom w:val="single" w:sz="8" w:space="0" w:color="auto"/>
              <w:right w:val="nil"/>
            </w:tcBorders>
            <w:shd w:val="clear" w:color="000000" w:fill="BFBFBF"/>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OBECNĚ</w:t>
            </w:r>
          </w:p>
        </w:tc>
        <w:tc>
          <w:tcPr>
            <w:tcW w:w="0" w:type="auto"/>
            <w:gridSpan w:val="3"/>
            <w:tcBorders>
              <w:top w:val="single" w:sz="8" w:space="0" w:color="auto"/>
              <w:left w:val="nil"/>
              <w:bottom w:val="single" w:sz="8" w:space="0" w:color="000000"/>
              <w:right w:val="single" w:sz="8" w:space="0" w:color="000000"/>
            </w:tcBorders>
            <w:shd w:val="clear" w:color="000000" w:fill="BFBFBF"/>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 </w:t>
            </w:r>
          </w:p>
        </w:tc>
      </w:tr>
      <w:tr w:rsidR="00CD0C03">
        <w:trPr>
          <w:trHeight w:val="87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1</w:t>
            </w:r>
          </w:p>
        </w:tc>
        <w:tc>
          <w:tcPr>
            <w:tcW w:w="0" w:type="auto"/>
            <w:tcBorders>
              <w:top w:val="nil"/>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Tovární značka</w:t>
            </w:r>
          </w:p>
        </w:tc>
        <w:tc>
          <w:tcPr>
            <w:tcW w:w="0" w:type="auto"/>
            <w:tcBorders>
              <w:top w:val="nil"/>
              <w:left w:val="single" w:sz="8" w:space="0" w:color="auto"/>
              <w:bottom w:val="single" w:sz="4"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w:t>
            </w:r>
          </w:p>
        </w:tc>
        <w:tc>
          <w:tcPr>
            <w:tcW w:w="867" w:type="dxa"/>
            <w:tcBorders>
              <w:top w:val="nil"/>
              <w:left w:val="single" w:sz="8" w:space="0" w:color="auto"/>
              <w:bottom w:val="single" w:sz="4" w:space="0" w:color="auto"/>
              <w:right w:val="single" w:sz="8" w:space="0" w:color="auto"/>
            </w:tcBorders>
            <w:shd w:val="clear" w:color="000000" w:fill="A6A6A6"/>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w:t>
            </w:r>
          </w:p>
        </w:tc>
        <w:tc>
          <w:tcPr>
            <w:tcW w:w="2822" w:type="dxa"/>
            <w:tcBorders>
              <w:top w:val="single" w:sz="4" w:space="0" w:color="auto"/>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 xml:space="preserve">Hyundai </w:t>
            </w:r>
          </w:p>
        </w:tc>
      </w:tr>
      <w:tr w:rsidR="00CD0C03">
        <w:trPr>
          <w:trHeight w:val="885"/>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2</w:t>
            </w:r>
          </w:p>
        </w:tc>
        <w:tc>
          <w:tcPr>
            <w:tcW w:w="0" w:type="auto"/>
            <w:tcBorders>
              <w:top w:val="nil"/>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Obchodní označení modelu</w:t>
            </w:r>
          </w:p>
        </w:tc>
        <w:tc>
          <w:tcPr>
            <w:tcW w:w="0" w:type="auto"/>
            <w:tcBorders>
              <w:top w:val="nil"/>
              <w:left w:val="single" w:sz="8" w:space="0" w:color="auto"/>
              <w:bottom w:val="single" w:sz="4"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w:t>
            </w:r>
          </w:p>
        </w:tc>
        <w:tc>
          <w:tcPr>
            <w:tcW w:w="867" w:type="dxa"/>
            <w:tcBorders>
              <w:top w:val="nil"/>
              <w:left w:val="single" w:sz="8" w:space="0" w:color="auto"/>
              <w:bottom w:val="single" w:sz="4" w:space="0" w:color="auto"/>
              <w:right w:val="single" w:sz="8" w:space="0" w:color="auto"/>
            </w:tcBorders>
            <w:shd w:val="clear" w:color="000000" w:fill="A6A6A6"/>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w:t>
            </w:r>
          </w:p>
        </w:tc>
        <w:tc>
          <w:tcPr>
            <w:tcW w:w="2822"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 xml:space="preserve">KONA Electric </w:t>
            </w:r>
            <w:proofErr w:type="spellStart"/>
            <w:r>
              <w:rPr>
                <w:rFonts w:ascii="Calibri" w:eastAsia="Times New Roman" w:hAnsi="Calibri" w:cs="Calibri"/>
                <w:b/>
                <w:bCs/>
                <w:color w:val="000000"/>
                <w:sz w:val="22"/>
              </w:rPr>
              <w:t>Eco</w:t>
            </w:r>
            <w:proofErr w:type="spellEnd"/>
            <w:r>
              <w:rPr>
                <w:rFonts w:ascii="Calibri" w:eastAsia="Times New Roman" w:hAnsi="Calibri" w:cs="Calibri"/>
                <w:b/>
                <w:bCs/>
                <w:color w:val="000000"/>
                <w:sz w:val="22"/>
              </w:rPr>
              <w:t xml:space="preserve"> 39,2 kWh</w:t>
            </w:r>
          </w:p>
        </w:tc>
      </w:tr>
      <w:tr w:rsidR="00CD0C03">
        <w:trPr>
          <w:trHeight w:val="30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3</w:t>
            </w:r>
          </w:p>
        </w:tc>
        <w:tc>
          <w:tcPr>
            <w:tcW w:w="0" w:type="auto"/>
            <w:tcBorders>
              <w:top w:val="nil"/>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Provedení karoserie</w:t>
            </w:r>
          </w:p>
        </w:tc>
        <w:tc>
          <w:tcPr>
            <w:tcW w:w="0" w:type="auto"/>
            <w:tcBorders>
              <w:top w:val="nil"/>
              <w:left w:val="single" w:sz="8" w:space="0" w:color="auto"/>
              <w:bottom w:val="single" w:sz="4"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nezáleží</w:t>
            </w:r>
          </w:p>
        </w:tc>
        <w:tc>
          <w:tcPr>
            <w:tcW w:w="867" w:type="dxa"/>
            <w:tcBorders>
              <w:top w:val="nil"/>
              <w:left w:val="single" w:sz="8" w:space="0" w:color="auto"/>
              <w:bottom w:val="single" w:sz="4" w:space="0" w:color="auto"/>
              <w:right w:val="single" w:sz="8" w:space="0" w:color="auto"/>
            </w:tcBorders>
            <w:shd w:val="clear" w:color="000000" w:fill="A6A6A6"/>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w:t>
            </w:r>
          </w:p>
        </w:tc>
        <w:tc>
          <w:tcPr>
            <w:tcW w:w="2822" w:type="dxa"/>
            <w:tcBorders>
              <w:top w:val="nil"/>
              <w:left w:val="nil"/>
              <w:bottom w:val="single" w:sz="4" w:space="0" w:color="auto"/>
              <w:right w:val="single" w:sz="8" w:space="0" w:color="auto"/>
            </w:tcBorders>
            <w:shd w:val="clear" w:color="000000" w:fill="FFFF99"/>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SUV B / Crossover</w:t>
            </w:r>
          </w:p>
        </w:tc>
      </w:tr>
      <w:tr w:rsidR="00CD0C03">
        <w:trPr>
          <w:trHeight w:val="30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4</w:t>
            </w:r>
          </w:p>
        </w:tc>
        <w:tc>
          <w:tcPr>
            <w:tcW w:w="0" w:type="auto"/>
            <w:tcBorders>
              <w:top w:val="nil"/>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Počet dveří</w:t>
            </w:r>
          </w:p>
        </w:tc>
        <w:tc>
          <w:tcPr>
            <w:tcW w:w="0" w:type="auto"/>
            <w:tcBorders>
              <w:top w:val="nil"/>
              <w:left w:val="single" w:sz="8" w:space="0" w:color="auto"/>
              <w:bottom w:val="single" w:sz="4"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5</w:t>
            </w:r>
          </w:p>
        </w:tc>
        <w:tc>
          <w:tcPr>
            <w:tcW w:w="867" w:type="dxa"/>
            <w:tcBorders>
              <w:top w:val="nil"/>
              <w:left w:val="single" w:sz="8" w:space="0" w:color="auto"/>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FFFF99"/>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 - 5</w:t>
            </w:r>
          </w:p>
        </w:tc>
      </w:tr>
      <w:tr w:rsidR="00CD0C03">
        <w:trPr>
          <w:trHeight w:val="825"/>
          <w:jc w:val="center"/>
        </w:trPr>
        <w:tc>
          <w:tcPr>
            <w:tcW w:w="0" w:type="auto"/>
            <w:tcBorders>
              <w:top w:val="nil"/>
              <w:left w:val="single" w:sz="8" w:space="0" w:color="auto"/>
              <w:bottom w:val="nil"/>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5</w:t>
            </w:r>
          </w:p>
        </w:tc>
        <w:tc>
          <w:tcPr>
            <w:tcW w:w="0" w:type="auto"/>
            <w:tcBorders>
              <w:top w:val="nil"/>
              <w:left w:val="nil"/>
              <w:bottom w:val="nil"/>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Počet míst k sezení</w:t>
            </w:r>
          </w:p>
        </w:tc>
        <w:tc>
          <w:tcPr>
            <w:tcW w:w="0" w:type="auto"/>
            <w:tcBorders>
              <w:top w:val="nil"/>
              <w:left w:val="single" w:sz="8" w:space="0" w:color="auto"/>
              <w:bottom w:val="single" w:sz="4"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5</w:t>
            </w:r>
          </w:p>
        </w:tc>
        <w:tc>
          <w:tcPr>
            <w:tcW w:w="867" w:type="dxa"/>
            <w:tcBorders>
              <w:top w:val="nil"/>
              <w:left w:val="single" w:sz="8" w:space="0" w:color="auto"/>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nil"/>
              <w:right w:val="single" w:sz="8" w:space="0" w:color="auto"/>
            </w:tcBorders>
            <w:shd w:val="clear" w:color="000000" w:fill="A6A6A6"/>
            <w:noWrap/>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5 míst</w:t>
            </w:r>
          </w:p>
        </w:tc>
      </w:tr>
      <w:tr w:rsidR="00CD0C03">
        <w:trPr>
          <w:trHeight w:val="81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6</w:t>
            </w:r>
          </w:p>
        </w:tc>
        <w:tc>
          <w:tcPr>
            <w:tcW w:w="0" w:type="auto"/>
            <w:tcBorders>
              <w:top w:val="single" w:sz="4" w:space="0" w:color="auto"/>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Motor</w:t>
            </w:r>
          </w:p>
        </w:tc>
        <w:tc>
          <w:tcPr>
            <w:tcW w:w="0" w:type="auto"/>
            <w:tcBorders>
              <w:top w:val="nil"/>
              <w:left w:val="single" w:sz="8" w:space="0" w:color="auto"/>
              <w:bottom w:val="single" w:sz="4"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elektromotor</w:t>
            </w:r>
          </w:p>
        </w:tc>
        <w:tc>
          <w:tcPr>
            <w:tcW w:w="867" w:type="dxa"/>
            <w:tcBorders>
              <w:top w:val="nil"/>
              <w:left w:val="single" w:sz="8" w:space="0" w:color="auto"/>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Synchronní elektromotor s permanentním magnetem</w:t>
            </w:r>
          </w:p>
        </w:tc>
      </w:tr>
      <w:tr w:rsidR="00CD0C03">
        <w:trPr>
          <w:trHeight w:val="975"/>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7</w:t>
            </w:r>
          </w:p>
        </w:tc>
        <w:tc>
          <w:tcPr>
            <w:tcW w:w="0" w:type="auto"/>
            <w:tcBorders>
              <w:top w:val="nil"/>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 xml:space="preserve"> Min. výkon [kW]</w:t>
            </w:r>
          </w:p>
        </w:tc>
        <w:tc>
          <w:tcPr>
            <w:tcW w:w="0" w:type="auto"/>
            <w:tcBorders>
              <w:top w:val="nil"/>
              <w:left w:val="single" w:sz="8" w:space="0" w:color="auto"/>
              <w:bottom w:val="single" w:sz="4"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80</w:t>
            </w:r>
          </w:p>
        </w:tc>
        <w:tc>
          <w:tcPr>
            <w:tcW w:w="867" w:type="dxa"/>
            <w:tcBorders>
              <w:top w:val="nil"/>
              <w:left w:val="single" w:sz="8" w:space="0" w:color="auto"/>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FFFF99"/>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100kW</w:t>
            </w:r>
          </w:p>
        </w:tc>
      </w:tr>
      <w:tr w:rsidR="00CD0C03">
        <w:trPr>
          <w:trHeight w:val="60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8</w:t>
            </w:r>
          </w:p>
        </w:tc>
        <w:tc>
          <w:tcPr>
            <w:tcW w:w="0" w:type="auto"/>
            <w:tcBorders>
              <w:top w:val="nil"/>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Min. točivý moment [</w:t>
            </w:r>
            <w:proofErr w:type="spellStart"/>
            <w:r>
              <w:rPr>
                <w:rFonts w:ascii="Calibri" w:eastAsia="Times New Roman" w:hAnsi="Calibri" w:cs="Calibri"/>
                <w:b/>
                <w:bCs/>
                <w:color w:val="000000"/>
                <w:sz w:val="22"/>
              </w:rPr>
              <w:t>Nm</w:t>
            </w:r>
            <w:proofErr w:type="spellEnd"/>
            <w:r>
              <w:rPr>
                <w:rFonts w:ascii="Calibri" w:eastAsia="Times New Roman" w:hAnsi="Calibri" w:cs="Calibri"/>
                <w:b/>
                <w:bCs/>
                <w:color w:val="000000"/>
                <w:sz w:val="22"/>
              </w:rPr>
              <w:t>]</w:t>
            </w:r>
          </w:p>
        </w:tc>
        <w:tc>
          <w:tcPr>
            <w:tcW w:w="0" w:type="auto"/>
            <w:tcBorders>
              <w:top w:val="nil"/>
              <w:left w:val="single" w:sz="8" w:space="0" w:color="auto"/>
              <w:bottom w:val="single" w:sz="4"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290</w:t>
            </w:r>
          </w:p>
        </w:tc>
        <w:tc>
          <w:tcPr>
            <w:tcW w:w="867" w:type="dxa"/>
            <w:tcBorders>
              <w:top w:val="nil"/>
              <w:left w:val="single" w:sz="8" w:space="0" w:color="auto"/>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FFFF99"/>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395Nm</w:t>
            </w:r>
          </w:p>
        </w:tc>
      </w:tr>
      <w:tr w:rsidR="00CD0C03">
        <w:trPr>
          <w:trHeight w:val="915"/>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9</w:t>
            </w:r>
          </w:p>
        </w:tc>
        <w:tc>
          <w:tcPr>
            <w:tcW w:w="0" w:type="auto"/>
            <w:tcBorders>
              <w:top w:val="nil"/>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Palivo</w:t>
            </w:r>
          </w:p>
        </w:tc>
        <w:tc>
          <w:tcPr>
            <w:tcW w:w="0" w:type="auto"/>
            <w:tcBorders>
              <w:top w:val="nil"/>
              <w:left w:val="single" w:sz="8" w:space="0" w:color="auto"/>
              <w:bottom w:val="single" w:sz="4"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elektřina</w:t>
            </w:r>
          </w:p>
        </w:tc>
        <w:tc>
          <w:tcPr>
            <w:tcW w:w="867" w:type="dxa"/>
            <w:tcBorders>
              <w:top w:val="nil"/>
              <w:left w:val="single" w:sz="8" w:space="0" w:color="auto"/>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noWrap/>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elektřina</w:t>
            </w:r>
          </w:p>
        </w:tc>
      </w:tr>
      <w:tr w:rsidR="00CD0C03">
        <w:trPr>
          <w:trHeight w:val="1755"/>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10</w:t>
            </w:r>
          </w:p>
        </w:tc>
        <w:tc>
          <w:tcPr>
            <w:tcW w:w="0" w:type="auto"/>
            <w:tcBorders>
              <w:top w:val="nil"/>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Min. dojezd na 1 nabití (km), pouze elektrický pohon (dle NEDC)</w:t>
            </w:r>
          </w:p>
        </w:tc>
        <w:tc>
          <w:tcPr>
            <w:tcW w:w="0" w:type="auto"/>
            <w:tcBorders>
              <w:top w:val="nil"/>
              <w:left w:val="single" w:sz="8" w:space="0" w:color="auto"/>
              <w:bottom w:val="single" w:sz="4"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300</w:t>
            </w:r>
          </w:p>
        </w:tc>
        <w:tc>
          <w:tcPr>
            <w:tcW w:w="867" w:type="dxa"/>
            <w:tcBorders>
              <w:top w:val="nil"/>
              <w:left w:val="single" w:sz="8" w:space="0" w:color="auto"/>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FFFF99"/>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345</w:t>
            </w:r>
          </w:p>
        </w:tc>
      </w:tr>
      <w:tr w:rsidR="00CD0C03">
        <w:trPr>
          <w:trHeight w:val="3375"/>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11</w:t>
            </w:r>
          </w:p>
        </w:tc>
        <w:tc>
          <w:tcPr>
            <w:tcW w:w="0" w:type="auto"/>
            <w:tcBorders>
              <w:top w:val="nil"/>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Min. základní objem zavazadlového prostoru měřený metodou VDA 210 v dm3</w:t>
            </w:r>
          </w:p>
        </w:tc>
        <w:tc>
          <w:tcPr>
            <w:tcW w:w="0" w:type="auto"/>
            <w:tcBorders>
              <w:top w:val="nil"/>
              <w:left w:val="single" w:sz="8" w:space="0" w:color="auto"/>
              <w:bottom w:val="single" w:sz="4"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280</w:t>
            </w:r>
          </w:p>
        </w:tc>
        <w:tc>
          <w:tcPr>
            <w:tcW w:w="867" w:type="dxa"/>
            <w:tcBorders>
              <w:top w:val="nil"/>
              <w:left w:val="single" w:sz="8" w:space="0" w:color="auto"/>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FFFF99"/>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320</w:t>
            </w:r>
          </w:p>
        </w:tc>
      </w:tr>
      <w:tr w:rsidR="00CD0C03">
        <w:trPr>
          <w:trHeight w:val="447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12</w:t>
            </w:r>
          </w:p>
        </w:tc>
        <w:tc>
          <w:tcPr>
            <w:tcW w:w="0" w:type="auto"/>
            <w:tcBorders>
              <w:top w:val="nil"/>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Barva karosérie</w:t>
            </w:r>
          </w:p>
        </w:tc>
        <w:tc>
          <w:tcPr>
            <w:tcW w:w="0" w:type="auto"/>
            <w:tcBorders>
              <w:top w:val="nil"/>
              <w:left w:val="single" w:sz="8" w:space="0" w:color="auto"/>
              <w:bottom w:val="single" w:sz="4"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b/>
                <w:bCs/>
                <w:color w:val="000000"/>
                <w:sz w:val="22"/>
              </w:rPr>
              <w:t>bílá barva</w:t>
            </w:r>
            <w:r>
              <w:rPr>
                <w:rFonts w:ascii="Calibri" w:eastAsia="Times New Roman" w:hAnsi="Calibri" w:cs="Calibri"/>
                <w:color w:val="000000"/>
                <w:sz w:val="22"/>
              </w:rPr>
              <w:t xml:space="preserve"> v případě pověřujících zadavatelů ze skupiny A, </w:t>
            </w:r>
            <w:r>
              <w:rPr>
                <w:rFonts w:ascii="Calibri" w:eastAsia="Times New Roman" w:hAnsi="Calibri" w:cs="Calibri"/>
                <w:b/>
                <w:bCs/>
                <w:color w:val="000000"/>
                <w:sz w:val="22"/>
              </w:rPr>
              <w:t>stříbrná metalíza nebo bílá barva</w:t>
            </w:r>
            <w:r>
              <w:rPr>
                <w:rFonts w:ascii="Calibri" w:eastAsia="Times New Roman" w:hAnsi="Calibri" w:cs="Calibri"/>
                <w:color w:val="000000"/>
                <w:sz w:val="22"/>
              </w:rPr>
              <w:t xml:space="preserve"> v případě pověřujících zadavatelů ze skupiny B, </w:t>
            </w:r>
            <w:r>
              <w:rPr>
                <w:rFonts w:ascii="Calibri" w:eastAsia="Times New Roman" w:hAnsi="Calibri" w:cs="Calibri"/>
                <w:b/>
                <w:bCs/>
                <w:color w:val="000000"/>
                <w:sz w:val="22"/>
              </w:rPr>
              <w:t>zelená barva nebo bílá barva</w:t>
            </w:r>
            <w:r>
              <w:rPr>
                <w:rFonts w:ascii="Calibri" w:eastAsia="Times New Roman" w:hAnsi="Calibri" w:cs="Calibri"/>
                <w:color w:val="000000"/>
                <w:sz w:val="22"/>
              </w:rPr>
              <w:t xml:space="preserve"> v případě pověřujících zadavatelů ze skupiny C, </w:t>
            </w:r>
            <w:r>
              <w:rPr>
                <w:rFonts w:ascii="Calibri" w:eastAsia="Times New Roman" w:hAnsi="Calibri" w:cs="Calibri"/>
                <w:b/>
                <w:bCs/>
                <w:color w:val="000000"/>
                <w:sz w:val="22"/>
              </w:rPr>
              <w:t>stříbrná barva nebo polep vozidla</w:t>
            </w:r>
            <w:r>
              <w:rPr>
                <w:rFonts w:ascii="Calibri" w:eastAsia="Times New Roman" w:hAnsi="Calibri" w:cs="Calibri"/>
                <w:color w:val="000000"/>
                <w:sz w:val="22"/>
              </w:rPr>
              <w:t xml:space="preserve"> v případě pověřujících zadavatelů ze skupiny D, </w:t>
            </w:r>
            <w:r>
              <w:rPr>
                <w:rFonts w:ascii="Calibri" w:eastAsia="Times New Roman" w:hAnsi="Calibri" w:cs="Calibri"/>
                <w:b/>
                <w:bCs/>
                <w:color w:val="000000"/>
                <w:sz w:val="22"/>
              </w:rPr>
              <w:t>modrá barva</w:t>
            </w:r>
            <w:r>
              <w:rPr>
                <w:rFonts w:ascii="Calibri" w:eastAsia="Times New Roman" w:hAnsi="Calibri" w:cs="Calibri"/>
                <w:color w:val="000000"/>
                <w:sz w:val="22"/>
              </w:rPr>
              <w:t xml:space="preserve"> v případě pověřujících zadavatelů ze skupiny E*</w:t>
            </w:r>
          </w:p>
        </w:tc>
        <w:tc>
          <w:tcPr>
            <w:tcW w:w="867" w:type="dxa"/>
            <w:tcBorders>
              <w:top w:val="nil"/>
              <w:left w:val="single" w:sz="8" w:space="0" w:color="auto"/>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b/>
                <w:bCs/>
                <w:color w:val="000000"/>
                <w:sz w:val="22"/>
              </w:rPr>
              <w:t>ANO</w:t>
            </w:r>
            <w:r>
              <w:rPr>
                <w:rFonts w:ascii="Calibri" w:eastAsia="Times New Roman" w:hAnsi="Calibri" w:cs="Calibri"/>
                <w:color w:val="000000"/>
                <w:sz w:val="22"/>
              </w:rPr>
              <w:br/>
              <w:t xml:space="preserve">A - </w:t>
            </w:r>
            <w:proofErr w:type="spellStart"/>
            <w:r>
              <w:rPr>
                <w:rFonts w:ascii="Calibri" w:eastAsia="Times New Roman" w:hAnsi="Calibri" w:cs="Calibri"/>
                <w:color w:val="000000"/>
                <w:sz w:val="22"/>
              </w:rPr>
              <w:t>Schalk</w:t>
            </w:r>
            <w:proofErr w:type="spellEnd"/>
            <w:r>
              <w:rPr>
                <w:rFonts w:ascii="Calibri" w:eastAsia="Times New Roman" w:hAnsi="Calibri" w:cs="Calibri"/>
                <w:color w:val="000000"/>
                <w:sz w:val="22"/>
              </w:rPr>
              <w:t xml:space="preserve"> </w:t>
            </w:r>
            <w:proofErr w:type="spellStart"/>
            <w:r>
              <w:rPr>
                <w:rFonts w:ascii="Calibri" w:eastAsia="Times New Roman" w:hAnsi="Calibri" w:cs="Calibri"/>
                <w:color w:val="000000"/>
                <w:sz w:val="22"/>
              </w:rPr>
              <w:t>White</w:t>
            </w:r>
            <w:proofErr w:type="spellEnd"/>
            <w:r>
              <w:rPr>
                <w:rFonts w:ascii="Calibri" w:eastAsia="Times New Roman" w:hAnsi="Calibri" w:cs="Calibri"/>
                <w:color w:val="000000"/>
                <w:sz w:val="22"/>
              </w:rPr>
              <w:br/>
              <w:t xml:space="preserve">B - </w:t>
            </w:r>
            <w:proofErr w:type="spellStart"/>
            <w:r>
              <w:rPr>
                <w:rFonts w:ascii="Calibri" w:eastAsia="Times New Roman" w:hAnsi="Calibri" w:cs="Calibri"/>
                <w:color w:val="000000"/>
                <w:sz w:val="22"/>
              </w:rPr>
              <w:t>Schalk</w:t>
            </w:r>
            <w:proofErr w:type="spellEnd"/>
            <w:r>
              <w:rPr>
                <w:rFonts w:ascii="Calibri" w:eastAsia="Times New Roman" w:hAnsi="Calibri" w:cs="Calibri"/>
                <w:color w:val="000000"/>
                <w:sz w:val="22"/>
              </w:rPr>
              <w:t xml:space="preserve"> </w:t>
            </w:r>
            <w:proofErr w:type="spellStart"/>
            <w:r>
              <w:rPr>
                <w:rFonts w:ascii="Calibri" w:eastAsia="Times New Roman" w:hAnsi="Calibri" w:cs="Calibri"/>
                <w:color w:val="000000"/>
                <w:sz w:val="22"/>
              </w:rPr>
              <w:t>White</w:t>
            </w:r>
            <w:proofErr w:type="spellEnd"/>
            <w:r>
              <w:rPr>
                <w:rFonts w:ascii="Calibri" w:eastAsia="Times New Roman" w:hAnsi="Calibri" w:cs="Calibri"/>
                <w:color w:val="000000"/>
                <w:sz w:val="22"/>
              </w:rPr>
              <w:br/>
              <w:t xml:space="preserve">C - </w:t>
            </w:r>
            <w:proofErr w:type="spellStart"/>
            <w:r>
              <w:rPr>
                <w:rFonts w:ascii="Calibri" w:eastAsia="Times New Roman" w:hAnsi="Calibri" w:cs="Calibri"/>
                <w:color w:val="000000"/>
                <w:sz w:val="22"/>
              </w:rPr>
              <w:t>Schalk</w:t>
            </w:r>
            <w:proofErr w:type="spellEnd"/>
            <w:r>
              <w:rPr>
                <w:rFonts w:ascii="Calibri" w:eastAsia="Times New Roman" w:hAnsi="Calibri" w:cs="Calibri"/>
                <w:color w:val="000000"/>
                <w:sz w:val="22"/>
              </w:rPr>
              <w:t xml:space="preserve"> </w:t>
            </w:r>
            <w:proofErr w:type="spellStart"/>
            <w:r>
              <w:rPr>
                <w:rFonts w:ascii="Calibri" w:eastAsia="Times New Roman" w:hAnsi="Calibri" w:cs="Calibri"/>
                <w:color w:val="000000"/>
                <w:sz w:val="22"/>
              </w:rPr>
              <w:t>White</w:t>
            </w:r>
            <w:proofErr w:type="spellEnd"/>
            <w:r>
              <w:rPr>
                <w:rFonts w:ascii="Calibri" w:eastAsia="Times New Roman" w:hAnsi="Calibri" w:cs="Calibri"/>
                <w:color w:val="000000"/>
                <w:sz w:val="22"/>
              </w:rPr>
              <w:br/>
              <w:t xml:space="preserve">          D - Stříbrná </w:t>
            </w:r>
            <w:proofErr w:type="spellStart"/>
            <w:r>
              <w:rPr>
                <w:rFonts w:ascii="Calibri" w:eastAsia="Times New Roman" w:hAnsi="Calibri" w:cs="Calibri"/>
                <w:color w:val="000000"/>
                <w:sz w:val="22"/>
              </w:rPr>
              <w:t>celopolep</w:t>
            </w:r>
            <w:proofErr w:type="spellEnd"/>
            <w:r>
              <w:rPr>
                <w:rFonts w:ascii="Calibri" w:eastAsia="Times New Roman" w:hAnsi="Calibri" w:cs="Calibri"/>
                <w:color w:val="000000"/>
                <w:sz w:val="22"/>
              </w:rPr>
              <w:br/>
            </w:r>
          </w:p>
        </w:tc>
      </w:tr>
      <w:tr w:rsidR="00CD0C03">
        <w:trPr>
          <w:trHeight w:val="1395"/>
          <w:jc w:val="center"/>
        </w:trPr>
        <w:tc>
          <w:tcPr>
            <w:tcW w:w="0" w:type="auto"/>
            <w:tcBorders>
              <w:top w:val="nil"/>
              <w:left w:val="single" w:sz="8" w:space="0" w:color="auto"/>
              <w:bottom w:val="nil"/>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13</w:t>
            </w:r>
          </w:p>
        </w:tc>
        <w:tc>
          <w:tcPr>
            <w:tcW w:w="0" w:type="auto"/>
            <w:tcBorders>
              <w:top w:val="nil"/>
              <w:left w:val="nil"/>
              <w:bottom w:val="nil"/>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Barva interiéru</w:t>
            </w:r>
          </w:p>
        </w:tc>
        <w:tc>
          <w:tcPr>
            <w:tcW w:w="0" w:type="auto"/>
            <w:tcBorders>
              <w:top w:val="nil"/>
              <w:left w:val="single" w:sz="8" w:space="0" w:color="auto"/>
              <w:bottom w:val="single" w:sz="4"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tmavě šedá nebo černá</w:t>
            </w:r>
          </w:p>
        </w:tc>
        <w:tc>
          <w:tcPr>
            <w:tcW w:w="867" w:type="dxa"/>
            <w:tcBorders>
              <w:top w:val="nil"/>
              <w:left w:val="single" w:sz="8" w:space="0" w:color="auto"/>
              <w:bottom w:val="nil"/>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nil"/>
              <w:right w:val="single" w:sz="8" w:space="0" w:color="auto"/>
            </w:tcBorders>
            <w:shd w:val="clear" w:color="000000" w:fill="FFFF99"/>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Černo-šedá</w:t>
            </w:r>
          </w:p>
        </w:tc>
      </w:tr>
      <w:tr w:rsidR="00CD0C03">
        <w:trPr>
          <w:trHeight w:val="915"/>
          <w:jc w:val="center"/>
        </w:trPr>
        <w:tc>
          <w:tcPr>
            <w:tcW w:w="0" w:type="auto"/>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14</w:t>
            </w:r>
          </w:p>
        </w:tc>
        <w:tc>
          <w:tcPr>
            <w:tcW w:w="0" w:type="auto"/>
            <w:tcBorders>
              <w:top w:val="single" w:sz="4" w:space="0" w:color="auto"/>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min. rozvor (mm) dle technické dokumentace vozidla</w:t>
            </w:r>
          </w:p>
        </w:tc>
        <w:tc>
          <w:tcPr>
            <w:tcW w:w="0" w:type="auto"/>
            <w:tcBorders>
              <w:top w:val="nil"/>
              <w:left w:val="single" w:sz="8" w:space="0" w:color="auto"/>
              <w:bottom w:val="single" w:sz="8" w:space="0" w:color="auto"/>
              <w:right w:val="nil"/>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2550</w:t>
            </w:r>
          </w:p>
        </w:tc>
        <w:tc>
          <w:tcPr>
            <w:tcW w:w="867" w:type="dxa"/>
            <w:tcBorders>
              <w:top w:val="single" w:sz="4" w:space="0" w:color="auto"/>
              <w:left w:val="single" w:sz="8" w:space="0" w:color="auto"/>
              <w:bottom w:val="single" w:sz="8"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single" w:sz="4" w:space="0" w:color="auto"/>
              <w:left w:val="nil"/>
              <w:bottom w:val="single" w:sz="4" w:space="0" w:color="auto"/>
              <w:right w:val="single" w:sz="8" w:space="0" w:color="auto"/>
            </w:tcBorders>
            <w:shd w:val="clear" w:color="000000" w:fill="FFFF99"/>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2600</w:t>
            </w:r>
          </w:p>
        </w:tc>
      </w:tr>
      <w:tr w:rsidR="00CD0C03">
        <w:trPr>
          <w:trHeight w:val="660"/>
          <w:jc w:val="center"/>
        </w:trPr>
        <w:tc>
          <w:tcPr>
            <w:tcW w:w="0" w:type="auto"/>
            <w:gridSpan w:val="2"/>
            <w:tcBorders>
              <w:top w:val="single" w:sz="8" w:space="0" w:color="auto"/>
              <w:left w:val="single" w:sz="8" w:space="0" w:color="auto"/>
              <w:bottom w:val="single" w:sz="8" w:space="0" w:color="000000"/>
              <w:right w:val="nil"/>
            </w:tcBorders>
            <w:shd w:val="clear" w:color="000000" w:fill="BFBFBF"/>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BEZPEČNOST</w:t>
            </w:r>
          </w:p>
        </w:tc>
        <w:tc>
          <w:tcPr>
            <w:tcW w:w="0" w:type="auto"/>
            <w:gridSpan w:val="3"/>
            <w:tcBorders>
              <w:top w:val="nil"/>
              <w:left w:val="nil"/>
              <w:bottom w:val="single" w:sz="8" w:space="0" w:color="auto"/>
              <w:right w:val="single" w:sz="8" w:space="0" w:color="000000"/>
            </w:tcBorders>
            <w:shd w:val="clear" w:color="000000" w:fill="BFBFBF"/>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 </w:t>
            </w:r>
          </w:p>
        </w:tc>
      </w:tr>
      <w:tr w:rsidR="00CD0C03">
        <w:trPr>
          <w:trHeight w:val="117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15</w:t>
            </w:r>
          </w:p>
        </w:tc>
        <w:tc>
          <w:tcPr>
            <w:tcW w:w="0" w:type="auto"/>
            <w:vMerge w:val="restart"/>
            <w:tcBorders>
              <w:top w:val="nil"/>
              <w:left w:val="single" w:sz="4" w:space="0" w:color="auto"/>
              <w:bottom w:val="single" w:sz="8" w:space="0" w:color="000000"/>
              <w:right w:val="single" w:sz="8" w:space="0" w:color="auto"/>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Bezpečnostní parametry</w:t>
            </w:r>
          </w:p>
        </w:tc>
        <w:tc>
          <w:tcPr>
            <w:tcW w:w="0" w:type="auto"/>
            <w:tcBorders>
              <w:top w:val="nil"/>
              <w:left w:val="nil"/>
              <w:bottom w:val="single" w:sz="4" w:space="0" w:color="auto"/>
              <w:right w:val="single" w:sz="12"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Airbag řidiče a spolujezdce, vpředu boční a hlavové</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FFFF99"/>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 xml:space="preserve">Airbagy řidiče a spolujezdce </w:t>
            </w:r>
            <w:r>
              <w:rPr>
                <w:rFonts w:ascii="Calibri" w:eastAsia="Times New Roman" w:hAnsi="Calibri" w:cs="Calibri"/>
                <w:color w:val="000000"/>
                <w:sz w:val="22"/>
              </w:rPr>
              <w:br/>
              <w:t>vpředu: boční a hlavové (okenní airbagy i pro sedadla vzadu)</w:t>
            </w:r>
          </w:p>
        </w:tc>
      </w:tr>
      <w:tr w:rsidR="00CD0C03">
        <w:trPr>
          <w:trHeight w:val="795"/>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16</w:t>
            </w:r>
          </w:p>
        </w:tc>
        <w:tc>
          <w:tcPr>
            <w:tcW w:w="0" w:type="auto"/>
            <w:vMerge/>
            <w:tcBorders>
              <w:top w:val="nil"/>
              <w:left w:val="single" w:sz="4" w:space="0" w:color="auto"/>
              <w:bottom w:val="single" w:sz="8" w:space="0" w:color="000000"/>
              <w:right w:val="single" w:sz="8" w:space="0" w:color="auto"/>
            </w:tcBorders>
            <w:vAlign w:val="center"/>
            <w:hideMark/>
          </w:tcPr>
          <w:p w:rsidR="00CD0C03" w:rsidRDefault="00CD0C03">
            <w:pPr>
              <w:spacing w:after="0" w:line="240" w:lineRule="auto"/>
              <w:jc w:val="left"/>
              <w:rPr>
                <w:rFonts w:ascii="Calibri" w:eastAsia="Times New Roman" w:hAnsi="Calibri" w:cs="Calibri"/>
                <w:b/>
                <w:bCs/>
                <w:color w:val="000000"/>
                <w:sz w:val="22"/>
              </w:rPr>
            </w:pPr>
          </w:p>
        </w:tc>
        <w:tc>
          <w:tcPr>
            <w:tcW w:w="0" w:type="auto"/>
            <w:tcBorders>
              <w:top w:val="nil"/>
              <w:left w:val="nil"/>
              <w:bottom w:val="single" w:sz="4" w:space="0" w:color="auto"/>
              <w:right w:val="single" w:sz="12"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posilovač řízení</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noWrap/>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825"/>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17</w:t>
            </w:r>
          </w:p>
        </w:tc>
        <w:tc>
          <w:tcPr>
            <w:tcW w:w="0" w:type="auto"/>
            <w:vMerge/>
            <w:tcBorders>
              <w:top w:val="nil"/>
              <w:left w:val="single" w:sz="4" w:space="0" w:color="auto"/>
              <w:bottom w:val="single" w:sz="8" w:space="0" w:color="000000"/>
              <w:right w:val="single" w:sz="8" w:space="0" w:color="auto"/>
            </w:tcBorders>
            <w:vAlign w:val="center"/>
            <w:hideMark/>
          </w:tcPr>
          <w:p w:rsidR="00CD0C03" w:rsidRDefault="00CD0C03">
            <w:pPr>
              <w:spacing w:after="0" w:line="240" w:lineRule="auto"/>
              <w:jc w:val="left"/>
              <w:rPr>
                <w:rFonts w:ascii="Calibri" w:eastAsia="Times New Roman" w:hAnsi="Calibri" w:cs="Calibri"/>
                <w:b/>
                <w:bCs/>
                <w:color w:val="000000"/>
                <w:sz w:val="22"/>
              </w:rPr>
            </w:pPr>
          </w:p>
        </w:tc>
        <w:tc>
          <w:tcPr>
            <w:tcW w:w="0" w:type="auto"/>
            <w:tcBorders>
              <w:top w:val="nil"/>
              <w:left w:val="nil"/>
              <w:bottom w:val="single" w:sz="4" w:space="0" w:color="auto"/>
              <w:right w:val="single" w:sz="12"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hlavové opěrky pro všechna místa k sezení</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noWrap/>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2535"/>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18</w:t>
            </w:r>
          </w:p>
        </w:tc>
        <w:tc>
          <w:tcPr>
            <w:tcW w:w="0" w:type="auto"/>
            <w:vMerge/>
            <w:tcBorders>
              <w:top w:val="nil"/>
              <w:left w:val="single" w:sz="4" w:space="0" w:color="auto"/>
              <w:bottom w:val="single" w:sz="8" w:space="0" w:color="000000"/>
              <w:right w:val="single" w:sz="8" w:space="0" w:color="auto"/>
            </w:tcBorders>
            <w:vAlign w:val="center"/>
            <w:hideMark/>
          </w:tcPr>
          <w:p w:rsidR="00CD0C03" w:rsidRDefault="00CD0C03">
            <w:pPr>
              <w:spacing w:after="0" w:line="240" w:lineRule="auto"/>
              <w:jc w:val="left"/>
              <w:rPr>
                <w:rFonts w:ascii="Calibri" w:eastAsia="Times New Roman" w:hAnsi="Calibri" w:cs="Calibri"/>
                <w:b/>
                <w:bCs/>
                <w:color w:val="000000"/>
                <w:sz w:val="22"/>
              </w:rPr>
            </w:pPr>
          </w:p>
        </w:tc>
        <w:tc>
          <w:tcPr>
            <w:tcW w:w="0" w:type="auto"/>
            <w:tcBorders>
              <w:top w:val="nil"/>
              <w:left w:val="nil"/>
              <w:bottom w:val="single" w:sz="4" w:space="0" w:color="auto"/>
              <w:right w:val="single" w:sz="12"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 xml:space="preserve">přední mlhové světlomety/ LED potkávací světlomety </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FFFF99"/>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LED Potkávací světlomety - nahrazující funkci mlhových světlometů</w:t>
            </w:r>
          </w:p>
        </w:tc>
      </w:tr>
      <w:tr w:rsidR="00CD0C03">
        <w:trPr>
          <w:trHeight w:val="840"/>
          <w:jc w:val="center"/>
        </w:trPr>
        <w:tc>
          <w:tcPr>
            <w:tcW w:w="0" w:type="auto"/>
            <w:tcBorders>
              <w:top w:val="nil"/>
              <w:left w:val="single" w:sz="8" w:space="0" w:color="auto"/>
              <w:bottom w:val="nil"/>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19</w:t>
            </w:r>
          </w:p>
        </w:tc>
        <w:tc>
          <w:tcPr>
            <w:tcW w:w="0" w:type="auto"/>
            <w:vMerge/>
            <w:tcBorders>
              <w:top w:val="nil"/>
              <w:left w:val="single" w:sz="4" w:space="0" w:color="auto"/>
              <w:bottom w:val="single" w:sz="8" w:space="0" w:color="000000"/>
              <w:right w:val="single" w:sz="8" w:space="0" w:color="auto"/>
            </w:tcBorders>
            <w:vAlign w:val="center"/>
            <w:hideMark/>
          </w:tcPr>
          <w:p w:rsidR="00CD0C03" w:rsidRDefault="00CD0C03">
            <w:pPr>
              <w:spacing w:after="0" w:line="240" w:lineRule="auto"/>
              <w:jc w:val="left"/>
              <w:rPr>
                <w:rFonts w:ascii="Calibri" w:eastAsia="Times New Roman" w:hAnsi="Calibri" w:cs="Calibri"/>
                <w:b/>
                <w:bCs/>
                <w:color w:val="000000"/>
                <w:sz w:val="22"/>
              </w:rPr>
            </w:pPr>
          </w:p>
        </w:tc>
        <w:tc>
          <w:tcPr>
            <w:tcW w:w="0" w:type="auto"/>
            <w:tcBorders>
              <w:top w:val="nil"/>
              <w:left w:val="nil"/>
              <w:bottom w:val="single" w:sz="8" w:space="0" w:color="auto"/>
              <w:right w:val="single" w:sz="12"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denní svícení – automatické</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noWrap/>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690"/>
          <w:jc w:val="center"/>
        </w:trPr>
        <w:tc>
          <w:tcPr>
            <w:tcW w:w="0" w:type="auto"/>
            <w:gridSpan w:val="2"/>
            <w:tcBorders>
              <w:top w:val="single" w:sz="8" w:space="0" w:color="auto"/>
              <w:left w:val="single" w:sz="8" w:space="0" w:color="auto"/>
              <w:bottom w:val="single" w:sz="8" w:space="0" w:color="auto"/>
              <w:right w:val="nil"/>
            </w:tcBorders>
            <w:shd w:val="clear" w:color="000000" w:fill="BFBFBF"/>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VÝBAVA A FUNKČNOST</w:t>
            </w:r>
          </w:p>
        </w:tc>
        <w:tc>
          <w:tcPr>
            <w:tcW w:w="0" w:type="auto"/>
            <w:gridSpan w:val="3"/>
            <w:tcBorders>
              <w:top w:val="single" w:sz="8" w:space="0" w:color="auto"/>
              <w:left w:val="nil"/>
              <w:bottom w:val="single" w:sz="8" w:space="0" w:color="000000"/>
              <w:right w:val="single" w:sz="8" w:space="0" w:color="000000"/>
            </w:tcBorders>
            <w:shd w:val="clear" w:color="000000" w:fill="BFBFBF"/>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 </w:t>
            </w:r>
          </w:p>
        </w:tc>
      </w:tr>
      <w:tr w:rsidR="00CD0C03">
        <w:trPr>
          <w:trHeight w:val="96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20</w:t>
            </w:r>
          </w:p>
        </w:tc>
        <w:tc>
          <w:tcPr>
            <w:tcW w:w="0" w:type="auto"/>
            <w:vMerge w:val="restart"/>
            <w:tcBorders>
              <w:top w:val="nil"/>
              <w:left w:val="single" w:sz="4" w:space="0" w:color="auto"/>
              <w:bottom w:val="single" w:sz="4" w:space="0" w:color="000000"/>
              <w:right w:val="single" w:sz="8" w:space="0" w:color="auto"/>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 xml:space="preserve">Dobíjení elektromobilu </w:t>
            </w:r>
          </w:p>
        </w:tc>
        <w:tc>
          <w:tcPr>
            <w:tcW w:w="0" w:type="auto"/>
            <w:tcBorders>
              <w:top w:val="nil"/>
              <w:left w:val="nil"/>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 xml:space="preserve">možnost dobíjení z běžné elektrické zásuvky 230 V </w:t>
            </w:r>
            <w:proofErr w:type="spellStart"/>
            <w:r>
              <w:rPr>
                <w:rFonts w:ascii="Calibri" w:eastAsia="Times New Roman" w:hAnsi="Calibri" w:cs="Calibri"/>
                <w:color w:val="000000"/>
                <w:sz w:val="22"/>
              </w:rPr>
              <w:t>v</w:t>
            </w:r>
            <w:proofErr w:type="spellEnd"/>
            <w:r>
              <w:rPr>
                <w:rFonts w:ascii="Calibri" w:eastAsia="Times New Roman" w:hAnsi="Calibri" w:cs="Calibri"/>
                <w:color w:val="000000"/>
                <w:sz w:val="22"/>
              </w:rPr>
              <w:t xml:space="preserve"> jedné fázi</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1875"/>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21</w:t>
            </w:r>
          </w:p>
        </w:tc>
        <w:tc>
          <w:tcPr>
            <w:tcW w:w="0" w:type="auto"/>
            <w:vMerge/>
            <w:tcBorders>
              <w:top w:val="nil"/>
              <w:left w:val="single" w:sz="4" w:space="0" w:color="auto"/>
              <w:bottom w:val="single" w:sz="4" w:space="0" w:color="000000"/>
              <w:right w:val="single" w:sz="8" w:space="0" w:color="auto"/>
            </w:tcBorders>
            <w:vAlign w:val="center"/>
            <w:hideMark/>
          </w:tcPr>
          <w:p w:rsidR="00CD0C03" w:rsidRDefault="00CD0C03">
            <w:pPr>
              <w:spacing w:after="0" w:line="240" w:lineRule="auto"/>
              <w:jc w:val="left"/>
              <w:rPr>
                <w:rFonts w:ascii="Calibri" w:eastAsia="Times New Roman" w:hAnsi="Calibri" w:cs="Calibri"/>
                <w:b/>
                <w:bCs/>
                <w:color w:val="000000"/>
                <w:sz w:val="22"/>
              </w:rPr>
            </w:pPr>
          </w:p>
        </w:tc>
        <w:tc>
          <w:tcPr>
            <w:tcW w:w="0" w:type="auto"/>
            <w:tcBorders>
              <w:top w:val="nil"/>
              <w:left w:val="nil"/>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 xml:space="preserve">možnost dobíjení s </w:t>
            </w:r>
            <w:proofErr w:type="spellStart"/>
            <w:r>
              <w:rPr>
                <w:rFonts w:ascii="Calibri" w:eastAsia="Times New Roman" w:hAnsi="Calibri" w:cs="Calibri"/>
                <w:color w:val="000000"/>
                <w:sz w:val="22"/>
              </w:rPr>
              <w:t>rychlonabíjením</w:t>
            </w:r>
            <w:proofErr w:type="spellEnd"/>
            <w:r>
              <w:rPr>
                <w:rFonts w:ascii="Calibri" w:eastAsia="Times New Roman" w:hAnsi="Calibri" w:cs="Calibri"/>
                <w:color w:val="000000"/>
                <w:sz w:val="22"/>
              </w:rPr>
              <w:t xml:space="preserve"> s min. dobíjecí kapacitou 50 kWh</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1875"/>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22</w:t>
            </w:r>
          </w:p>
        </w:tc>
        <w:tc>
          <w:tcPr>
            <w:tcW w:w="0" w:type="auto"/>
            <w:vMerge/>
            <w:tcBorders>
              <w:top w:val="nil"/>
              <w:left w:val="single" w:sz="4" w:space="0" w:color="auto"/>
              <w:bottom w:val="single" w:sz="4" w:space="0" w:color="000000"/>
              <w:right w:val="single" w:sz="8" w:space="0" w:color="auto"/>
            </w:tcBorders>
            <w:vAlign w:val="center"/>
            <w:hideMark/>
          </w:tcPr>
          <w:p w:rsidR="00CD0C03" w:rsidRDefault="00CD0C03">
            <w:pPr>
              <w:spacing w:after="0" w:line="240" w:lineRule="auto"/>
              <w:jc w:val="left"/>
              <w:rPr>
                <w:rFonts w:ascii="Calibri" w:eastAsia="Times New Roman" w:hAnsi="Calibri" w:cs="Calibri"/>
                <w:b/>
                <w:bCs/>
                <w:color w:val="000000"/>
                <w:sz w:val="22"/>
              </w:rPr>
            </w:pPr>
          </w:p>
        </w:tc>
        <w:tc>
          <w:tcPr>
            <w:tcW w:w="0" w:type="auto"/>
            <w:tcBorders>
              <w:top w:val="nil"/>
              <w:left w:val="nil"/>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 xml:space="preserve">součástí dodávky kabel na běžné dobíjení v jedné fázi 230 V, délky min. 5 m, kompatibilní s dodávaným vozem + koncovka </w:t>
            </w:r>
            <w:proofErr w:type="spellStart"/>
            <w:r>
              <w:rPr>
                <w:rFonts w:ascii="Calibri" w:eastAsia="Times New Roman" w:hAnsi="Calibri" w:cs="Calibri"/>
                <w:color w:val="000000"/>
                <w:sz w:val="22"/>
              </w:rPr>
              <w:t>Schuko</w:t>
            </w:r>
            <w:proofErr w:type="spellEnd"/>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1755"/>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23</w:t>
            </w:r>
          </w:p>
        </w:tc>
        <w:tc>
          <w:tcPr>
            <w:tcW w:w="0" w:type="auto"/>
            <w:tcBorders>
              <w:top w:val="nil"/>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Klimatizace</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mechanická nebo automatická</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FFFF99"/>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Automatická</w:t>
            </w:r>
          </w:p>
        </w:tc>
      </w:tr>
      <w:tr w:rsidR="00CD0C03">
        <w:trPr>
          <w:trHeight w:val="1755"/>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24</w:t>
            </w:r>
          </w:p>
        </w:tc>
        <w:tc>
          <w:tcPr>
            <w:tcW w:w="0" w:type="auto"/>
            <w:tcBorders>
              <w:top w:val="nil"/>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Vnitřní vytápění</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tepelné čerpadlo</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75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25</w:t>
            </w:r>
          </w:p>
        </w:tc>
        <w:tc>
          <w:tcPr>
            <w:tcW w:w="0" w:type="auto"/>
            <w:tcBorders>
              <w:top w:val="nil"/>
              <w:left w:val="nil"/>
              <w:bottom w:val="nil"/>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Centrální zamykání</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dálkové ovládání</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96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26</w:t>
            </w:r>
          </w:p>
        </w:tc>
        <w:tc>
          <w:tcPr>
            <w:tcW w:w="0" w:type="auto"/>
            <w:tcBorders>
              <w:top w:val="single" w:sz="4" w:space="0" w:color="auto"/>
              <w:left w:val="nil"/>
              <w:bottom w:val="nil"/>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Okna</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elektrické stahování oken min. předních dveří</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FFFF99"/>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 xml:space="preserve">el. </w:t>
            </w:r>
            <w:proofErr w:type="gramStart"/>
            <w:r>
              <w:rPr>
                <w:rFonts w:ascii="Calibri" w:eastAsia="Times New Roman" w:hAnsi="Calibri" w:cs="Calibri"/>
                <w:color w:val="000000"/>
                <w:sz w:val="22"/>
              </w:rPr>
              <w:t>stahování</w:t>
            </w:r>
            <w:proofErr w:type="gramEnd"/>
            <w:r>
              <w:rPr>
                <w:rFonts w:ascii="Calibri" w:eastAsia="Times New Roman" w:hAnsi="Calibri" w:cs="Calibri"/>
                <w:color w:val="000000"/>
                <w:sz w:val="22"/>
              </w:rPr>
              <w:t xml:space="preserve"> předních i zadních oken</w:t>
            </w:r>
          </w:p>
        </w:tc>
      </w:tr>
      <w:tr w:rsidR="00CD0C03">
        <w:trPr>
          <w:trHeight w:val="87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27</w:t>
            </w:r>
          </w:p>
        </w:tc>
        <w:tc>
          <w:tcPr>
            <w:tcW w:w="0" w:type="auto"/>
            <w:tcBorders>
              <w:top w:val="single" w:sz="4" w:space="0" w:color="auto"/>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Rádio</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originální z výroby a integrované v palubní desce</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150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28</w:t>
            </w:r>
          </w:p>
        </w:tc>
        <w:tc>
          <w:tcPr>
            <w:tcW w:w="0" w:type="auto"/>
            <w:tcBorders>
              <w:top w:val="nil"/>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proofErr w:type="spellStart"/>
            <w:r>
              <w:rPr>
                <w:rFonts w:ascii="Calibri" w:eastAsia="Times New Roman" w:hAnsi="Calibri" w:cs="Calibri"/>
                <w:b/>
                <w:bCs/>
                <w:color w:val="000000"/>
                <w:sz w:val="22"/>
              </w:rPr>
              <w:t>Handsfree</w:t>
            </w:r>
            <w:proofErr w:type="spellEnd"/>
            <w:r>
              <w:rPr>
                <w:rFonts w:ascii="Calibri" w:eastAsia="Times New Roman" w:hAnsi="Calibri" w:cs="Calibri"/>
                <w:b/>
                <w:bCs/>
                <w:color w:val="000000"/>
                <w:sz w:val="22"/>
              </w:rPr>
              <w:t xml:space="preserve"> sada</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proofErr w:type="spellStart"/>
            <w:r>
              <w:rPr>
                <w:rFonts w:ascii="Calibri" w:eastAsia="Times New Roman" w:hAnsi="Calibri" w:cs="Calibri"/>
                <w:color w:val="000000"/>
                <w:sz w:val="22"/>
              </w:rPr>
              <w:t>Handsfree</w:t>
            </w:r>
            <w:proofErr w:type="spellEnd"/>
            <w:r>
              <w:rPr>
                <w:rFonts w:ascii="Calibri" w:eastAsia="Times New Roman" w:hAnsi="Calibri" w:cs="Calibri"/>
                <w:color w:val="000000"/>
                <w:sz w:val="22"/>
              </w:rPr>
              <w:t xml:space="preserve"> - </w:t>
            </w:r>
            <w:proofErr w:type="spellStart"/>
            <w:r>
              <w:rPr>
                <w:rFonts w:ascii="Calibri" w:eastAsia="Times New Roman" w:hAnsi="Calibri" w:cs="Calibri"/>
                <w:color w:val="000000"/>
                <w:sz w:val="22"/>
              </w:rPr>
              <w:t>bluetooth</w:t>
            </w:r>
            <w:proofErr w:type="spellEnd"/>
            <w:r>
              <w:rPr>
                <w:rFonts w:ascii="Calibri" w:eastAsia="Times New Roman" w:hAnsi="Calibri" w:cs="Calibri"/>
                <w:color w:val="000000"/>
                <w:sz w:val="22"/>
              </w:rPr>
              <w:t xml:space="preserve">, </w:t>
            </w:r>
            <w:proofErr w:type="spellStart"/>
            <w:r>
              <w:rPr>
                <w:rFonts w:ascii="Calibri" w:eastAsia="Times New Roman" w:hAnsi="Calibri" w:cs="Calibri"/>
                <w:color w:val="000000"/>
                <w:sz w:val="22"/>
              </w:rPr>
              <w:t>handsfree</w:t>
            </w:r>
            <w:proofErr w:type="spellEnd"/>
            <w:r>
              <w:rPr>
                <w:rFonts w:ascii="Calibri" w:eastAsia="Times New Roman" w:hAnsi="Calibri" w:cs="Calibri"/>
                <w:color w:val="000000"/>
                <w:sz w:val="22"/>
              </w:rPr>
              <w:t xml:space="preserve"> jako jedna z funkcí integrovaného autorádia (vestavěné společně s rádiem)</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87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29</w:t>
            </w:r>
          </w:p>
        </w:tc>
        <w:tc>
          <w:tcPr>
            <w:tcW w:w="0" w:type="auto"/>
            <w:vMerge w:val="restart"/>
            <w:tcBorders>
              <w:top w:val="nil"/>
              <w:left w:val="single" w:sz="4" w:space="0" w:color="auto"/>
              <w:bottom w:val="nil"/>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Sedadla</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dělená a sklopná zadní opěradla</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proofErr w:type="spellStart"/>
            <w:r>
              <w:rPr>
                <w:rFonts w:ascii="Calibri" w:eastAsia="Times New Roman" w:hAnsi="Calibri" w:cs="Calibri"/>
                <w:b/>
                <w:bCs/>
                <w:color w:val="000000"/>
                <w:sz w:val="22"/>
              </w:rPr>
              <w:t>ANo</w:t>
            </w:r>
            <w:proofErr w:type="spellEnd"/>
          </w:p>
        </w:tc>
        <w:tc>
          <w:tcPr>
            <w:tcW w:w="2822" w:type="dxa"/>
            <w:tcBorders>
              <w:top w:val="nil"/>
              <w:left w:val="nil"/>
              <w:bottom w:val="single" w:sz="4" w:space="0" w:color="auto"/>
              <w:right w:val="single" w:sz="8" w:space="0" w:color="auto"/>
            </w:tcBorders>
            <w:shd w:val="clear" w:color="000000" w:fill="A6A6A6"/>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945"/>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30</w:t>
            </w:r>
          </w:p>
        </w:tc>
        <w:tc>
          <w:tcPr>
            <w:tcW w:w="0" w:type="auto"/>
            <w:vMerge/>
            <w:tcBorders>
              <w:top w:val="nil"/>
              <w:left w:val="single" w:sz="4" w:space="0" w:color="auto"/>
              <w:bottom w:val="nil"/>
              <w:right w:val="nil"/>
            </w:tcBorders>
            <w:vAlign w:val="center"/>
            <w:hideMark/>
          </w:tcPr>
          <w:p w:rsidR="00CD0C03" w:rsidRDefault="00CD0C03">
            <w:pPr>
              <w:spacing w:after="0" w:line="240" w:lineRule="auto"/>
              <w:jc w:val="left"/>
              <w:rPr>
                <w:rFonts w:ascii="Calibri" w:eastAsia="Times New Roman" w:hAnsi="Calibri" w:cs="Calibri"/>
                <w:b/>
                <w:bCs/>
                <w:color w:val="000000"/>
                <w:sz w:val="22"/>
              </w:rPr>
            </w:pP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výškově nastavitelné sedadlo řidiče a spolujezdce</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81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31</w:t>
            </w:r>
          </w:p>
        </w:tc>
        <w:tc>
          <w:tcPr>
            <w:tcW w:w="0" w:type="auto"/>
            <w:tcBorders>
              <w:top w:val="single" w:sz="4" w:space="0" w:color="auto"/>
              <w:left w:val="nil"/>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Zpětná zrcátka</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 xml:space="preserve">elektricky ovládaná </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noWrap/>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192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32</w:t>
            </w:r>
          </w:p>
        </w:tc>
        <w:tc>
          <w:tcPr>
            <w:tcW w:w="0" w:type="auto"/>
            <w:tcBorders>
              <w:top w:val="nil"/>
              <w:left w:val="nil"/>
              <w:bottom w:val="nil"/>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Koberce</w:t>
            </w:r>
          </w:p>
        </w:tc>
        <w:tc>
          <w:tcPr>
            <w:tcW w:w="0" w:type="auto"/>
            <w:tcBorders>
              <w:top w:val="nil"/>
              <w:left w:val="single" w:sz="8" w:space="0" w:color="auto"/>
              <w:bottom w:val="nil"/>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gumové koberce vpředu i vzadu a v zavazadlovém prostoru; požadovány koberce pocházející z originálního příslušenství výrobce</w:t>
            </w:r>
          </w:p>
        </w:tc>
        <w:tc>
          <w:tcPr>
            <w:tcW w:w="867" w:type="dxa"/>
            <w:tcBorders>
              <w:top w:val="nil"/>
              <w:left w:val="nil"/>
              <w:bottom w:val="nil"/>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nil"/>
              <w:right w:val="single" w:sz="8" w:space="0" w:color="auto"/>
            </w:tcBorders>
            <w:shd w:val="clear" w:color="000000" w:fill="A6A6A6"/>
            <w:noWrap/>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126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33</w:t>
            </w:r>
          </w:p>
        </w:tc>
        <w:tc>
          <w:tcPr>
            <w:tcW w:w="0" w:type="auto"/>
            <w:vMerge w:val="restart"/>
            <w:tcBorders>
              <w:top w:val="single" w:sz="4" w:space="0" w:color="auto"/>
              <w:left w:val="single" w:sz="4" w:space="0" w:color="auto"/>
              <w:bottom w:val="single" w:sz="4" w:space="0" w:color="auto"/>
              <w:right w:val="nil"/>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Další požadavky</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parkovací senzory (lze nahradit parkovací kamerou) min. vzadu</w:t>
            </w:r>
          </w:p>
        </w:tc>
        <w:tc>
          <w:tcPr>
            <w:tcW w:w="867" w:type="dxa"/>
            <w:tcBorders>
              <w:top w:val="single" w:sz="4" w:space="0" w:color="auto"/>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single" w:sz="4" w:space="0" w:color="auto"/>
              <w:left w:val="nil"/>
              <w:bottom w:val="single" w:sz="4" w:space="0" w:color="auto"/>
              <w:right w:val="single" w:sz="8" w:space="0" w:color="auto"/>
            </w:tcBorders>
            <w:shd w:val="clear" w:color="000000" w:fill="FFFF99"/>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zadní parkovací senzory se zadní parkovací kamerou</w:t>
            </w:r>
          </w:p>
        </w:tc>
      </w:tr>
      <w:tr w:rsidR="00CD0C03">
        <w:trPr>
          <w:trHeight w:val="84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34</w:t>
            </w:r>
          </w:p>
        </w:tc>
        <w:tc>
          <w:tcPr>
            <w:tcW w:w="0" w:type="auto"/>
            <w:vMerge/>
            <w:tcBorders>
              <w:top w:val="single" w:sz="4" w:space="0" w:color="auto"/>
              <w:left w:val="single" w:sz="4" w:space="0" w:color="auto"/>
              <w:bottom w:val="single" w:sz="4" w:space="0" w:color="auto"/>
              <w:right w:val="nil"/>
            </w:tcBorders>
            <w:vAlign w:val="center"/>
            <w:hideMark/>
          </w:tcPr>
          <w:p w:rsidR="00CD0C03" w:rsidRDefault="00CD0C03">
            <w:pPr>
              <w:spacing w:after="0" w:line="240" w:lineRule="auto"/>
              <w:jc w:val="left"/>
              <w:rPr>
                <w:rFonts w:ascii="Calibri" w:eastAsia="Times New Roman" w:hAnsi="Calibri" w:cs="Calibri"/>
                <w:b/>
                <w:bCs/>
                <w:color w:val="000000"/>
                <w:sz w:val="22"/>
              </w:rPr>
            </w:pP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USB vstup</w:t>
            </w:r>
          </w:p>
        </w:tc>
        <w:tc>
          <w:tcPr>
            <w:tcW w:w="867" w:type="dxa"/>
            <w:tcBorders>
              <w:top w:val="nil"/>
              <w:left w:val="nil"/>
              <w:bottom w:val="single" w:sz="4"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4" w:space="0" w:color="auto"/>
              <w:right w:val="single" w:sz="8" w:space="0" w:color="auto"/>
            </w:tcBorders>
            <w:shd w:val="clear" w:color="000000" w:fill="A6A6A6"/>
            <w:noWrap/>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840"/>
          <w:jc w:val="center"/>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35</w:t>
            </w:r>
          </w:p>
        </w:tc>
        <w:tc>
          <w:tcPr>
            <w:tcW w:w="0" w:type="auto"/>
            <w:vMerge/>
            <w:tcBorders>
              <w:top w:val="single" w:sz="4" w:space="0" w:color="auto"/>
              <w:left w:val="single" w:sz="4" w:space="0" w:color="auto"/>
              <w:bottom w:val="single" w:sz="4" w:space="0" w:color="auto"/>
              <w:right w:val="nil"/>
            </w:tcBorders>
            <w:vAlign w:val="center"/>
            <w:hideMark/>
          </w:tcPr>
          <w:p w:rsidR="00CD0C03" w:rsidRDefault="00CD0C03">
            <w:pPr>
              <w:spacing w:after="0" w:line="240" w:lineRule="auto"/>
              <w:jc w:val="left"/>
              <w:rPr>
                <w:rFonts w:ascii="Calibri" w:eastAsia="Times New Roman" w:hAnsi="Calibri" w:cs="Calibri"/>
                <w:b/>
                <w:bCs/>
                <w:color w:val="000000"/>
                <w:sz w:val="22"/>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povinná výbava</w:t>
            </w:r>
          </w:p>
        </w:tc>
        <w:tc>
          <w:tcPr>
            <w:tcW w:w="867" w:type="dxa"/>
            <w:tcBorders>
              <w:top w:val="nil"/>
              <w:left w:val="nil"/>
              <w:bottom w:val="single" w:sz="8" w:space="0" w:color="auto"/>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tcBorders>
              <w:top w:val="nil"/>
              <w:left w:val="nil"/>
              <w:bottom w:val="single" w:sz="8" w:space="0" w:color="auto"/>
              <w:right w:val="single" w:sz="8" w:space="0" w:color="auto"/>
            </w:tcBorders>
            <w:shd w:val="clear" w:color="000000" w:fill="A6A6A6"/>
            <w:noWrap/>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Ano</w:t>
            </w:r>
          </w:p>
        </w:tc>
      </w:tr>
      <w:tr w:rsidR="00CD0C03">
        <w:trPr>
          <w:trHeight w:val="840"/>
          <w:jc w:val="center"/>
        </w:trPr>
        <w:tc>
          <w:tcPr>
            <w:tcW w:w="0" w:type="auto"/>
            <w:gridSpan w:val="2"/>
            <w:tcBorders>
              <w:top w:val="single" w:sz="8" w:space="0" w:color="auto"/>
              <w:left w:val="single" w:sz="8" w:space="0" w:color="auto"/>
              <w:bottom w:val="nil"/>
              <w:right w:val="nil"/>
            </w:tcBorders>
            <w:shd w:val="clear" w:color="000000" w:fill="BFBFBF"/>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FAKULTATIVNÍ VÝBAVA</w:t>
            </w:r>
          </w:p>
        </w:tc>
        <w:tc>
          <w:tcPr>
            <w:tcW w:w="0" w:type="auto"/>
            <w:gridSpan w:val="3"/>
            <w:tcBorders>
              <w:top w:val="nil"/>
              <w:left w:val="nil"/>
              <w:bottom w:val="nil"/>
              <w:right w:val="single" w:sz="8" w:space="0" w:color="000000"/>
            </w:tcBorders>
            <w:shd w:val="clear" w:color="000000" w:fill="BFBFBF"/>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 </w:t>
            </w:r>
          </w:p>
        </w:tc>
      </w:tr>
      <w:tr w:rsidR="00CD0C03">
        <w:trPr>
          <w:trHeight w:val="840"/>
          <w:jc w:val="center"/>
        </w:trPr>
        <w:tc>
          <w:tcPr>
            <w:tcW w:w="0" w:type="auto"/>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36</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 xml:space="preserve">Fakultativní výbava - dodavatel není povinen tento požadavek splnit. </w:t>
            </w:r>
            <w:r>
              <w:rPr>
                <w:rFonts w:ascii="Calibri" w:eastAsia="Times New Roman" w:hAnsi="Calibri" w:cs="Calibri"/>
                <w:b/>
                <w:bCs/>
                <w:color w:val="000000"/>
                <w:sz w:val="22"/>
              </w:rPr>
              <w:lastRenderedPageBreak/>
              <w:t>Případné splnění je však bonifikováno v hodnocení.</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lastRenderedPageBreak/>
              <w:t>vozidlo umožňuje nabíjení 400V ve třech fázích</w:t>
            </w:r>
          </w:p>
        </w:tc>
        <w:tc>
          <w:tcPr>
            <w:tcW w:w="867" w:type="dxa"/>
            <w:vMerge w:val="restart"/>
            <w:tcBorders>
              <w:top w:val="single" w:sz="4" w:space="0" w:color="auto"/>
              <w:left w:val="single" w:sz="8" w:space="0" w:color="auto"/>
              <w:bottom w:val="single" w:sz="8" w:space="0" w:color="000000"/>
              <w:right w:val="single" w:sz="8" w:space="0" w:color="auto"/>
            </w:tcBorders>
            <w:shd w:val="clear" w:color="000000" w:fill="FFFF9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Ano</w:t>
            </w:r>
          </w:p>
        </w:tc>
        <w:tc>
          <w:tcPr>
            <w:tcW w:w="2822"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 xml:space="preserve">Ano včetně kabelu </w:t>
            </w:r>
            <w:proofErr w:type="spellStart"/>
            <w:r>
              <w:rPr>
                <w:rFonts w:ascii="Calibri" w:eastAsia="Times New Roman" w:hAnsi="Calibri" w:cs="Calibri"/>
                <w:color w:val="000000"/>
                <w:sz w:val="22"/>
              </w:rPr>
              <w:t>Mennekes</w:t>
            </w:r>
            <w:proofErr w:type="spellEnd"/>
            <w:r>
              <w:rPr>
                <w:rFonts w:ascii="Calibri" w:eastAsia="Times New Roman" w:hAnsi="Calibri" w:cs="Calibri"/>
                <w:color w:val="000000"/>
                <w:sz w:val="22"/>
              </w:rPr>
              <w:t xml:space="preserve"> Typ 2</w:t>
            </w:r>
          </w:p>
        </w:tc>
      </w:tr>
      <w:tr w:rsidR="00CD0C03">
        <w:trPr>
          <w:trHeight w:val="1620"/>
          <w:jc w:val="center"/>
        </w:trPr>
        <w:tc>
          <w:tcPr>
            <w:tcW w:w="0" w:type="auto"/>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CD0C03" w:rsidRDefault="00FA3FC7">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37</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D0C03" w:rsidRDefault="00CD0C03">
            <w:pPr>
              <w:spacing w:after="0" w:line="240" w:lineRule="auto"/>
              <w:jc w:val="left"/>
              <w:rPr>
                <w:rFonts w:ascii="Calibri" w:eastAsia="Times New Roman" w:hAnsi="Calibri" w:cs="Calibri"/>
                <w:b/>
                <w:bCs/>
                <w:color w:val="000000"/>
                <w:sz w:val="22"/>
              </w:rPr>
            </w:pPr>
          </w:p>
        </w:tc>
        <w:tc>
          <w:tcPr>
            <w:tcW w:w="0" w:type="auto"/>
            <w:tcBorders>
              <w:top w:val="nil"/>
              <w:left w:val="nil"/>
              <w:bottom w:val="single" w:sz="4" w:space="0" w:color="auto"/>
              <w:right w:val="single" w:sz="4" w:space="0" w:color="auto"/>
            </w:tcBorders>
            <w:shd w:val="clear" w:color="auto" w:fill="auto"/>
            <w:vAlign w:val="center"/>
            <w:hideMark/>
          </w:tcPr>
          <w:p w:rsidR="00CD0C03" w:rsidRDefault="00FA3FC7">
            <w:pPr>
              <w:spacing w:after="0" w:line="240" w:lineRule="auto"/>
              <w:jc w:val="center"/>
              <w:rPr>
                <w:rFonts w:ascii="Calibri" w:eastAsia="Times New Roman" w:hAnsi="Calibri" w:cs="Calibri"/>
                <w:color w:val="000000"/>
                <w:sz w:val="22"/>
              </w:rPr>
            </w:pPr>
            <w:r>
              <w:rPr>
                <w:rFonts w:ascii="Calibri" w:eastAsia="Times New Roman" w:hAnsi="Calibri" w:cs="Calibri"/>
                <w:color w:val="000000"/>
                <w:sz w:val="22"/>
              </w:rPr>
              <w:t xml:space="preserve">součástí dodávky kabel </w:t>
            </w:r>
            <w:proofErr w:type="gramStart"/>
            <w:r>
              <w:rPr>
                <w:rFonts w:ascii="Calibri" w:eastAsia="Times New Roman" w:hAnsi="Calibri" w:cs="Calibri"/>
                <w:color w:val="000000"/>
                <w:sz w:val="22"/>
              </w:rPr>
              <w:t>na  dobíjení</w:t>
            </w:r>
            <w:proofErr w:type="gramEnd"/>
            <w:r>
              <w:rPr>
                <w:rFonts w:ascii="Calibri" w:eastAsia="Times New Roman" w:hAnsi="Calibri" w:cs="Calibri"/>
                <w:color w:val="000000"/>
                <w:sz w:val="22"/>
              </w:rPr>
              <w:t xml:space="preserve"> ve třech fázích 400 V, délky min. 5 m, kompatibilní s dodávaným vozem + koncovka </w:t>
            </w:r>
            <w:proofErr w:type="spellStart"/>
            <w:r>
              <w:rPr>
                <w:rFonts w:ascii="Calibri" w:eastAsia="Times New Roman" w:hAnsi="Calibri" w:cs="Calibri"/>
                <w:color w:val="000000"/>
                <w:sz w:val="22"/>
              </w:rPr>
              <w:t>Mennekes</w:t>
            </w:r>
            <w:proofErr w:type="spellEnd"/>
            <w:r>
              <w:rPr>
                <w:rFonts w:ascii="Calibri" w:eastAsia="Times New Roman" w:hAnsi="Calibri" w:cs="Calibri"/>
                <w:color w:val="000000"/>
                <w:sz w:val="22"/>
              </w:rPr>
              <w:t xml:space="preserve"> typ 2</w:t>
            </w:r>
          </w:p>
        </w:tc>
        <w:tc>
          <w:tcPr>
            <w:tcW w:w="867" w:type="dxa"/>
            <w:vMerge/>
            <w:tcBorders>
              <w:top w:val="single" w:sz="4" w:space="0" w:color="auto"/>
              <w:left w:val="single" w:sz="8" w:space="0" w:color="auto"/>
              <w:bottom w:val="single" w:sz="4" w:space="0" w:color="auto"/>
              <w:right w:val="single" w:sz="8" w:space="0" w:color="auto"/>
            </w:tcBorders>
            <w:vAlign w:val="center"/>
            <w:hideMark/>
          </w:tcPr>
          <w:p w:rsidR="00CD0C03" w:rsidRDefault="00CD0C03">
            <w:pPr>
              <w:spacing w:after="0" w:line="240" w:lineRule="auto"/>
              <w:jc w:val="left"/>
              <w:rPr>
                <w:rFonts w:ascii="Calibri" w:eastAsia="Times New Roman" w:hAnsi="Calibri" w:cs="Calibri"/>
                <w:b/>
                <w:bCs/>
                <w:color w:val="000000"/>
                <w:sz w:val="22"/>
              </w:rPr>
            </w:pPr>
          </w:p>
        </w:tc>
        <w:tc>
          <w:tcPr>
            <w:tcW w:w="2822" w:type="dxa"/>
            <w:vMerge/>
            <w:tcBorders>
              <w:top w:val="single" w:sz="8" w:space="0" w:color="auto"/>
              <w:left w:val="single" w:sz="8" w:space="0" w:color="auto"/>
              <w:bottom w:val="single" w:sz="4" w:space="0" w:color="auto"/>
              <w:right w:val="single" w:sz="8" w:space="0" w:color="auto"/>
            </w:tcBorders>
            <w:vAlign w:val="center"/>
            <w:hideMark/>
          </w:tcPr>
          <w:p w:rsidR="00CD0C03" w:rsidRDefault="00CD0C03">
            <w:pPr>
              <w:spacing w:after="0" w:line="240" w:lineRule="auto"/>
              <w:jc w:val="left"/>
              <w:rPr>
                <w:rFonts w:ascii="Calibri" w:eastAsia="Times New Roman" w:hAnsi="Calibri" w:cs="Calibri"/>
                <w:color w:val="000000"/>
                <w:sz w:val="22"/>
              </w:rPr>
            </w:pPr>
          </w:p>
        </w:tc>
      </w:tr>
      <w:tr w:rsidR="00CD0C03">
        <w:trPr>
          <w:trHeight w:val="1275"/>
          <w:jc w:val="center"/>
        </w:trPr>
        <w:tc>
          <w:tcPr>
            <w:tcW w:w="0" w:type="auto"/>
            <w:gridSpan w:val="5"/>
            <w:shd w:val="clear" w:color="auto" w:fill="auto"/>
            <w:vAlign w:val="bottom"/>
            <w:hideMark/>
          </w:tcPr>
          <w:p w:rsidR="00CD0C03" w:rsidRDefault="00FA3FC7">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lastRenderedPageBreak/>
              <w:t>*  skupina</w:t>
            </w:r>
            <w:proofErr w:type="gramEnd"/>
            <w:r>
              <w:rPr>
                <w:rFonts w:ascii="Calibri" w:eastAsia="Times New Roman" w:hAnsi="Calibri" w:cs="Calibri"/>
                <w:color w:val="000000"/>
                <w:sz w:val="22"/>
              </w:rPr>
              <w:t xml:space="preserve"> A pověřujících zadavatelů: Česká republika - Agentura ochrany přírody a krajiny České republiky, Český hydrometeorologický ústav, Český metrologický institut, Správa úložišť radioaktivních odpadů, Centrum pro zjišťování výsledků vzdělávání – CERMAT, Správa služeb Ministerstva průmyslu a obchodu ČR                 </w:t>
            </w:r>
          </w:p>
        </w:tc>
      </w:tr>
      <w:tr w:rsidR="00CD0C03">
        <w:trPr>
          <w:trHeight w:val="300"/>
          <w:jc w:val="center"/>
        </w:trPr>
        <w:tc>
          <w:tcPr>
            <w:tcW w:w="0" w:type="auto"/>
            <w:gridSpan w:val="5"/>
            <w:shd w:val="clear" w:color="auto" w:fill="auto"/>
            <w:noWrap/>
            <w:vAlign w:val="bottom"/>
            <w:hideMark/>
          </w:tcPr>
          <w:p w:rsidR="00CD0C03" w:rsidRDefault="00FA3FC7">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    skupina B pověřujících zadavatelů: CENIA, česká informační agentura životního prostředí</w:t>
            </w:r>
          </w:p>
        </w:tc>
      </w:tr>
      <w:tr w:rsidR="00CD0C03">
        <w:trPr>
          <w:trHeight w:val="300"/>
          <w:jc w:val="center"/>
        </w:trPr>
        <w:tc>
          <w:tcPr>
            <w:tcW w:w="0" w:type="auto"/>
            <w:gridSpan w:val="5"/>
            <w:shd w:val="clear" w:color="auto" w:fill="auto"/>
            <w:noWrap/>
            <w:vAlign w:val="bottom"/>
            <w:hideMark/>
          </w:tcPr>
          <w:p w:rsidR="00CD0C03" w:rsidRDefault="00FA3FC7">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    skupina C pověřujících zadavatelů: Správa Národního parku a chráněné krajinné oblasti Šumava</w:t>
            </w:r>
          </w:p>
        </w:tc>
      </w:tr>
      <w:tr w:rsidR="00CD0C03">
        <w:trPr>
          <w:trHeight w:val="300"/>
          <w:jc w:val="center"/>
        </w:trPr>
        <w:tc>
          <w:tcPr>
            <w:tcW w:w="9157" w:type="dxa"/>
            <w:gridSpan w:val="5"/>
            <w:tcBorders>
              <w:top w:val="nil"/>
              <w:left w:val="nil"/>
              <w:bottom w:val="nil"/>
            </w:tcBorders>
            <w:shd w:val="clear" w:color="auto" w:fill="auto"/>
            <w:noWrap/>
            <w:vAlign w:val="bottom"/>
            <w:hideMark/>
          </w:tcPr>
          <w:p w:rsidR="00CD0C03" w:rsidRDefault="00FA3FC7">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    </w:t>
            </w:r>
            <w:r>
              <w:rPr>
                <w:rFonts w:ascii="Calibri" w:eastAsia="Times New Roman" w:hAnsi="Calibri" w:cs="Calibri"/>
                <w:color w:val="000000"/>
                <w:sz w:val="22"/>
                <w:highlight w:val="lightGray"/>
              </w:rPr>
              <w:t>skupina D pověřujících zadavatelů:  Státní fond dopravní infrastruktury</w:t>
            </w:r>
            <w:r>
              <w:rPr>
                <w:rFonts w:ascii="Calibri" w:eastAsia="Times New Roman" w:hAnsi="Calibri" w:cs="Calibri"/>
                <w:color w:val="000000"/>
                <w:sz w:val="22"/>
              </w:rPr>
              <w:t xml:space="preserve">                              </w:t>
            </w:r>
          </w:p>
        </w:tc>
      </w:tr>
      <w:tr w:rsidR="00CD0C03">
        <w:trPr>
          <w:trHeight w:val="300"/>
          <w:jc w:val="center"/>
        </w:trPr>
        <w:tc>
          <w:tcPr>
            <w:tcW w:w="0" w:type="auto"/>
            <w:gridSpan w:val="5"/>
            <w:shd w:val="clear" w:color="auto" w:fill="auto"/>
            <w:noWrap/>
            <w:vAlign w:val="bottom"/>
            <w:hideMark/>
          </w:tcPr>
          <w:p w:rsidR="00CD0C03" w:rsidRDefault="00FA3FC7">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    skupina E pověřujících zadavatelů: Správa železniční dopravní cesty, Státní energetická inspekce</w:t>
            </w:r>
          </w:p>
        </w:tc>
      </w:tr>
    </w:tbl>
    <w:p w:rsidR="00CD0C03" w:rsidRDefault="00CD0C03"/>
    <w:p w:rsidR="00CD0C03" w:rsidRDefault="00FA3FC7">
      <w:pPr>
        <w:pStyle w:val="Zhlav"/>
        <w:jc w:val="center"/>
      </w:pPr>
      <w:r>
        <w:t>Příloha č. 2</w:t>
      </w:r>
    </w:p>
    <w:p w:rsidR="00CD0C03" w:rsidRDefault="00FA3FC7">
      <w:pPr>
        <w:pStyle w:val="Zhlav"/>
        <w:jc w:val="center"/>
      </w:pPr>
      <w:r>
        <w:t xml:space="preserve">Technické údaje HYUNDAI </w:t>
      </w:r>
      <w:proofErr w:type="spellStart"/>
      <w:r>
        <w:t>Kona</w:t>
      </w:r>
      <w:proofErr w:type="spellEnd"/>
      <w:r>
        <w:t xml:space="preserve"> Electric</w:t>
      </w:r>
    </w:p>
    <w:p w:rsidR="00CD0C03" w:rsidRDefault="00CD0C03">
      <w:pPr>
        <w:pStyle w:val="Zhlav"/>
        <w:jc w:val="center"/>
      </w:pPr>
    </w:p>
    <w:tbl>
      <w:tblPr>
        <w:tblW w:w="8800" w:type="dxa"/>
        <w:tblInd w:w="55" w:type="dxa"/>
        <w:tblCellMar>
          <w:left w:w="70" w:type="dxa"/>
          <w:right w:w="70" w:type="dxa"/>
        </w:tblCellMar>
        <w:tblLook w:val="04A0" w:firstRow="1" w:lastRow="0" w:firstColumn="1" w:lastColumn="0" w:noHBand="0" w:noVBand="1"/>
      </w:tblPr>
      <w:tblGrid>
        <w:gridCol w:w="4060"/>
        <w:gridCol w:w="4740"/>
      </w:tblGrid>
      <w:tr w:rsidR="00CD0C03">
        <w:trPr>
          <w:trHeight w:val="300"/>
        </w:trPr>
        <w:tc>
          <w:tcPr>
            <w:tcW w:w="4060" w:type="dxa"/>
            <w:tcBorders>
              <w:top w:val="single" w:sz="8" w:space="0" w:color="auto"/>
              <w:left w:val="single" w:sz="12" w:space="0" w:color="auto"/>
              <w:bottom w:val="single" w:sz="8" w:space="0" w:color="auto"/>
              <w:right w:val="nil"/>
            </w:tcBorders>
            <w:shd w:val="clear" w:color="000000" w:fill="C0C0C0"/>
            <w:noWrap/>
            <w:vAlign w:val="bottom"/>
            <w:hideMark/>
          </w:tcPr>
          <w:p w:rsidR="00CD0C03" w:rsidRDefault="00FA3FC7">
            <w:pPr>
              <w:spacing w:after="0" w:line="240" w:lineRule="auto"/>
              <w:jc w:val="left"/>
              <w:rPr>
                <w:rFonts w:eastAsia="Times New Roman" w:cs="Arial"/>
                <w:b/>
                <w:bCs/>
                <w:sz w:val="22"/>
              </w:rPr>
            </w:pPr>
            <w:bookmarkStart w:id="2" w:name="RANGE!A1:B44"/>
            <w:r>
              <w:rPr>
                <w:rFonts w:eastAsia="Times New Roman" w:cs="Arial"/>
                <w:b/>
                <w:bCs/>
                <w:sz w:val="22"/>
              </w:rPr>
              <w:t> </w:t>
            </w:r>
            <w:bookmarkEnd w:id="2"/>
          </w:p>
        </w:tc>
        <w:tc>
          <w:tcPr>
            <w:tcW w:w="4740" w:type="dxa"/>
            <w:tcBorders>
              <w:top w:val="single" w:sz="8" w:space="0" w:color="auto"/>
              <w:left w:val="single" w:sz="8" w:space="0" w:color="auto"/>
              <w:bottom w:val="single" w:sz="8" w:space="0" w:color="auto"/>
              <w:right w:val="single" w:sz="12" w:space="0" w:color="auto"/>
            </w:tcBorders>
            <w:shd w:val="clear" w:color="000000" w:fill="BFBFBF"/>
            <w:noWrap/>
            <w:vAlign w:val="bottom"/>
            <w:hideMark/>
          </w:tcPr>
          <w:p w:rsidR="00CD0C03" w:rsidRDefault="00FA3FC7">
            <w:pPr>
              <w:spacing w:after="0" w:line="240" w:lineRule="auto"/>
              <w:jc w:val="center"/>
              <w:rPr>
                <w:rFonts w:eastAsia="Times New Roman" w:cs="Arial"/>
                <w:b/>
                <w:bCs/>
                <w:sz w:val="22"/>
              </w:rPr>
            </w:pPr>
            <w:r>
              <w:rPr>
                <w:rFonts w:eastAsia="Times New Roman" w:cs="Arial"/>
                <w:b/>
                <w:bCs/>
                <w:sz w:val="22"/>
              </w:rPr>
              <w:t xml:space="preserve">TECHNICKÉ ÚDAJE - HYUNDAI </w:t>
            </w:r>
            <w:proofErr w:type="spellStart"/>
            <w:r>
              <w:rPr>
                <w:rFonts w:eastAsia="Times New Roman" w:cs="Arial"/>
                <w:b/>
                <w:bCs/>
                <w:sz w:val="22"/>
              </w:rPr>
              <w:t>Kona</w:t>
            </w:r>
            <w:proofErr w:type="spellEnd"/>
            <w:r>
              <w:rPr>
                <w:rFonts w:eastAsia="Times New Roman" w:cs="Arial"/>
                <w:b/>
                <w:bCs/>
                <w:sz w:val="22"/>
              </w:rPr>
              <w:t xml:space="preserve"> Electric</w:t>
            </w:r>
          </w:p>
        </w:tc>
      </w:tr>
      <w:tr w:rsidR="00CD0C03">
        <w:trPr>
          <w:trHeight w:val="180"/>
        </w:trPr>
        <w:tc>
          <w:tcPr>
            <w:tcW w:w="4060" w:type="dxa"/>
            <w:tcBorders>
              <w:top w:val="nil"/>
              <w:left w:val="single" w:sz="12" w:space="0" w:color="auto"/>
              <w:bottom w:val="nil"/>
              <w:right w:val="nil"/>
            </w:tcBorders>
            <w:shd w:val="clear" w:color="auto" w:fill="auto"/>
            <w:noWrap/>
            <w:vAlign w:val="bottom"/>
            <w:hideMark/>
          </w:tcPr>
          <w:p w:rsidR="00CD0C03" w:rsidRDefault="00FA3FC7">
            <w:pPr>
              <w:spacing w:after="0" w:line="240" w:lineRule="auto"/>
              <w:jc w:val="center"/>
              <w:rPr>
                <w:rFonts w:eastAsia="Times New Roman" w:cs="Arial"/>
                <w:b/>
                <w:bCs/>
                <w:sz w:val="22"/>
              </w:rPr>
            </w:pPr>
            <w:r>
              <w:rPr>
                <w:rFonts w:eastAsia="Times New Roman" w:cs="Arial"/>
                <w:b/>
                <w:bCs/>
                <w:sz w:val="22"/>
              </w:rPr>
              <w:t> </w:t>
            </w:r>
          </w:p>
        </w:tc>
        <w:tc>
          <w:tcPr>
            <w:tcW w:w="4740" w:type="dxa"/>
            <w:tcBorders>
              <w:top w:val="nil"/>
              <w:left w:val="nil"/>
              <w:bottom w:val="nil"/>
              <w:right w:val="single" w:sz="12" w:space="0" w:color="auto"/>
            </w:tcBorders>
            <w:shd w:val="clear" w:color="auto" w:fill="auto"/>
            <w:noWrap/>
            <w:vAlign w:val="bottom"/>
            <w:hideMark/>
          </w:tcPr>
          <w:p w:rsidR="00CD0C03" w:rsidRDefault="00FA3FC7">
            <w:pPr>
              <w:spacing w:after="0" w:line="240" w:lineRule="auto"/>
              <w:jc w:val="left"/>
              <w:rPr>
                <w:rFonts w:eastAsia="Times New Roman" w:cs="Arial"/>
                <w:sz w:val="22"/>
              </w:rPr>
            </w:pPr>
            <w:r>
              <w:rPr>
                <w:rFonts w:eastAsia="Times New Roman" w:cs="Arial"/>
                <w:sz w:val="22"/>
              </w:rPr>
              <w:t> </w:t>
            </w:r>
          </w:p>
        </w:tc>
      </w:tr>
      <w:tr w:rsidR="00CD0C03">
        <w:trPr>
          <w:trHeight w:val="285"/>
        </w:trPr>
        <w:tc>
          <w:tcPr>
            <w:tcW w:w="4060" w:type="dxa"/>
            <w:tcBorders>
              <w:top w:val="single" w:sz="8" w:space="0" w:color="auto"/>
              <w:left w:val="single" w:sz="12" w:space="0" w:color="auto"/>
              <w:bottom w:val="single" w:sz="8" w:space="0" w:color="auto"/>
              <w:right w:val="single" w:sz="4" w:space="0" w:color="auto"/>
            </w:tcBorders>
            <w:shd w:val="clear" w:color="000000" w:fill="C0C0C0"/>
            <w:noWrap/>
            <w:vAlign w:val="bottom"/>
            <w:hideMark/>
          </w:tcPr>
          <w:p w:rsidR="00CD0C03" w:rsidRDefault="00FA3FC7">
            <w:pPr>
              <w:spacing w:after="0" w:line="240" w:lineRule="auto"/>
              <w:jc w:val="left"/>
              <w:rPr>
                <w:rFonts w:eastAsia="Times New Roman" w:cs="Arial"/>
                <w:b/>
                <w:bCs/>
                <w:sz w:val="22"/>
              </w:rPr>
            </w:pPr>
            <w:r>
              <w:rPr>
                <w:rFonts w:eastAsia="Times New Roman" w:cs="Arial"/>
                <w:b/>
                <w:bCs/>
                <w:sz w:val="22"/>
              </w:rPr>
              <w:t>POHON</w:t>
            </w:r>
          </w:p>
        </w:tc>
        <w:tc>
          <w:tcPr>
            <w:tcW w:w="4740" w:type="dxa"/>
            <w:tcBorders>
              <w:top w:val="single" w:sz="8" w:space="0" w:color="auto"/>
              <w:left w:val="nil"/>
              <w:bottom w:val="single" w:sz="8" w:space="0" w:color="auto"/>
              <w:right w:val="single" w:sz="12" w:space="0" w:color="auto"/>
            </w:tcBorders>
            <w:shd w:val="clear" w:color="000000" w:fill="BFBFBF"/>
            <w:noWrap/>
            <w:vAlign w:val="bottom"/>
            <w:hideMark/>
          </w:tcPr>
          <w:p w:rsidR="00CD0C03" w:rsidRDefault="00FA3FC7">
            <w:pPr>
              <w:spacing w:after="0" w:line="240" w:lineRule="auto"/>
              <w:jc w:val="center"/>
              <w:rPr>
                <w:rFonts w:eastAsia="Times New Roman" w:cs="Arial"/>
                <w:sz w:val="22"/>
              </w:rPr>
            </w:pPr>
            <w:r>
              <w:rPr>
                <w:rFonts w:eastAsia="Times New Roman" w:cs="Arial"/>
                <w:sz w:val="22"/>
              </w:rPr>
              <w:t>ELEKTRICKÝ (EV) ECO</w:t>
            </w:r>
          </w:p>
        </w:tc>
      </w:tr>
      <w:tr w:rsidR="00CD0C03">
        <w:trPr>
          <w:trHeight w:val="285"/>
        </w:trPr>
        <w:tc>
          <w:tcPr>
            <w:tcW w:w="4060" w:type="dxa"/>
            <w:tcBorders>
              <w:top w:val="nil"/>
              <w:left w:val="single" w:sz="12" w:space="0" w:color="auto"/>
              <w:bottom w:val="single" w:sz="8" w:space="0" w:color="auto"/>
              <w:right w:val="single" w:sz="4" w:space="0" w:color="auto"/>
            </w:tcBorders>
            <w:shd w:val="clear" w:color="000000" w:fill="C0C0C0"/>
            <w:noWrap/>
            <w:vAlign w:val="bottom"/>
            <w:hideMark/>
          </w:tcPr>
          <w:p w:rsidR="00CD0C03" w:rsidRDefault="00FA3FC7">
            <w:pPr>
              <w:spacing w:after="0" w:line="240" w:lineRule="auto"/>
              <w:jc w:val="left"/>
              <w:rPr>
                <w:rFonts w:eastAsia="Times New Roman" w:cs="Arial"/>
                <w:b/>
                <w:bCs/>
                <w:sz w:val="22"/>
              </w:rPr>
            </w:pPr>
            <w:r>
              <w:rPr>
                <w:rFonts w:eastAsia="Times New Roman" w:cs="Arial"/>
                <w:b/>
                <w:bCs/>
                <w:sz w:val="22"/>
              </w:rPr>
              <w:t>MOTOR</w:t>
            </w:r>
          </w:p>
        </w:tc>
        <w:tc>
          <w:tcPr>
            <w:tcW w:w="4740" w:type="dxa"/>
            <w:tcBorders>
              <w:top w:val="nil"/>
              <w:left w:val="nil"/>
              <w:bottom w:val="single" w:sz="8" w:space="0" w:color="auto"/>
              <w:right w:val="single" w:sz="12" w:space="0" w:color="auto"/>
            </w:tcBorders>
            <w:shd w:val="clear" w:color="000000" w:fill="C0C0C0"/>
            <w:noWrap/>
            <w:vAlign w:val="bottom"/>
            <w:hideMark/>
          </w:tcPr>
          <w:p w:rsidR="00CD0C03" w:rsidRDefault="00FA3FC7">
            <w:pPr>
              <w:spacing w:after="0" w:line="240" w:lineRule="auto"/>
              <w:jc w:val="center"/>
              <w:rPr>
                <w:rFonts w:eastAsia="Times New Roman" w:cs="Arial"/>
                <w:sz w:val="22"/>
              </w:rPr>
            </w:pPr>
            <w:r>
              <w:rPr>
                <w:rFonts w:eastAsia="Times New Roman" w:cs="Arial"/>
                <w:sz w:val="22"/>
              </w:rPr>
              <w:t>ELEKTROMOTOR</w:t>
            </w:r>
          </w:p>
        </w:tc>
      </w:tr>
      <w:tr w:rsidR="00CD0C03">
        <w:trPr>
          <w:trHeight w:val="360"/>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Typ</w:t>
            </w:r>
          </w:p>
        </w:tc>
        <w:tc>
          <w:tcPr>
            <w:tcW w:w="4740" w:type="dxa"/>
            <w:tcBorders>
              <w:top w:val="nil"/>
              <w:left w:val="nil"/>
              <w:bottom w:val="single" w:sz="4" w:space="0" w:color="auto"/>
              <w:right w:val="single" w:sz="12" w:space="0" w:color="auto"/>
            </w:tcBorders>
            <w:shd w:val="clear" w:color="000000" w:fill="FFFFFF"/>
            <w:vAlign w:val="center"/>
            <w:hideMark/>
          </w:tcPr>
          <w:p w:rsidR="00CD0C03" w:rsidRDefault="00FA3FC7">
            <w:pPr>
              <w:spacing w:after="0" w:line="240" w:lineRule="auto"/>
              <w:jc w:val="center"/>
              <w:rPr>
                <w:rFonts w:eastAsia="Times New Roman" w:cs="Arial"/>
                <w:sz w:val="22"/>
              </w:rPr>
            </w:pPr>
            <w:r>
              <w:rPr>
                <w:rFonts w:eastAsia="Times New Roman" w:cs="Arial"/>
                <w:sz w:val="22"/>
              </w:rPr>
              <w:t>synchronní motor s permanentním magnetem</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auto" w:fill="auto"/>
            <w:noWrap/>
            <w:vAlign w:val="center"/>
            <w:hideMark/>
          </w:tcPr>
          <w:p w:rsidR="00CD0C03" w:rsidRDefault="00FA3FC7">
            <w:pPr>
              <w:spacing w:after="0" w:line="240" w:lineRule="auto"/>
              <w:jc w:val="left"/>
              <w:rPr>
                <w:rFonts w:eastAsia="Times New Roman" w:cs="Arial"/>
                <w:sz w:val="22"/>
              </w:rPr>
            </w:pPr>
            <w:r>
              <w:rPr>
                <w:rFonts w:eastAsia="Times New Roman" w:cs="Arial"/>
                <w:sz w:val="22"/>
              </w:rPr>
              <w:t>Typ akumulátoru elektropohonu</w:t>
            </w:r>
          </w:p>
        </w:tc>
        <w:tc>
          <w:tcPr>
            <w:tcW w:w="4740" w:type="dxa"/>
            <w:tcBorders>
              <w:top w:val="nil"/>
              <w:left w:val="nil"/>
              <w:bottom w:val="single" w:sz="4" w:space="0" w:color="auto"/>
              <w:right w:val="single" w:sz="12" w:space="0" w:color="auto"/>
            </w:tcBorders>
            <w:shd w:val="clear" w:color="auto" w:fill="auto"/>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Lithium polymerová (</w:t>
            </w:r>
            <w:proofErr w:type="spellStart"/>
            <w:r>
              <w:rPr>
                <w:rFonts w:eastAsia="Times New Roman" w:cs="Arial"/>
                <w:sz w:val="22"/>
              </w:rPr>
              <w:t>LiPol</w:t>
            </w:r>
            <w:proofErr w:type="spellEnd"/>
            <w:r>
              <w:rPr>
                <w:rFonts w:eastAsia="Times New Roman" w:cs="Arial"/>
                <w:sz w:val="22"/>
              </w:rPr>
              <w:t>)</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auto" w:fill="auto"/>
            <w:noWrap/>
            <w:vAlign w:val="center"/>
            <w:hideMark/>
          </w:tcPr>
          <w:p w:rsidR="00CD0C03" w:rsidRDefault="00FA3FC7">
            <w:pPr>
              <w:spacing w:after="0" w:line="240" w:lineRule="auto"/>
              <w:jc w:val="left"/>
              <w:rPr>
                <w:rFonts w:eastAsia="Times New Roman" w:cs="Arial"/>
                <w:sz w:val="22"/>
              </w:rPr>
            </w:pPr>
            <w:r>
              <w:rPr>
                <w:rFonts w:eastAsia="Times New Roman" w:cs="Arial"/>
                <w:sz w:val="22"/>
              </w:rPr>
              <w:t>Kapacita akumulátoru elektropohonu (kWh) / výkon (kW)</w:t>
            </w:r>
          </w:p>
        </w:tc>
        <w:tc>
          <w:tcPr>
            <w:tcW w:w="4740" w:type="dxa"/>
            <w:tcBorders>
              <w:top w:val="nil"/>
              <w:left w:val="nil"/>
              <w:bottom w:val="single" w:sz="4" w:space="0" w:color="auto"/>
              <w:right w:val="single" w:sz="12" w:space="0" w:color="auto"/>
            </w:tcBorders>
            <w:shd w:val="clear" w:color="auto" w:fill="auto"/>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39,2 / 113</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Maximální výkon (kW/k/</w:t>
            </w:r>
            <w:proofErr w:type="spellStart"/>
            <w:r>
              <w:rPr>
                <w:rFonts w:eastAsia="Times New Roman" w:cs="Arial"/>
                <w:sz w:val="22"/>
              </w:rPr>
              <w:t>ot</w:t>
            </w:r>
            <w:proofErr w:type="spellEnd"/>
            <w:r>
              <w:rPr>
                <w:rFonts w:eastAsia="Times New Roman" w:cs="Arial"/>
                <w:sz w:val="22"/>
              </w:rPr>
              <w:t>./min.)</w:t>
            </w:r>
          </w:p>
        </w:tc>
        <w:tc>
          <w:tcPr>
            <w:tcW w:w="4740" w:type="dxa"/>
            <w:tcBorders>
              <w:top w:val="nil"/>
              <w:left w:val="nil"/>
              <w:bottom w:val="single" w:sz="4" w:space="0" w:color="auto"/>
              <w:right w:val="single" w:sz="12" w:space="0" w:color="auto"/>
            </w:tcBorders>
            <w:shd w:val="clear" w:color="auto" w:fill="auto"/>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100 / 136 / --</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auto" w:fill="auto"/>
            <w:noWrap/>
            <w:vAlign w:val="center"/>
            <w:hideMark/>
          </w:tcPr>
          <w:p w:rsidR="00CD0C03" w:rsidRDefault="00FA3FC7">
            <w:pPr>
              <w:spacing w:after="0" w:line="240" w:lineRule="auto"/>
              <w:jc w:val="left"/>
              <w:rPr>
                <w:rFonts w:eastAsia="Times New Roman" w:cs="Arial"/>
                <w:sz w:val="22"/>
              </w:rPr>
            </w:pPr>
            <w:r>
              <w:rPr>
                <w:rFonts w:eastAsia="Times New Roman" w:cs="Arial"/>
                <w:sz w:val="22"/>
              </w:rPr>
              <w:t>Maximální točivý moment (</w:t>
            </w:r>
            <w:proofErr w:type="spellStart"/>
            <w:r>
              <w:rPr>
                <w:rFonts w:eastAsia="Times New Roman" w:cs="Arial"/>
                <w:sz w:val="22"/>
              </w:rPr>
              <w:t>Nm</w:t>
            </w:r>
            <w:proofErr w:type="spellEnd"/>
            <w:r>
              <w:rPr>
                <w:rFonts w:eastAsia="Times New Roman" w:cs="Arial"/>
                <w:sz w:val="22"/>
              </w:rPr>
              <w:t>/</w:t>
            </w:r>
            <w:proofErr w:type="spellStart"/>
            <w:r>
              <w:rPr>
                <w:rFonts w:eastAsia="Times New Roman" w:cs="Arial"/>
                <w:sz w:val="22"/>
              </w:rPr>
              <w:t>ot</w:t>
            </w:r>
            <w:proofErr w:type="spellEnd"/>
            <w:r>
              <w:rPr>
                <w:rFonts w:eastAsia="Times New Roman" w:cs="Arial"/>
                <w:sz w:val="22"/>
              </w:rPr>
              <w:t>./min.)</w:t>
            </w:r>
          </w:p>
        </w:tc>
        <w:tc>
          <w:tcPr>
            <w:tcW w:w="4740" w:type="dxa"/>
            <w:tcBorders>
              <w:top w:val="nil"/>
              <w:left w:val="nil"/>
              <w:bottom w:val="single" w:sz="4" w:space="0" w:color="auto"/>
              <w:right w:val="single" w:sz="12" w:space="0" w:color="auto"/>
            </w:tcBorders>
            <w:shd w:val="clear" w:color="auto" w:fill="auto"/>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395 / --</w:t>
            </w:r>
          </w:p>
        </w:tc>
      </w:tr>
      <w:tr w:rsidR="00CD0C03">
        <w:trPr>
          <w:trHeight w:val="225"/>
        </w:trPr>
        <w:tc>
          <w:tcPr>
            <w:tcW w:w="4060" w:type="dxa"/>
            <w:tcBorders>
              <w:top w:val="nil"/>
              <w:left w:val="single" w:sz="12" w:space="0" w:color="auto"/>
              <w:bottom w:val="single" w:sz="8"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color w:val="000000"/>
                <w:sz w:val="22"/>
              </w:rPr>
            </w:pPr>
            <w:r>
              <w:rPr>
                <w:rFonts w:eastAsia="Times New Roman" w:cs="Arial"/>
                <w:color w:val="000000"/>
                <w:sz w:val="22"/>
              </w:rPr>
              <w:t xml:space="preserve">Podpora </w:t>
            </w:r>
            <w:proofErr w:type="spellStart"/>
            <w:r>
              <w:rPr>
                <w:rFonts w:eastAsia="Times New Roman" w:cs="Arial"/>
                <w:color w:val="000000"/>
                <w:sz w:val="22"/>
              </w:rPr>
              <w:t>rychlonabíjecích</w:t>
            </w:r>
            <w:proofErr w:type="spellEnd"/>
            <w:r>
              <w:rPr>
                <w:rFonts w:eastAsia="Times New Roman" w:cs="Arial"/>
                <w:color w:val="000000"/>
                <w:sz w:val="22"/>
              </w:rPr>
              <w:t xml:space="preserve"> stanic stejnosměrným proudem DC (kW)</w:t>
            </w:r>
          </w:p>
        </w:tc>
        <w:tc>
          <w:tcPr>
            <w:tcW w:w="4740" w:type="dxa"/>
            <w:tcBorders>
              <w:top w:val="nil"/>
              <w:left w:val="nil"/>
              <w:bottom w:val="nil"/>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 xml:space="preserve">50/100 </w:t>
            </w:r>
          </w:p>
        </w:tc>
      </w:tr>
      <w:tr w:rsidR="00CD0C03">
        <w:trPr>
          <w:trHeight w:val="285"/>
        </w:trPr>
        <w:tc>
          <w:tcPr>
            <w:tcW w:w="4060" w:type="dxa"/>
            <w:tcBorders>
              <w:top w:val="nil"/>
              <w:left w:val="single" w:sz="12" w:space="0" w:color="auto"/>
              <w:bottom w:val="single" w:sz="8" w:space="0" w:color="auto"/>
              <w:right w:val="single" w:sz="4" w:space="0" w:color="auto"/>
            </w:tcBorders>
            <w:shd w:val="clear" w:color="000000" w:fill="C0C0C0"/>
            <w:noWrap/>
            <w:vAlign w:val="bottom"/>
            <w:hideMark/>
          </w:tcPr>
          <w:p w:rsidR="00CD0C03" w:rsidRDefault="00FA3FC7">
            <w:pPr>
              <w:spacing w:after="0" w:line="240" w:lineRule="auto"/>
              <w:jc w:val="left"/>
              <w:rPr>
                <w:rFonts w:eastAsia="Times New Roman" w:cs="Arial"/>
                <w:b/>
                <w:bCs/>
                <w:sz w:val="22"/>
              </w:rPr>
            </w:pPr>
            <w:r>
              <w:rPr>
                <w:rFonts w:eastAsia="Times New Roman" w:cs="Arial"/>
                <w:b/>
                <w:bCs/>
                <w:sz w:val="22"/>
              </w:rPr>
              <w:t>PŘEVODOVÉ ÚSTROJÍ</w:t>
            </w:r>
          </w:p>
        </w:tc>
        <w:tc>
          <w:tcPr>
            <w:tcW w:w="4740" w:type="dxa"/>
            <w:tcBorders>
              <w:top w:val="single" w:sz="8" w:space="0" w:color="auto"/>
              <w:left w:val="nil"/>
              <w:bottom w:val="single" w:sz="8" w:space="0" w:color="auto"/>
              <w:right w:val="single" w:sz="12" w:space="0" w:color="auto"/>
            </w:tcBorders>
            <w:shd w:val="clear" w:color="000000" w:fill="C0C0C0"/>
            <w:noWrap/>
            <w:vAlign w:val="bottom"/>
            <w:hideMark/>
          </w:tcPr>
          <w:p w:rsidR="00CD0C03" w:rsidRDefault="00FA3FC7">
            <w:pPr>
              <w:spacing w:after="0" w:line="240" w:lineRule="auto"/>
              <w:jc w:val="left"/>
              <w:rPr>
                <w:rFonts w:eastAsia="Times New Roman" w:cs="Arial"/>
                <w:b/>
                <w:bCs/>
                <w:sz w:val="22"/>
              </w:rPr>
            </w:pPr>
            <w:r>
              <w:rPr>
                <w:rFonts w:eastAsia="Times New Roman" w:cs="Arial"/>
                <w:b/>
                <w:bCs/>
                <w:sz w:val="22"/>
              </w:rPr>
              <w:t> </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auto" w:fill="auto"/>
            <w:noWrap/>
            <w:vAlign w:val="center"/>
            <w:hideMark/>
          </w:tcPr>
          <w:p w:rsidR="00CD0C03" w:rsidRDefault="00FA3FC7">
            <w:pPr>
              <w:spacing w:after="0" w:line="240" w:lineRule="auto"/>
              <w:jc w:val="left"/>
              <w:rPr>
                <w:rFonts w:eastAsia="Times New Roman" w:cs="Arial"/>
                <w:sz w:val="22"/>
              </w:rPr>
            </w:pPr>
            <w:r>
              <w:rPr>
                <w:rFonts w:eastAsia="Times New Roman" w:cs="Arial"/>
                <w:sz w:val="22"/>
              </w:rPr>
              <w:t>Typ převodovky</w:t>
            </w:r>
          </w:p>
        </w:tc>
        <w:tc>
          <w:tcPr>
            <w:tcW w:w="4740" w:type="dxa"/>
            <w:vMerge w:val="restart"/>
            <w:tcBorders>
              <w:top w:val="nil"/>
              <w:left w:val="single" w:sz="4" w:space="0" w:color="auto"/>
              <w:bottom w:val="single" w:sz="8" w:space="0" w:color="000000"/>
              <w:right w:val="single" w:sz="12" w:space="0" w:color="auto"/>
            </w:tcBorders>
            <w:shd w:val="clear" w:color="auto" w:fill="auto"/>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Stálý redukční převod</w:t>
            </w:r>
          </w:p>
        </w:tc>
      </w:tr>
      <w:tr w:rsidR="00CD0C03">
        <w:trPr>
          <w:trHeight w:val="225"/>
        </w:trPr>
        <w:tc>
          <w:tcPr>
            <w:tcW w:w="4060" w:type="dxa"/>
            <w:tcBorders>
              <w:top w:val="nil"/>
              <w:left w:val="single" w:sz="12" w:space="0" w:color="auto"/>
              <w:bottom w:val="single" w:sz="8" w:space="0" w:color="auto"/>
              <w:right w:val="nil"/>
            </w:tcBorders>
            <w:shd w:val="clear" w:color="auto" w:fill="auto"/>
            <w:noWrap/>
            <w:vAlign w:val="center"/>
            <w:hideMark/>
          </w:tcPr>
          <w:p w:rsidR="00CD0C03" w:rsidRDefault="00FA3FC7">
            <w:pPr>
              <w:spacing w:after="0" w:line="240" w:lineRule="auto"/>
              <w:jc w:val="left"/>
              <w:rPr>
                <w:rFonts w:eastAsia="Times New Roman" w:cs="Arial"/>
                <w:sz w:val="22"/>
              </w:rPr>
            </w:pPr>
            <w:r>
              <w:rPr>
                <w:rFonts w:eastAsia="Times New Roman" w:cs="Arial"/>
                <w:sz w:val="22"/>
              </w:rPr>
              <w:t>Počet převodových stupňů</w:t>
            </w:r>
          </w:p>
        </w:tc>
        <w:tc>
          <w:tcPr>
            <w:tcW w:w="4740" w:type="dxa"/>
            <w:vMerge/>
            <w:tcBorders>
              <w:top w:val="nil"/>
              <w:left w:val="single" w:sz="4" w:space="0" w:color="auto"/>
              <w:bottom w:val="single" w:sz="8" w:space="0" w:color="000000"/>
              <w:right w:val="single" w:sz="12" w:space="0" w:color="auto"/>
            </w:tcBorders>
            <w:vAlign w:val="center"/>
            <w:hideMark/>
          </w:tcPr>
          <w:p w:rsidR="00CD0C03" w:rsidRDefault="00CD0C03">
            <w:pPr>
              <w:spacing w:after="0" w:line="240" w:lineRule="auto"/>
              <w:jc w:val="left"/>
              <w:rPr>
                <w:rFonts w:eastAsia="Times New Roman" w:cs="Arial"/>
                <w:sz w:val="22"/>
              </w:rPr>
            </w:pPr>
          </w:p>
        </w:tc>
      </w:tr>
      <w:tr w:rsidR="00CD0C03">
        <w:trPr>
          <w:trHeight w:val="285"/>
        </w:trPr>
        <w:tc>
          <w:tcPr>
            <w:tcW w:w="4060" w:type="dxa"/>
            <w:tcBorders>
              <w:top w:val="nil"/>
              <w:left w:val="single" w:sz="12" w:space="0" w:color="auto"/>
              <w:bottom w:val="single" w:sz="8" w:space="0" w:color="auto"/>
              <w:right w:val="single" w:sz="4" w:space="0" w:color="auto"/>
            </w:tcBorders>
            <w:shd w:val="clear" w:color="000000" w:fill="C0C0C0"/>
            <w:noWrap/>
            <w:vAlign w:val="center"/>
            <w:hideMark/>
          </w:tcPr>
          <w:p w:rsidR="00CD0C03" w:rsidRDefault="00FA3FC7">
            <w:pPr>
              <w:spacing w:after="0" w:line="240" w:lineRule="auto"/>
              <w:jc w:val="left"/>
              <w:rPr>
                <w:rFonts w:eastAsia="Times New Roman" w:cs="Arial"/>
                <w:b/>
                <w:bCs/>
                <w:sz w:val="22"/>
              </w:rPr>
            </w:pPr>
            <w:r>
              <w:rPr>
                <w:rFonts w:eastAsia="Times New Roman" w:cs="Arial"/>
                <w:b/>
                <w:bCs/>
                <w:sz w:val="22"/>
              </w:rPr>
              <w:t>DYNAMIKA</w:t>
            </w:r>
          </w:p>
        </w:tc>
        <w:tc>
          <w:tcPr>
            <w:tcW w:w="4740" w:type="dxa"/>
            <w:tcBorders>
              <w:top w:val="nil"/>
              <w:left w:val="nil"/>
              <w:bottom w:val="single" w:sz="8" w:space="0" w:color="auto"/>
              <w:right w:val="single" w:sz="12" w:space="0" w:color="auto"/>
            </w:tcBorders>
            <w:shd w:val="clear" w:color="000000" w:fill="C0C0C0"/>
            <w:noWrap/>
            <w:vAlign w:val="bottom"/>
            <w:hideMark/>
          </w:tcPr>
          <w:p w:rsidR="00CD0C03" w:rsidRDefault="00FA3FC7">
            <w:pPr>
              <w:spacing w:after="0" w:line="240" w:lineRule="auto"/>
              <w:jc w:val="left"/>
              <w:rPr>
                <w:rFonts w:eastAsia="Times New Roman" w:cs="Arial"/>
                <w:sz w:val="22"/>
              </w:rPr>
            </w:pPr>
            <w:r>
              <w:rPr>
                <w:rFonts w:eastAsia="Times New Roman" w:cs="Arial"/>
                <w:sz w:val="22"/>
              </w:rPr>
              <w:t> </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Maximální rychlost (km/h)</w:t>
            </w:r>
          </w:p>
        </w:tc>
        <w:tc>
          <w:tcPr>
            <w:tcW w:w="4740" w:type="dxa"/>
            <w:tcBorders>
              <w:top w:val="nil"/>
              <w:left w:val="nil"/>
              <w:bottom w:val="single" w:sz="4" w:space="0" w:color="auto"/>
              <w:right w:val="single" w:sz="12" w:space="0" w:color="auto"/>
            </w:tcBorders>
            <w:shd w:val="clear" w:color="auto" w:fill="auto"/>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155</w:t>
            </w:r>
          </w:p>
        </w:tc>
      </w:tr>
      <w:tr w:rsidR="00CD0C03">
        <w:trPr>
          <w:trHeight w:val="225"/>
        </w:trPr>
        <w:tc>
          <w:tcPr>
            <w:tcW w:w="4060" w:type="dxa"/>
            <w:tcBorders>
              <w:top w:val="nil"/>
              <w:left w:val="single" w:sz="12" w:space="0" w:color="auto"/>
              <w:bottom w:val="single" w:sz="8"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Zrychlení z 0 na 100 km/h (s)</w:t>
            </w:r>
          </w:p>
        </w:tc>
        <w:tc>
          <w:tcPr>
            <w:tcW w:w="4740" w:type="dxa"/>
            <w:tcBorders>
              <w:top w:val="nil"/>
              <w:left w:val="nil"/>
              <w:bottom w:val="single" w:sz="8" w:space="0" w:color="auto"/>
              <w:right w:val="single" w:sz="12" w:space="0" w:color="auto"/>
            </w:tcBorders>
            <w:shd w:val="clear" w:color="auto" w:fill="auto"/>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9,7</w:t>
            </w:r>
          </w:p>
        </w:tc>
      </w:tr>
      <w:tr w:rsidR="00CD0C03">
        <w:trPr>
          <w:trHeight w:val="285"/>
        </w:trPr>
        <w:tc>
          <w:tcPr>
            <w:tcW w:w="4060" w:type="dxa"/>
            <w:tcBorders>
              <w:top w:val="nil"/>
              <w:left w:val="single" w:sz="12" w:space="0" w:color="auto"/>
              <w:bottom w:val="single" w:sz="8" w:space="0" w:color="auto"/>
              <w:right w:val="single" w:sz="4" w:space="0" w:color="auto"/>
            </w:tcBorders>
            <w:shd w:val="clear" w:color="000000" w:fill="C0C0C0"/>
            <w:noWrap/>
            <w:vAlign w:val="center"/>
            <w:hideMark/>
          </w:tcPr>
          <w:p w:rsidR="00CD0C03" w:rsidRDefault="00FA3FC7">
            <w:pPr>
              <w:spacing w:after="0" w:line="240" w:lineRule="auto"/>
              <w:jc w:val="left"/>
              <w:rPr>
                <w:rFonts w:eastAsia="Times New Roman" w:cs="Arial"/>
                <w:b/>
                <w:bCs/>
                <w:sz w:val="22"/>
              </w:rPr>
            </w:pPr>
            <w:r>
              <w:rPr>
                <w:rFonts w:eastAsia="Times New Roman" w:cs="Arial"/>
                <w:b/>
                <w:bCs/>
                <w:sz w:val="22"/>
              </w:rPr>
              <w:t>SPOTŘEBA / DOJEZD</w:t>
            </w:r>
          </w:p>
        </w:tc>
        <w:tc>
          <w:tcPr>
            <w:tcW w:w="4740" w:type="dxa"/>
            <w:tcBorders>
              <w:top w:val="nil"/>
              <w:left w:val="nil"/>
              <w:bottom w:val="single" w:sz="8" w:space="0" w:color="auto"/>
              <w:right w:val="single" w:sz="12" w:space="0" w:color="auto"/>
            </w:tcBorders>
            <w:shd w:val="clear" w:color="000000" w:fill="C0C0C0"/>
            <w:noWrap/>
            <w:vAlign w:val="bottom"/>
            <w:hideMark/>
          </w:tcPr>
          <w:p w:rsidR="00CD0C03" w:rsidRDefault="00FA3FC7">
            <w:pPr>
              <w:spacing w:after="0" w:line="240" w:lineRule="auto"/>
              <w:jc w:val="left"/>
              <w:rPr>
                <w:rFonts w:eastAsia="Times New Roman" w:cs="Arial"/>
                <w:sz w:val="22"/>
              </w:rPr>
            </w:pPr>
            <w:r>
              <w:rPr>
                <w:rFonts w:eastAsia="Times New Roman" w:cs="Arial"/>
                <w:sz w:val="22"/>
              </w:rPr>
              <w:t> </w:t>
            </w:r>
          </w:p>
        </w:tc>
      </w:tr>
      <w:tr w:rsidR="00CD0C03">
        <w:trPr>
          <w:trHeight w:val="225"/>
        </w:trPr>
        <w:tc>
          <w:tcPr>
            <w:tcW w:w="40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0C03" w:rsidRDefault="00FA3FC7">
            <w:pPr>
              <w:spacing w:after="0" w:line="240" w:lineRule="auto"/>
              <w:jc w:val="left"/>
              <w:rPr>
                <w:rFonts w:eastAsia="Times New Roman" w:cs="Arial"/>
                <w:sz w:val="22"/>
              </w:rPr>
            </w:pPr>
            <w:r>
              <w:rPr>
                <w:rFonts w:eastAsia="Times New Roman" w:cs="Arial"/>
                <w:sz w:val="22"/>
              </w:rPr>
              <w:t>Spotřeba elektrické energie (Wh/km) WLTP</w:t>
            </w:r>
          </w:p>
        </w:tc>
        <w:tc>
          <w:tcPr>
            <w:tcW w:w="4740" w:type="dxa"/>
            <w:tcBorders>
              <w:top w:val="single" w:sz="4" w:space="0" w:color="auto"/>
              <w:left w:val="nil"/>
              <w:bottom w:val="single" w:sz="4" w:space="0" w:color="auto"/>
              <w:right w:val="single" w:sz="12" w:space="0" w:color="auto"/>
            </w:tcBorders>
            <w:shd w:val="clear" w:color="auto" w:fill="auto"/>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150</w:t>
            </w:r>
          </w:p>
        </w:tc>
      </w:tr>
      <w:tr w:rsidR="00CD0C03">
        <w:trPr>
          <w:trHeight w:val="225"/>
        </w:trPr>
        <w:tc>
          <w:tcPr>
            <w:tcW w:w="4060" w:type="dxa"/>
            <w:tcBorders>
              <w:top w:val="nil"/>
              <w:left w:val="single" w:sz="12" w:space="0" w:color="auto"/>
              <w:bottom w:val="single" w:sz="8"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Maximální dojezd (km)        WLTP/NEDC*</w:t>
            </w:r>
          </w:p>
        </w:tc>
        <w:tc>
          <w:tcPr>
            <w:tcW w:w="4740" w:type="dxa"/>
            <w:tcBorders>
              <w:top w:val="nil"/>
              <w:left w:val="nil"/>
              <w:bottom w:val="single" w:sz="8"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289/345</w:t>
            </w:r>
          </w:p>
        </w:tc>
      </w:tr>
      <w:tr w:rsidR="00CD0C03">
        <w:trPr>
          <w:trHeight w:val="285"/>
        </w:trPr>
        <w:tc>
          <w:tcPr>
            <w:tcW w:w="4060" w:type="dxa"/>
            <w:tcBorders>
              <w:top w:val="nil"/>
              <w:left w:val="single" w:sz="12" w:space="0" w:color="auto"/>
              <w:bottom w:val="single" w:sz="8" w:space="0" w:color="auto"/>
              <w:right w:val="single" w:sz="4" w:space="0" w:color="auto"/>
            </w:tcBorders>
            <w:shd w:val="clear" w:color="000000" w:fill="C0C0C0"/>
            <w:noWrap/>
            <w:vAlign w:val="center"/>
            <w:hideMark/>
          </w:tcPr>
          <w:p w:rsidR="00CD0C03" w:rsidRDefault="00FA3FC7">
            <w:pPr>
              <w:spacing w:after="0" w:line="240" w:lineRule="auto"/>
              <w:jc w:val="left"/>
              <w:rPr>
                <w:rFonts w:eastAsia="Times New Roman" w:cs="Arial"/>
                <w:b/>
                <w:bCs/>
                <w:sz w:val="22"/>
              </w:rPr>
            </w:pPr>
            <w:r>
              <w:rPr>
                <w:rFonts w:eastAsia="Times New Roman" w:cs="Arial"/>
                <w:b/>
                <w:bCs/>
                <w:sz w:val="22"/>
              </w:rPr>
              <w:t>HMOTNOSTI</w:t>
            </w:r>
          </w:p>
        </w:tc>
        <w:tc>
          <w:tcPr>
            <w:tcW w:w="4740" w:type="dxa"/>
            <w:tcBorders>
              <w:top w:val="nil"/>
              <w:left w:val="nil"/>
              <w:bottom w:val="single" w:sz="8" w:space="0" w:color="auto"/>
              <w:right w:val="single" w:sz="12" w:space="0" w:color="auto"/>
            </w:tcBorders>
            <w:shd w:val="clear" w:color="000000" w:fill="C0C0C0"/>
            <w:noWrap/>
            <w:vAlign w:val="bottom"/>
            <w:hideMark/>
          </w:tcPr>
          <w:p w:rsidR="00CD0C03" w:rsidRDefault="00FA3FC7">
            <w:pPr>
              <w:spacing w:after="0" w:line="240" w:lineRule="auto"/>
              <w:jc w:val="left"/>
              <w:rPr>
                <w:rFonts w:eastAsia="Times New Roman" w:cs="Arial"/>
                <w:sz w:val="22"/>
              </w:rPr>
            </w:pPr>
            <w:r>
              <w:rPr>
                <w:rFonts w:eastAsia="Times New Roman" w:cs="Arial"/>
                <w:sz w:val="22"/>
              </w:rPr>
              <w:t> </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 xml:space="preserve">Provozní hmotnost (pohotovostní + </w:t>
            </w:r>
            <w:proofErr w:type="gramStart"/>
            <w:r>
              <w:rPr>
                <w:rFonts w:eastAsia="Times New Roman" w:cs="Arial"/>
                <w:sz w:val="22"/>
              </w:rPr>
              <w:t>75kg) (kg</w:t>
            </w:r>
            <w:proofErr w:type="gramEnd"/>
            <w:r>
              <w:rPr>
                <w:rFonts w:eastAsia="Times New Roman" w:cs="Arial"/>
                <w:sz w:val="22"/>
              </w:rPr>
              <w:t xml:space="preserve">) </w:t>
            </w:r>
          </w:p>
        </w:tc>
        <w:tc>
          <w:tcPr>
            <w:tcW w:w="4740" w:type="dxa"/>
            <w:tcBorders>
              <w:top w:val="nil"/>
              <w:left w:val="nil"/>
              <w:bottom w:val="single" w:sz="4"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1 610 – 1 668</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auto" w:fill="auto"/>
            <w:noWrap/>
            <w:vAlign w:val="center"/>
            <w:hideMark/>
          </w:tcPr>
          <w:p w:rsidR="00CD0C03" w:rsidRDefault="00FA3FC7">
            <w:pPr>
              <w:spacing w:after="0" w:line="240" w:lineRule="auto"/>
              <w:jc w:val="left"/>
              <w:rPr>
                <w:rFonts w:eastAsia="Times New Roman" w:cs="Arial"/>
                <w:sz w:val="22"/>
              </w:rPr>
            </w:pPr>
            <w:r>
              <w:rPr>
                <w:rFonts w:eastAsia="Times New Roman" w:cs="Arial"/>
                <w:sz w:val="22"/>
              </w:rPr>
              <w:t>Největší technicky přípustná hmotnost (kg)</w:t>
            </w:r>
          </w:p>
        </w:tc>
        <w:tc>
          <w:tcPr>
            <w:tcW w:w="4740" w:type="dxa"/>
            <w:tcBorders>
              <w:top w:val="nil"/>
              <w:left w:val="nil"/>
              <w:bottom w:val="single" w:sz="4" w:space="0" w:color="auto"/>
              <w:right w:val="single" w:sz="12" w:space="0" w:color="auto"/>
            </w:tcBorders>
            <w:shd w:val="clear" w:color="000000" w:fill="FFFFFF"/>
            <w:noWrap/>
            <w:vAlign w:val="center"/>
            <w:hideMark/>
          </w:tcPr>
          <w:p w:rsidR="00CD0C03" w:rsidRDefault="00FA3FC7">
            <w:pPr>
              <w:spacing w:after="0" w:line="240" w:lineRule="auto"/>
              <w:jc w:val="center"/>
              <w:rPr>
                <w:rFonts w:ascii="Arial CE" w:eastAsia="Times New Roman" w:hAnsi="Arial CE" w:cs="Arial CE"/>
                <w:sz w:val="22"/>
              </w:rPr>
            </w:pPr>
            <w:r>
              <w:rPr>
                <w:rFonts w:ascii="Arial CE" w:eastAsia="Times New Roman" w:hAnsi="Arial CE" w:cs="Arial CE"/>
                <w:sz w:val="22"/>
              </w:rPr>
              <w:t>2 020</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auto" w:fill="auto"/>
            <w:noWrap/>
            <w:vAlign w:val="center"/>
            <w:hideMark/>
          </w:tcPr>
          <w:p w:rsidR="00CD0C03" w:rsidRDefault="00FA3FC7">
            <w:pPr>
              <w:spacing w:after="0" w:line="240" w:lineRule="auto"/>
              <w:jc w:val="left"/>
              <w:rPr>
                <w:rFonts w:eastAsia="Times New Roman" w:cs="Arial"/>
                <w:sz w:val="22"/>
              </w:rPr>
            </w:pPr>
            <w:r>
              <w:rPr>
                <w:rFonts w:eastAsia="Times New Roman" w:cs="Arial"/>
                <w:sz w:val="22"/>
              </w:rPr>
              <w:t xml:space="preserve">Hmotnost brzděného a nebrzděného </w:t>
            </w:r>
            <w:r>
              <w:rPr>
                <w:rFonts w:eastAsia="Times New Roman" w:cs="Arial"/>
                <w:sz w:val="22"/>
              </w:rPr>
              <w:lastRenderedPageBreak/>
              <w:t>přívěsu (kg)</w:t>
            </w:r>
          </w:p>
        </w:tc>
        <w:tc>
          <w:tcPr>
            <w:tcW w:w="4740" w:type="dxa"/>
            <w:tcBorders>
              <w:top w:val="nil"/>
              <w:left w:val="nil"/>
              <w:bottom w:val="single" w:sz="4"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lastRenderedPageBreak/>
              <w:t>-</w:t>
            </w:r>
          </w:p>
        </w:tc>
      </w:tr>
      <w:tr w:rsidR="00CD0C03">
        <w:trPr>
          <w:trHeight w:val="225"/>
        </w:trPr>
        <w:tc>
          <w:tcPr>
            <w:tcW w:w="4060" w:type="dxa"/>
            <w:tcBorders>
              <w:top w:val="nil"/>
              <w:left w:val="single" w:sz="12" w:space="0" w:color="auto"/>
              <w:bottom w:val="single" w:sz="8" w:space="0" w:color="auto"/>
              <w:right w:val="single" w:sz="4" w:space="0" w:color="auto"/>
            </w:tcBorders>
            <w:shd w:val="clear" w:color="auto" w:fill="auto"/>
            <w:noWrap/>
            <w:vAlign w:val="center"/>
            <w:hideMark/>
          </w:tcPr>
          <w:p w:rsidR="00CD0C03" w:rsidRDefault="00FA3FC7">
            <w:pPr>
              <w:spacing w:after="0" w:line="240" w:lineRule="auto"/>
              <w:jc w:val="left"/>
              <w:rPr>
                <w:rFonts w:eastAsia="Times New Roman" w:cs="Arial"/>
                <w:sz w:val="22"/>
              </w:rPr>
            </w:pPr>
            <w:r>
              <w:rPr>
                <w:rFonts w:eastAsia="Times New Roman" w:cs="Arial"/>
                <w:sz w:val="22"/>
              </w:rPr>
              <w:lastRenderedPageBreak/>
              <w:t>Nosnost střechy (kg)</w:t>
            </w:r>
          </w:p>
        </w:tc>
        <w:tc>
          <w:tcPr>
            <w:tcW w:w="4740" w:type="dxa"/>
            <w:tcBorders>
              <w:top w:val="nil"/>
              <w:left w:val="nil"/>
              <w:bottom w:val="single" w:sz="8"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80</w:t>
            </w:r>
          </w:p>
        </w:tc>
      </w:tr>
      <w:tr w:rsidR="00CD0C03">
        <w:trPr>
          <w:trHeight w:val="285"/>
        </w:trPr>
        <w:tc>
          <w:tcPr>
            <w:tcW w:w="4060" w:type="dxa"/>
            <w:tcBorders>
              <w:top w:val="nil"/>
              <w:left w:val="single" w:sz="12" w:space="0" w:color="auto"/>
              <w:bottom w:val="single" w:sz="8" w:space="0" w:color="auto"/>
              <w:right w:val="single" w:sz="4" w:space="0" w:color="auto"/>
            </w:tcBorders>
            <w:shd w:val="clear" w:color="000000" w:fill="C0C0C0"/>
            <w:noWrap/>
            <w:vAlign w:val="bottom"/>
            <w:hideMark/>
          </w:tcPr>
          <w:p w:rsidR="00CD0C03" w:rsidRDefault="00FA3FC7">
            <w:pPr>
              <w:spacing w:after="0" w:line="240" w:lineRule="auto"/>
              <w:jc w:val="left"/>
              <w:rPr>
                <w:rFonts w:eastAsia="Times New Roman" w:cs="Arial"/>
                <w:b/>
                <w:bCs/>
                <w:sz w:val="22"/>
              </w:rPr>
            </w:pPr>
            <w:r>
              <w:rPr>
                <w:rFonts w:eastAsia="Times New Roman" w:cs="Arial"/>
                <w:b/>
                <w:bCs/>
                <w:sz w:val="22"/>
              </w:rPr>
              <w:t>ROZMĚRY</w:t>
            </w:r>
          </w:p>
        </w:tc>
        <w:tc>
          <w:tcPr>
            <w:tcW w:w="4740" w:type="dxa"/>
            <w:tcBorders>
              <w:top w:val="nil"/>
              <w:left w:val="nil"/>
              <w:bottom w:val="single" w:sz="8" w:space="0" w:color="auto"/>
              <w:right w:val="single" w:sz="12" w:space="0" w:color="auto"/>
            </w:tcBorders>
            <w:shd w:val="clear" w:color="000000" w:fill="C0C0C0"/>
            <w:noWrap/>
            <w:vAlign w:val="bottom"/>
            <w:hideMark/>
          </w:tcPr>
          <w:p w:rsidR="00CD0C03" w:rsidRDefault="00FA3FC7">
            <w:pPr>
              <w:spacing w:after="0" w:line="240" w:lineRule="auto"/>
              <w:jc w:val="left"/>
              <w:rPr>
                <w:rFonts w:eastAsia="Times New Roman" w:cs="Arial"/>
                <w:sz w:val="22"/>
              </w:rPr>
            </w:pPr>
            <w:r>
              <w:rPr>
                <w:rFonts w:eastAsia="Times New Roman" w:cs="Arial"/>
                <w:sz w:val="22"/>
              </w:rPr>
              <w:t> </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Celková délka (mm)</w:t>
            </w:r>
          </w:p>
        </w:tc>
        <w:tc>
          <w:tcPr>
            <w:tcW w:w="4740" w:type="dxa"/>
            <w:tcBorders>
              <w:top w:val="nil"/>
              <w:left w:val="nil"/>
              <w:bottom w:val="single" w:sz="4"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4 180</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Celková šířka (mm)</w:t>
            </w:r>
          </w:p>
        </w:tc>
        <w:tc>
          <w:tcPr>
            <w:tcW w:w="4740" w:type="dxa"/>
            <w:tcBorders>
              <w:top w:val="nil"/>
              <w:left w:val="nil"/>
              <w:bottom w:val="single" w:sz="4"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1 800</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Celková výška (mm)</w:t>
            </w:r>
          </w:p>
        </w:tc>
        <w:tc>
          <w:tcPr>
            <w:tcW w:w="4740" w:type="dxa"/>
            <w:tcBorders>
              <w:top w:val="nil"/>
              <w:left w:val="nil"/>
              <w:bottom w:val="single" w:sz="4"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1 555 / (1 570 se střešními ližinami)</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Rozvor (mm)</w:t>
            </w:r>
          </w:p>
        </w:tc>
        <w:tc>
          <w:tcPr>
            <w:tcW w:w="4740" w:type="dxa"/>
            <w:tcBorders>
              <w:top w:val="nil"/>
              <w:left w:val="nil"/>
              <w:bottom w:val="single" w:sz="4"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2 600</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 xml:space="preserve">Rozchod vpředu (mm) </w:t>
            </w:r>
          </w:p>
        </w:tc>
        <w:tc>
          <w:tcPr>
            <w:tcW w:w="4740" w:type="dxa"/>
            <w:tcBorders>
              <w:top w:val="nil"/>
              <w:left w:val="nil"/>
              <w:bottom w:val="single" w:sz="4"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1 564</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 xml:space="preserve">Rozchod vzadu (mm) </w:t>
            </w:r>
          </w:p>
        </w:tc>
        <w:tc>
          <w:tcPr>
            <w:tcW w:w="4740" w:type="dxa"/>
            <w:tcBorders>
              <w:top w:val="nil"/>
              <w:left w:val="nil"/>
              <w:bottom w:val="single" w:sz="4"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1 575</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Poloměr otáčení (m)</w:t>
            </w:r>
          </w:p>
        </w:tc>
        <w:tc>
          <w:tcPr>
            <w:tcW w:w="4740" w:type="dxa"/>
            <w:tcBorders>
              <w:top w:val="nil"/>
              <w:left w:val="nil"/>
              <w:bottom w:val="single" w:sz="4"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5,3</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Minimální světlá výška (mm)</w:t>
            </w:r>
          </w:p>
        </w:tc>
        <w:tc>
          <w:tcPr>
            <w:tcW w:w="4740" w:type="dxa"/>
            <w:tcBorders>
              <w:top w:val="nil"/>
              <w:left w:val="nil"/>
              <w:bottom w:val="single" w:sz="4"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158</w:t>
            </w:r>
          </w:p>
        </w:tc>
      </w:tr>
      <w:tr w:rsidR="00CD0C03">
        <w:trPr>
          <w:trHeight w:val="225"/>
        </w:trPr>
        <w:tc>
          <w:tcPr>
            <w:tcW w:w="4060" w:type="dxa"/>
            <w:tcBorders>
              <w:top w:val="nil"/>
              <w:left w:val="single" w:sz="12" w:space="0" w:color="auto"/>
              <w:bottom w:val="single" w:sz="8"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proofErr w:type="spellStart"/>
            <w:r>
              <w:rPr>
                <w:rFonts w:eastAsia="Times New Roman" w:cs="Arial"/>
                <w:sz w:val="22"/>
              </w:rPr>
              <w:t>Obj</w:t>
            </w:r>
            <w:proofErr w:type="spellEnd"/>
            <w:r>
              <w:rPr>
                <w:rFonts w:eastAsia="Times New Roman" w:cs="Arial"/>
                <w:sz w:val="22"/>
              </w:rPr>
              <w:t>. zavazadlového prostoru (l) základní (dle VDA 210)</w:t>
            </w:r>
          </w:p>
        </w:tc>
        <w:tc>
          <w:tcPr>
            <w:tcW w:w="4740" w:type="dxa"/>
            <w:tcBorders>
              <w:top w:val="nil"/>
              <w:left w:val="nil"/>
              <w:bottom w:val="single" w:sz="8"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320</w:t>
            </w:r>
          </w:p>
        </w:tc>
      </w:tr>
      <w:tr w:rsidR="00CD0C03">
        <w:trPr>
          <w:trHeight w:val="285"/>
        </w:trPr>
        <w:tc>
          <w:tcPr>
            <w:tcW w:w="4060" w:type="dxa"/>
            <w:tcBorders>
              <w:top w:val="nil"/>
              <w:left w:val="single" w:sz="12" w:space="0" w:color="auto"/>
              <w:bottom w:val="single" w:sz="8" w:space="0" w:color="auto"/>
              <w:right w:val="single" w:sz="4" w:space="0" w:color="auto"/>
            </w:tcBorders>
            <w:shd w:val="clear" w:color="000000" w:fill="C0C0C0"/>
            <w:noWrap/>
            <w:vAlign w:val="bottom"/>
            <w:hideMark/>
          </w:tcPr>
          <w:p w:rsidR="00CD0C03" w:rsidRDefault="00FA3FC7">
            <w:pPr>
              <w:spacing w:after="0" w:line="240" w:lineRule="auto"/>
              <w:jc w:val="left"/>
              <w:rPr>
                <w:rFonts w:eastAsia="Times New Roman" w:cs="Arial"/>
                <w:b/>
                <w:bCs/>
                <w:sz w:val="22"/>
              </w:rPr>
            </w:pPr>
            <w:r>
              <w:rPr>
                <w:rFonts w:eastAsia="Times New Roman" w:cs="Arial"/>
                <w:b/>
                <w:bCs/>
                <w:sz w:val="22"/>
              </w:rPr>
              <w:t>PODVOZEK</w:t>
            </w:r>
          </w:p>
        </w:tc>
        <w:tc>
          <w:tcPr>
            <w:tcW w:w="4740" w:type="dxa"/>
            <w:tcBorders>
              <w:top w:val="nil"/>
              <w:left w:val="nil"/>
              <w:bottom w:val="single" w:sz="8" w:space="0" w:color="auto"/>
              <w:right w:val="single" w:sz="12" w:space="0" w:color="auto"/>
            </w:tcBorders>
            <w:shd w:val="clear" w:color="000000" w:fill="C0C0C0"/>
            <w:noWrap/>
            <w:vAlign w:val="bottom"/>
            <w:hideMark/>
          </w:tcPr>
          <w:p w:rsidR="00CD0C03" w:rsidRDefault="00FA3FC7">
            <w:pPr>
              <w:spacing w:after="0" w:line="240" w:lineRule="auto"/>
              <w:jc w:val="left"/>
              <w:rPr>
                <w:rFonts w:eastAsia="Times New Roman" w:cs="Arial"/>
                <w:b/>
                <w:bCs/>
                <w:sz w:val="22"/>
              </w:rPr>
            </w:pPr>
            <w:r>
              <w:rPr>
                <w:rFonts w:eastAsia="Times New Roman" w:cs="Arial"/>
                <w:b/>
                <w:bCs/>
                <w:sz w:val="22"/>
              </w:rPr>
              <w:t> </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Přední náprava</w:t>
            </w:r>
          </w:p>
        </w:tc>
        <w:tc>
          <w:tcPr>
            <w:tcW w:w="4740" w:type="dxa"/>
            <w:tcBorders>
              <w:top w:val="nil"/>
              <w:left w:val="nil"/>
              <w:bottom w:val="single" w:sz="4"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r>
              <w:rPr>
                <w:rFonts w:eastAsia="Times New Roman" w:cs="Arial"/>
                <w:sz w:val="22"/>
              </w:rPr>
              <w:t xml:space="preserve">typu </w:t>
            </w:r>
            <w:proofErr w:type="spellStart"/>
            <w:r>
              <w:rPr>
                <w:rFonts w:eastAsia="Times New Roman" w:cs="Arial"/>
                <w:sz w:val="22"/>
              </w:rPr>
              <w:t>MacPherson</w:t>
            </w:r>
            <w:proofErr w:type="spellEnd"/>
            <w:r>
              <w:rPr>
                <w:rFonts w:eastAsia="Times New Roman" w:cs="Arial"/>
                <w:sz w:val="22"/>
              </w:rPr>
              <w:t xml:space="preserve"> s příčným stabilizátorem</w:t>
            </w:r>
          </w:p>
        </w:tc>
      </w:tr>
      <w:tr w:rsidR="00CD0C03">
        <w:trPr>
          <w:trHeight w:val="225"/>
        </w:trPr>
        <w:tc>
          <w:tcPr>
            <w:tcW w:w="4060" w:type="dxa"/>
            <w:tcBorders>
              <w:top w:val="nil"/>
              <w:left w:val="single" w:sz="12" w:space="0" w:color="auto"/>
              <w:bottom w:val="single" w:sz="4" w:space="0" w:color="auto"/>
              <w:right w:val="single" w:sz="4" w:space="0" w:color="auto"/>
            </w:tcBorders>
            <w:shd w:val="clear" w:color="000000" w:fill="FFFFFF"/>
            <w:noWrap/>
            <w:vAlign w:val="center"/>
            <w:hideMark/>
          </w:tcPr>
          <w:p w:rsidR="00CD0C03" w:rsidRDefault="00FA3FC7">
            <w:pPr>
              <w:spacing w:after="0" w:line="240" w:lineRule="auto"/>
              <w:jc w:val="left"/>
              <w:rPr>
                <w:rFonts w:eastAsia="Times New Roman" w:cs="Arial"/>
                <w:sz w:val="22"/>
              </w:rPr>
            </w:pPr>
            <w:r>
              <w:rPr>
                <w:rFonts w:eastAsia="Times New Roman" w:cs="Arial"/>
                <w:sz w:val="22"/>
              </w:rPr>
              <w:t>Zadní náprava</w:t>
            </w:r>
          </w:p>
        </w:tc>
        <w:tc>
          <w:tcPr>
            <w:tcW w:w="4740" w:type="dxa"/>
            <w:tcBorders>
              <w:top w:val="nil"/>
              <w:left w:val="nil"/>
              <w:bottom w:val="single" w:sz="4" w:space="0" w:color="auto"/>
              <w:right w:val="single" w:sz="12" w:space="0" w:color="auto"/>
            </w:tcBorders>
            <w:shd w:val="clear" w:color="000000" w:fill="FFFFFF"/>
            <w:noWrap/>
            <w:vAlign w:val="center"/>
            <w:hideMark/>
          </w:tcPr>
          <w:p w:rsidR="00CD0C03" w:rsidRDefault="00FA3FC7">
            <w:pPr>
              <w:spacing w:after="0" w:line="240" w:lineRule="auto"/>
              <w:jc w:val="center"/>
              <w:rPr>
                <w:rFonts w:eastAsia="Times New Roman" w:cs="Arial"/>
                <w:sz w:val="22"/>
              </w:rPr>
            </w:pPr>
            <w:proofErr w:type="spellStart"/>
            <w:r>
              <w:rPr>
                <w:rFonts w:eastAsia="Times New Roman" w:cs="Arial"/>
                <w:sz w:val="22"/>
              </w:rPr>
              <w:t>víceprvková</w:t>
            </w:r>
            <w:proofErr w:type="spellEnd"/>
          </w:p>
        </w:tc>
      </w:tr>
      <w:tr w:rsidR="00CD0C03">
        <w:trPr>
          <w:trHeight w:val="225"/>
        </w:trPr>
        <w:tc>
          <w:tcPr>
            <w:tcW w:w="4060" w:type="dxa"/>
            <w:tcBorders>
              <w:top w:val="nil"/>
              <w:left w:val="single" w:sz="12" w:space="0" w:color="auto"/>
              <w:bottom w:val="single" w:sz="8" w:space="0" w:color="auto"/>
              <w:right w:val="single" w:sz="4" w:space="0" w:color="auto"/>
            </w:tcBorders>
            <w:shd w:val="clear" w:color="auto" w:fill="auto"/>
            <w:noWrap/>
            <w:vAlign w:val="center"/>
            <w:hideMark/>
          </w:tcPr>
          <w:p w:rsidR="00CD0C03" w:rsidRDefault="00FA3FC7">
            <w:pPr>
              <w:spacing w:after="0" w:line="240" w:lineRule="auto"/>
              <w:jc w:val="left"/>
              <w:rPr>
                <w:rFonts w:eastAsia="Times New Roman" w:cs="Arial"/>
                <w:sz w:val="22"/>
              </w:rPr>
            </w:pPr>
            <w:r>
              <w:rPr>
                <w:rFonts w:eastAsia="Times New Roman" w:cs="Arial"/>
                <w:sz w:val="22"/>
              </w:rPr>
              <w:t>Přední / zadní brzdy</w:t>
            </w:r>
          </w:p>
        </w:tc>
        <w:tc>
          <w:tcPr>
            <w:tcW w:w="4740" w:type="dxa"/>
            <w:tcBorders>
              <w:top w:val="nil"/>
              <w:left w:val="nil"/>
              <w:bottom w:val="single" w:sz="8" w:space="0" w:color="auto"/>
              <w:right w:val="single" w:sz="12" w:space="0" w:color="auto"/>
            </w:tcBorders>
            <w:shd w:val="clear" w:color="000000" w:fill="FFFFFF"/>
            <w:noWrap/>
            <w:vAlign w:val="center"/>
            <w:hideMark/>
          </w:tcPr>
          <w:p w:rsidR="00CD0C03" w:rsidRDefault="00FA3FC7">
            <w:pPr>
              <w:spacing w:after="0" w:line="240" w:lineRule="auto"/>
              <w:jc w:val="center"/>
              <w:rPr>
                <w:rFonts w:ascii="Arial CE" w:eastAsia="Times New Roman" w:hAnsi="Arial CE" w:cs="Arial CE"/>
                <w:sz w:val="22"/>
              </w:rPr>
            </w:pPr>
            <w:r>
              <w:rPr>
                <w:rFonts w:ascii="Arial CE" w:eastAsia="Times New Roman" w:hAnsi="Arial CE" w:cs="Arial CE"/>
                <w:sz w:val="22"/>
              </w:rPr>
              <w:t>kotoučové s vnitřním chlazením/kotoučové</w:t>
            </w:r>
          </w:p>
        </w:tc>
      </w:tr>
      <w:tr w:rsidR="00CD0C03">
        <w:trPr>
          <w:trHeight w:val="135"/>
        </w:trPr>
        <w:tc>
          <w:tcPr>
            <w:tcW w:w="4060" w:type="dxa"/>
            <w:tcBorders>
              <w:top w:val="nil"/>
              <w:left w:val="single" w:sz="12" w:space="0" w:color="auto"/>
              <w:bottom w:val="nil"/>
              <w:right w:val="nil"/>
            </w:tcBorders>
            <w:shd w:val="clear" w:color="auto" w:fill="auto"/>
            <w:noWrap/>
            <w:vAlign w:val="bottom"/>
            <w:hideMark/>
          </w:tcPr>
          <w:p w:rsidR="00CD0C03" w:rsidRDefault="00FA3FC7">
            <w:pPr>
              <w:spacing w:after="0" w:line="240" w:lineRule="auto"/>
              <w:jc w:val="left"/>
              <w:rPr>
                <w:rFonts w:eastAsia="Times New Roman" w:cs="Arial"/>
                <w:sz w:val="22"/>
              </w:rPr>
            </w:pPr>
            <w:r>
              <w:rPr>
                <w:rFonts w:eastAsia="Times New Roman" w:cs="Arial"/>
                <w:sz w:val="22"/>
              </w:rPr>
              <w:t> </w:t>
            </w:r>
          </w:p>
        </w:tc>
        <w:tc>
          <w:tcPr>
            <w:tcW w:w="4740" w:type="dxa"/>
            <w:tcBorders>
              <w:top w:val="nil"/>
              <w:left w:val="nil"/>
              <w:bottom w:val="nil"/>
              <w:right w:val="single" w:sz="12" w:space="0" w:color="auto"/>
            </w:tcBorders>
            <w:shd w:val="clear" w:color="auto" w:fill="auto"/>
            <w:noWrap/>
            <w:vAlign w:val="bottom"/>
            <w:hideMark/>
          </w:tcPr>
          <w:p w:rsidR="00CD0C03" w:rsidRDefault="00FA3FC7">
            <w:pPr>
              <w:spacing w:after="0" w:line="240" w:lineRule="auto"/>
              <w:jc w:val="left"/>
              <w:rPr>
                <w:rFonts w:eastAsia="Times New Roman" w:cs="Arial"/>
                <w:sz w:val="22"/>
              </w:rPr>
            </w:pPr>
            <w:r>
              <w:rPr>
                <w:rFonts w:eastAsia="Times New Roman" w:cs="Arial"/>
                <w:sz w:val="22"/>
              </w:rPr>
              <w:t> </w:t>
            </w:r>
          </w:p>
        </w:tc>
      </w:tr>
      <w:tr w:rsidR="00CD0C03">
        <w:trPr>
          <w:trHeight w:val="690"/>
        </w:trPr>
        <w:tc>
          <w:tcPr>
            <w:tcW w:w="8800" w:type="dxa"/>
            <w:gridSpan w:val="2"/>
            <w:tcBorders>
              <w:top w:val="nil"/>
              <w:left w:val="single" w:sz="12" w:space="0" w:color="auto"/>
              <w:bottom w:val="nil"/>
              <w:right w:val="single" w:sz="12" w:space="0" w:color="000000"/>
            </w:tcBorders>
            <w:shd w:val="clear" w:color="auto" w:fill="auto"/>
            <w:hideMark/>
          </w:tcPr>
          <w:p w:rsidR="00CD0C03" w:rsidRDefault="00FA3FC7">
            <w:pPr>
              <w:spacing w:after="0" w:line="240" w:lineRule="auto"/>
              <w:jc w:val="left"/>
              <w:rPr>
                <w:rFonts w:eastAsia="Times New Roman" w:cs="Arial"/>
                <w:sz w:val="22"/>
              </w:rPr>
            </w:pPr>
            <w:r>
              <w:rPr>
                <w:rFonts w:eastAsia="Times New Roman" w:cs="Arial"/>
                <w:sz w:val="22"/>
              </w:rPr>
              <w:t>* Spotřeba energie konkrétního vozidla závisí nejen na hospodárném využití energie, ale jsou ovlivněny také způsobem jízdy a dalšími netechnickými faktory. Hodnoty spotřeby jsou získávány předepsaným způsobem měření (nařízení EC 715/2007 v aktuálním znění 2017/1347). Údaje se nevztahují na konkrétní vozidlo, nejsou součástí nabídky, ale slouží pouze pro účely srovnání jednotlivých typů vozidel.</w:t>
            </w:r>
          </w:p>
        </w:tc>
      </w:tr>
      <w:tr w:rsidR="00CD0C03">
        <w:trPr>
          <w:trHeight w:val="330"/>
        </w:trPr>
        <w:tc>
          <w:tcPr>
            <w:tcW w:w="4060" w:type="dxa"/>
            <w:tcBorders>
              <w:top w:val="nil"/>
              <w:left w:val="single" w:sz="12" w:space="0" w:color="auto"/>
              <w:bottom w:val="nil"/>
              <w:right w:val="nil"/>
            </w:tcBorders>
            <w:shd w:val="clear" w:color="auto" w:fill="auto"/>
            <w:noWrap/>
            <w:vAlign w:val="bottom"/>
            <w:hideMark/>
          </w:tcPr>
          <w:p w:rsidR="00CD0C03" w:rsidRDefault="00FA3FC7">
            <w:pPr>
              <w:spacing w:after="0" w:line="240" w:lineRule="auto"/>
              <w:jc w:val="left"/>
              <w:rPr>
                <w:rFonts w:eastAsia="Times New Roman" w:cs="Arial"/>
                <w:b/>
                <w:bCs/>
                <w:sz w:val="24"/>
                <w:szCs w:val="24"/>
              </w:rPr>
            </w:pPr>
            <w:r>
              <w:rPr>
                <w:rFonts w:eastAsia="Times New Roman" w:cs="Arial"/>
                <w:b/>
                <w:bCs/>
                <w:sz w:val="24"/>
                <w:szCs w:val="24"/>
              </w:rPr>
              <w:t>Záruka 5 let bez omezení km</w:t>
            </w:r>
          </w:p>
        </w:tc>
        <w:tc>
          <w:tcPr>
            <w:tcW w:w="4740" w:type="dxa"/>
            <w:tcBorders>
              <w:top w:val="nil"/>
              <w:left w:val="nil"/>
              <w:bottom w:val="nil"/>
              <w:right w:val="single" w:sz="12" w:space="0" w:color="auto"/>
            </w:tcBorders>
            <w:shd w:val="clear" w:color="auto" w:fill="auto"/>
            <w:noWrap/>
            <w:vAlign w:val="bottom"/>
            <w:hideMark/>
          </w:tcPr>
          <w:p w:rsidR="00CD0C03" w:rsidRDefault="00FA3FC7">
            <w:pPr>
              <w:spacing w:after="0" w:line="240" w:lineRule="auto"/>
              <w:jc w:val="left"/>
              <w:rPr>
                <w:rFonts w:eastAsia="Times New Roman" w:cs="Arial"/>
                <w:sz w:val="12"/>
                <w:szCs w:val="12"/>
              </w:rPr>
            </w:pPr>
            <w:r>
              <w:rPr>
                <w:rFonts w:eastAsia="Times New Roman" w:cs="Arial"/>
                <w:sz w:val="12"/>
                <w:szCs w:val="12"/>
              </w:rPr>
              <w:t> </w:t>
            </w:r>
          </w:p>
        </w:tc>
      </w:tr>
      <w:tr w:rsidR="00CD0C03">
        <w:trPr>
          <w:trHeight w:val="315"/>
        </w:trPr>
        <w:tc>
          <w:tcPr>
            <w:tcW w:w="8800" w:type="dxa"/>
            <w:gridSpan w:val="2"/>
            <w:tcBorders>
              <w:top w:val="nil"/>
              <w:left w:val="single" w:sz="12" w:space="0" w:color="auto"/>
              <w:bottom w:val="nil"/>
              <w:right w:val="single" w:sz="12" w:space="0" w:color="000000"/>
            </w:tcBorders>
            <w:shd w:val="clear" w:color="auto" w:fill="auto"/>
            <w:noWrap/>
            <w:vAlign w:val="bottom"/>
            <w:hideMark/>
          </w:tcPr>
          <w:p w:rsidR="00CD0C03" w:rsidRDefault="00FA3FC7">
            <w:pPr>
              <w:spacing w:after="0" w:line="240" w:lineRule="auto"/>
              <w:jc w:val="left"/>
              <w:rPr>
                <w:rFonts w:ascii="Arial CE" w:eastAsia="Times New Roman" w:hAnsi="Arial CE" w:cs="Arial CE"/>
                <w:b/>
                <w:bCs/>
                <w:sz w:val="24"/>
                <w:szCs w:val="24"/>
              </w:rPr>
            </w:pPr>
            <w:r>
              <w:rPr>
                <w:rFonts w:ascii="Arial CE" w:eastAsia="Times New Roman" w:hAnsi="Arial CE" w:cs="Arial CE"/>
                <w:b/>
                <w:bCs/>
                <w:sz w:val="24"/>
                <w:szCs w:val="24"/>
              </w:rPr>
              <w:t>Záruka 8 let / 200 000 km na akumulátory elektropohonu</w:t>
            </w:r>
          </w:p>
        </w:tc>
      </w:tr>
      <w:tr w:rsidR="00CD0C03">
        <w:trPr>
          <w:trHeight w:val="315"/>
        </w:trPr>
        <w:tc>
          <w:tcPr>
            <w:tcW w:w="8800" w:type="dxa"/>
            <w:gridSpan w:val="2"/>
            <w:tcBorders>
              <w:top w:val="nil"/>
              <w:left w:val="single" w:sz="12" w:space="0" w:color="auto"/>
              <w:bottom w:val="single" w:sz="12" w:space="0" w:color="auto"/>
              <w:right w:val="single" w:sz="12" w:space="0" w:color="000000"/>
            </w:tcBorders>
            <w:shd w:val="clear" w:color="auto" w:fill="auto"/>
            <w:noWrap/>
            <w:vAlign w:val="bottom"/>
            <w:hideMark/>
          </w:tcPr>
          <w:p w:rsidR="00CD0C03" w:rsidRDefault="00FA3FC7">
            <w:pPr>
              <w:spacing w:after="0" w:line="240" w:lineRule="auto"/>
              <w:jc w:val="left"/>
              <w:rPr>
                <w:rFonts w:ascii="Arial CE" w:eastAsia="Times New Roman" w:hAnsi="Arial CE" w:cs="Arial CE"/>
                <w:b/>
                <w:bCs/>
                <w:sz w:val="24"/>
                <w:szCs w:val="24"/>
              </w:rPr>
            </w:pPr>
            <w:r>
              <w:rPr>
                <w:rFonts w:ascii="Arial CE" w:eastAsia="Times New Roman" w:hAnsi="Arial CE" w:cs="Arial CE"/>
                <w:b/>
                <w:bCs/>
                <w:sz w:val="24"/>
                <w:szCs w:val="24"/>
              </w:rPr>
              <w:t xml:space="preserve">Záruka 12 let na </w:t>
            </w:r>
            <w:proofErr w:type="spellStart"/>
            <w:r>
              <w:rPr>
                <w:rFonts w:ascii="Arial CE" w:eastAsia="Times New Roman" w:hAnsi="Arial CE" w:cs="Arial CE"/>
                <w:b/>
                <w:bCs/>
                <w:sz w:val="24"/>
                <w:szCs w:val="24"/>
              </w:rPr>
              <w:t>prorezivění</w:t>
            </w:r>
            <w:proofErr w:type="spellEnd"/>
            <w:r>
              <w:rPr>
                <w:rFonts w:ascii="Arial CE" w:eastAsia="Times New Roman" w:hAnsi="Arial CE" w:cs="Arial CE"/>
                <w:b/>
                <w:bCs/>
                <w:sz w:val="24"/>
                <w:szCs w:val="24"/>
              </w:rPr>
              <w:t xml:space="preserve"> karoserie </w:t>
            </w:r>
          </w:p>
        </w:tc>
      </w:tr>
    </w:tbl>
    <w:p w:rsidR="00CD0C03" w:rsidRDefault="00CD0C03">
      <w:pPr>
        <w:pStyle w:val="Zhlav"/>
        <w:jc w:val="center"/>
      </w:pPr>
    </w:p>
    <w:p w:rsidR="00CD0C03" w:rsidRDefault="00FA3FC7">
      <w:pPr>
        <w:pStyle w:val="Zhlav"/>
        <w:jc w:val="center"/>
      </w:pPr>
      <w:r>
        <w:t>Příloha č. 3</w:t>
      </w:r>
    </w:p>
    <w:p w:rsidR="00CD0C03" w:rsidRDefault="00FA3FC7">
      <w:pPr>
        <w:pStyle w:val="Zhlav"/>
        <w:jc w:val="center"/>
        <w:rPr>
          <w:u w:val="single"/>
        </w:rPr>
      </w:pPr>
      <w:r>
        <w:rPr>
          <w:u w:val="single"/>
        </w:rPr>
        <w:t xml:space="preserve">Seznam servisních míst dodavatele, společnosti Hyundai, autorizovaných pro servis elektrických vozidel Hyundai </w:t>
      </w:r>
    </w:p>
    <w:p w:rsidR="00CD0C03" w:rsidRDefault="00FA3FC7">
      <w:pPr>
        <w:rPr>
          <w:b/>
          <w:sz w:val="24"/>
          <w:szCs w:val="24"/>
        </w:rPr>
      </w:pPr>
      <w:r>
        <w:rPr>
          <w:b/>
          <w:sz w:val="24"/>
          <w:szCs w:val="24"/>
          <w:u w:val="single"/>
        </w:rPr>
        <w:t>Seznam servisních míst dodavatele, společnosti Hyundai, autorizovaných pro servis elektrických vozidel Hyundai</w:t>
      </w:r>
    </w:p>
    <w:p w:rsidR="00CD0C03" w:rsidRDefault="00FA3FC7">
      <w:pPr>
        <w:rPr>
          <w:b/>
        </w:rPr>
      </w:pPr>
      <w:r>
        <w:rPr>
          <w:b/>
        </w:rPr>
        <w:t>Kraj:  Hl. m. Praha</w:t>
      </w:r>
    </w:p>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Hyundai Centrum Praha s.r.o.</w:t>
      </w:r>
    </w:p>
    <w:p w:rsidR="00CD0C03" w:rsidRDefault="007B3617">
      <w:pPr>
        <w:numPr>
          <w:ilvl w:val="0"/>
          <w:numId w:val="15"/>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 xml:space="preserve">Auto </w:t>
      </w:r>
      <w:proofErr w:type="spellStart"/>
      <w:r>
        <w:rPr>
          <w:rFonts w:eastAsia="Times New Roman" w:cs="Times New Roman"/>
          <w:color w:val="444444"/>
        </w:rPr>
        <w:t>Palace</w:t>
      </w:r>
      <w:proofErr w:type="spellEnd"/>
      <w:r>
        <w:rPr>
          <w:rFonts w:eastAsia="Times New Roman" w:cs="Times New Roman"/>
          <w:color w:val="444444"/>
        </w:rPr>
        <w:t xml:space="preserve"> Butovice s.r.o.</w:t>
      </w:r>
    </w:p>
    <w:p w:rsidR="00CD0C03" w:rsidRDefault="007B3617">
      <w:pPr>
        <w:numPr>
          <w:ilvl w:val="0"/>
          <w:numId w:val="18"/>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Hyundai Centrum Valoušek s.r.o.</w:t>
      </w:r>
    </w:p>
    <w:p w:rsidR="00CD0C03" w:rsidRDefault="007B3617">
      <w:pPr>
        <w:numPr>
          <w:ilvl w:val="0"/>
          <w:numId w:val="21"/>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Hyundai Praha Domanský s.r.o.</w:t>
      </w:r>
    </w:p>
    <w:p w:rsidR="00CD0C03" w:rsidRDefault="007B3617">
      <w:pPr>
        <w:numPr>
          <w:ilvl w:val="0"/>
          <w:numId w:val="24"/>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 w:rsidR="00CD0C03" w:rsidRDefault="00FA3FC7">
      <w:pPr>
        <w:rPr>
          <w:b/>
        </w:rPr>
      </w:pPr>
      <w:r>
        <w:rPr>
          <w:b/>
        </w:rPr>
        <w:t>Jihočeský kraj</w:t>
      </w:r>
    </w:p>
    <w:p w:rsidR="00CD0C03" w:rsidRDefault="00FA3FC7">
      <w:pPr>
        <w:pStyle w:val="Nadpis2"/>
        <w:shd w:val="clear" w:color="auto" w:fill="FFFFFF"/>
        <w:spacing w:after="150"/>
        <w:rPr>
          <w:rFonts w:asciiTheme="minorHAnsi" w:hAnsiTheme="minorHAnsi"/>
          <w:b/>
          <w:bCs w:val="0"/>
          <w:color w:val="444444"/>
          <w:sz w:val="22"/>
          <w:szCs w:val="22"/>
        </w:rPr>
      </w:pPr>
      <w:r>
        <w:lastRenderedPageBreak/>
        <w:tab/>
      </w:r>
      <w:r>
        <w:rPr>
          <w:rFonts w:asciiTheme="minorHAnsi" w:hAnsiTheme="minorHAnsi"/>
          <w:bCs w:val="0"/>
          <w:color w:val="444444"/>
          <w:sz w:val="22"/>
          <w:szCs w:val="22"/>
        </w:rPr>
        <w:t>Hyundai Centrum CB s.r.o.</w:t>
      </w:r>
    </w:p>
    <w:p w:rsidR="00CD0C03" w:rsidRDefault="007B3617">
      <w:pPr>
        <w:numPr>
          <w:ilvl w:val="0"/>
          <w:numId w:val="26"/>
        </w:numPr>
        <w:shd w:val="clear" w:color="auto" w:fill="FFFFFF"/>
        <w:spacing w:after="0" w:line="240" w:lineRule="auto"/>
        <w:ind w:left="1416"/>
        <w:jc w:val="left"/>
        <w:rPr>
          <w:rFonts w:eastAsia="Times New Roman" w:cs="Times New Roman"/>
          <w:color w:val="444444"/>
        </w:rPr>
      </w:pPr>
      <w:r>
        <w:rPr>
          <w:rFonts w:eastAsia="Times New Roman" w:cs="Times New Roman"/>
          <w:b/>
          <w:bCs/>
          <w:color w:val="444444"/>
          <w:sz w:val="18"/>
          <w:szCs w:val="18"/>
        </w:rPr>
        <w:t>XXXXX</w:t>
      </w:r>
    </w:p>
    <w:p w:rsidR="00CD0C03" w:rsidRDefault="00CD0C03">
      <w:pPr>
        <w:rPr>
          <w:b/>
        </w:rPr>
      </w:pPr>
    </w:p>
    <w:p w:rsidR="00CD0C03" w:rsidRDefault="00FA3FC7">
      <w:pPr>
        <w:rPr>
          <w:b/>
        </w:rPr>
      </w:pPr>
      <w:r>
        <w:rPr>
          <w:b/>
        </w:rPr>
        <w:t>Jihomoravský kraj</w:t>
      </w:r>
    </w:p>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Auto BALVIN spol. s r.o.</w:t>
      </w:r>
    </w:p>
    <w:p w:rsidR="00CD0C03" w:rsidRDefault="007B3617">
      <w:pPr>
        <w:numPr>
          <w:ilvl w:val="0"/>
          <w:numId w:val="29"/>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 w:rsidR="00CD0C03" w:rsidRDefault="00CD0C03"/>
    <w:p w:rsidR="00CD0C03" w:rsidRDefault="00CD0C03"/>
    <w:p w:rsidR="00CD0C03" w:rsidRDefault="00CD0C03"/>
    <w:p w:rsidR="00CD0C03" w:rsidRDefault="00FA3FC7">
      <w:pPr>
        <w:rPr>
          <w:b/>
        </w:rPr>
      </w:pPr>
      <w:r>
        <w:rPr>
          <w:b/>
        </w:rPr>
        <w:t>Karlovarský kraj</w:t>
      </w:r>
    </w:p>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ALGON PLUS - AUTO a.s.</w:t>
      </w:r>
    </w:p>
    <w:p w:rsidR="00CD0C03" w:rsidRDefault="007B3617">
      <w:pPr>
        <w:numPr>
          <w:ilvl w:val="0"/>
          <w:numId w:val="32"/>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 w:rsidR="00CD0C03" w:rsidRDefault="00FA3FC7">
      <w:pPr>
        <w:rPr>
          <w:b/>
        </w:rPr>
      </w:pPr>
      <w:r>
        <w:rPr>
          <w:b/>
        </w:rPr>
        <w:t>Kraj Vysočina</w:t>
      </w:r>
    </w:p>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AUTOCENTR HUDEC s.r.o.</w:t>
      </w:r>
    </w:p>
    <w:p w:rsidR="00CD0C03" w:rsidRDefault="007B3617">
      <w:pPr>
        <w:numPr>
          <w:ilvl w:val="0"/>
          <w:numId w:val="35"/>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 w:rsidR="00CD0C03" w:rsidRDefault="00FA3FC7">
      <w:pPr>
        <w:rPr>
          <w:b/>
        </w:rPr>
      </w:pPr>
      <w:r>
        <w:rPr>
          <w:b/>
        </w:rPr>
        <w:t>Královéhradecký kraj</w:t>
      </w:r>
    </w:p>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Hyundai Hradec s.r.o.</w:t>
      </w:r>
    </w:p>
    <w:p w:rsidR="00CD0C03" w:rsidRDefault="007B3617" w:rsidP="007B3617">
      <w:pPr>
        <w:numPr>
          <w:ilvl w:val="0"/>
          <w:numId w:val="41"/>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 w:rsidR="00CD0C03" w:rsidRDefault="00FA3FC7">
      <w:pPr>
        <w:rPr>
          <w:b/>
        </w:rPr>
      </w:pPr>
      <w:r>
        <w:rPr>
          <w:b/>
        </w:rPr>
        <w:t>Liberecký kraj</w:t>
      </w:r>
    </w:p>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KB CAR, s.r.o.</w:t>
      </w:r>
    </w:p>
    <w:p w:rsidR="00CD0C03" w:rsidRDefault="007B3617">
      <w:pPr>
        <w:numPr>
          <w:ilvl w:val="0"/>
          <w:numId w:val="41"/>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 w:rsidR="00CD0C03" w:rsidRDefault="00CD0C03">
      <w:pPr>
        <w:rPr>
          <w:b/>
        </w:rPr>
        <w:sectPr w:rsidR="00CD0C03">
          <w:pgSz w:w="11906" w:h="16838"/>
          <w:pgMar w:top="1417" w:right="1417" w:bottom="1417" w:left="1417" w:header="708" w:footer="708" w:gutter="0"/>
          <w:cols w:space="708"/>
          <w:docGrid w:linePitch="360"/>
        </w:sectPr>
      </w:pPr>
    </w:p>
    <w:p w:rsidR="00CD0C03" w:rsidRDefault="00FA3FC7">
      <w:pPr>
        <w:rPr>
          <w:b/>
        </w:rPr>
      </w:pPr>
      <w:r>
        <w:rPr>
          <w:b/>
        </w:rPr>
        <w:lastRenderedPageBreak/>
        <w:t>Moravskoslezský kraj</w:t>
      </w:r>
    </w:p>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AUTOLAROS SPEED s.r.o.</w:t>
      </w:r>
    </w:p>
    <w:p w:rsidR="00CD0C03" w:rsidRDefault="007B3617">
      <w:pPr>
        <w:numPr>
          <w:ilvl w:val="0"/>
          <w:numId w:val="44"/>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Pr>
        <w:ind w:left="348"/>
        <w:rPr>
          <w:sz w:val="18"/>
          <w:szCs w:val="18"/>
        </w:rPr>
      </w:pPr>
    </w:p>
    <w:p w:rsidR="00CD0C03" w:rsidRDefault="00FA3FC7">
      <w:pPr>
        <w:shd w:val="clear" w:color="auto" w:fill="FFFFFF"/>
        <w:spacing w:after="150" w:line="240" w:lineRule="auto"/>
        <w:ind w:left="696"/>
        <w:outlineLvl w:val="1"/>
        <w:rPr>
          <w:rFonts w:eastAsia="Times New Roman" w:cs="Times New Roman"/>
          <w:color w:val="444444"/>
        </w:rPr>
      </w:pPr>
      <w:r>
        <w:rPr>
          <w:rFonts w:eastAsia="Times New Roman" w:cs="Times New Roman"/>
          <w:color w:val="444444"/>
        </w:rPr>
        <w:t>RELY servis s.r.o.</w:t>
      </w:r>
    </w:p>
    <w:p w:rsidR="00CD0C03" w:rsidRDefault="007B3617">
      <w:pPr>
        <w:numPr>
          <w:ilvl w:val="0"/>
          <w:numId w:val="47"/>
        </w:numPr>
        <w:shd w:val="clear" w:color="auto" w:fill="FFFFFF"/>
        <w:spacing w:after="0" w:line="240" w:lineRule="auto"/>
        <w:ind w:left="1404"/>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 w:rsidR="00CD0C03" w:rsidRDefault="00FA3FC7">
      <w:pPr>
        <w:rPr>
          <w:b/>
        </w:rPr>
      </w:pPr>
      <w:r>
        <w:rPr>
          <w:b/>
        </w:rPr>
        <w:t>Olomoucký kraj</w:t>
      </w:r>
    </w:p>
    <w:p w:rsidR="00CD0C03" w:rsidRDefault="00FA3FC7">
      <w:pPr>
        <w:shd w:val="clear" w:color="auto" w:fill="FFFFFF"/>
        <w:spacing w:after="150" w:line="240" w:lineRule="auto"/>
        <w:ind w:left="708"/>
        <w:outlineLvl w:val="1"/>
        <w:rPr>
          <w:rFonts w:eastAsia="Times New Roman" w:cs="Times New Roman"/>
          <w:color w:val="444444"/>
        </w:rPr>
      </w:pPr>
      <w:proofErr w:type="spellStart"/>
      <w:r>
        <w:rPr>
          <w:rFonts w:eastAsia="Times New Roman" w:cs="Times New Roman"/>
          <w:color w:val="444444"/>
        </w:rPr>
        <w:t>Horimex</w:t>
      </w:r>
      <w:proofErr w:type="spellEnd"/>
      <w:r>
        <w:rPr>
          <w:rFonts w:eastAsia="Times New Roman" w:cs="Times New Roman"/>
          <w:color w:val="444444"/>
        </w:rPr>
        <w:t xml:space="preserve"> </w:t>
      </w:r>
      <w:proofErr w:type="spellStart"/>
      <w:r>
        <w:rPr>
          <w:rFonts w:eastAsia="Times New Roman" w:cs="Times New Roman"/>
          <w:color w:val="444444"/>
        </w:rPr>
        <w:t>cars</w:t>
      </w:r>
      <w:proofErr w:type="spellEnd"/>
      <w:r>
        <w:rPr>
          <w:rFonts w:eastAsia="Times New Roman" w:cs="Times New Roman"/>
          <w:color w:val="444444"/>
        </w:rPr>
        <w:t xml:space="preserve"> s.r.o.</w:t>
      </w:r>
    </w:p>
    <w:p w:rsidR="00CD0C03" w:rsidRDefault="007B3617">
      <w:pPr>
        <w:numPr>
          <w:ilvl w:val="0"/>
          <w:numId w:val="50"/>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Pr>
        <w:rPr>
          <w:b/>
        </w:rPr>
      </w:pPr>
    </w:p>
    <w:p w:rsidR="00CD0C03" w:rsidRDefault="00FA3FC7">
      <w:pPr>
        <w:rPr>
          <w:b/>
        </w:rPr>
      </w:pPr>
      <w:r>
        <w:rPr>
          <w:b/>
        </w:rPr>
        <w:t>Pardubický kraj</w:t>
      </w:r>
    </w:p>
    <w:p w:rsidR="00CD0C03" w:rsidRDefault="00FA3FC7">
      <w:pPr>
        <w:ind w:firstLine="708"/>
      </w:pPr>
      <w:proofErr w:type="spellStart"/>
      <w:r>
        <w:t>Horimex</w:t>
      </w:r>
      <w:proofErr w:type="spellEnd"/>
      <w:r>
        <w:t xml:space="preserve"> </w:t>
      </w:r>
      <w:proofErr w:type="spellStart"/>
      <w:r>
        <w:t>cars</w:t>
      </w:r>
      <w:proofErr w:type="spellEnd"/>
      <w:r>
        <w:t xml:space="preserve"> s.r.o.</w:t>
      </w:r>
    </w:p>
    <w:p w:rsidR="00CD0C03" w:rsidRDefault="007B3617" w:rsidP="007B3617">
      <w:pPr>
        <w:numPr>
          <w:ilvl w:val="0"/>
          <w:numId w:val="50"/>
        </w:numPr>
        <w:shd w:val="clear" w:color="auto" w:fill="FFFFFF"/>
        <w:spacing w:after="0" w:line="240" w:lineRule="auto"/>
        <w:ind w:left="1416"/>
        <w:jc w:val="left"/>
        <w:rPr>
          <w:sz w:val="18"/>
          <w:szCs w:val="18"/>
        </w:rPr>
      </w:pPr>
      <w:r w:rsidRPr="007B3617">
        <w:rPr>
          <w:rFonts w:eastAsia="Times New Roman" w:cs="Times New Roman"/>
          <w:b/>
          <w:bCs/>
          <w:color w:val="444444"/>
          <w:sz w:val="18"/>
          <w:szCs w:val="18"/>
        </w:rPr>
        <w:t>XXXXX</w:t>
      </w:r>
    </w:p>
    <w:p w:rsidR="00CD0C03" w:rsidRDefault="00FA3FC7">
      <w:pPr>
        <w:rPr>
          <w:b/>
        </w:rPr>
      </w:pPr>
      <w:r>
        <w:rPr>
          <w:b/>
        </w:rPr>
        <w:t>Plzeňský kraj</w:t>
      </w:r>
    </w:p>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 xml:space="preserve">ASPEKTA </w:t>
      </w:r>
      <w:proofErr w:type="spellStart"/>
      <w:r>
        <w:rPr>
          <w:rFonts w:eastAsia="Times New Roman" w:cs="Times New Roman"/>
          <w:color w:val="444444"/>
        </w:rPr>
        <w:t>Trading</w:t>
      </w:r>
      <w:proofErr w:type="spellEnd"/>
      <w:r>
        <w:rPr>
          <w:rFonts w:eastAsia="Times New Roman" w:cs="Times New Roman"/>
          <w:color w:val="444444"/>
        </w:rPr>
        <w:t xml:space="preserve"> s.r.o.</w:t>
      </w:r>
    </w:p>
    <w:p w:rsidR="00CD0C03" w:rsidRDefault="007B3617">
      <w:pPr>
        <w:numPr>
          <w:ilvl w:val="0"/>
          <w:numId w:val="53"/>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Pr>
        <w:rPr>
          <w:b/>
        </w:rPr>
      </w:pPr>
    </w:p>
    <w:p w:rsidR="00CD0C03" w:rsidRDefault="00CD0C03">
      <w:pPr>
        <w:rPr>
          <w:b/>
        </w:rPr>
      </w:pPr>
    </w:p>
    <w:p w:rsidR="00CD0C03" w:rsidRDefault="00FA3FC7">
      <w:pPr>
        <w:rPr>
          <w:b/>
        </w:rPr>
      </w:pPr>
      <w:r>
        <w:rPr>
          <w:b/>
        </w:rPr>
        <w:t>Středočeský kraj</w:t>
      </w:r>
    </w:p>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Auto Kout Centrum s.r.o.</w:t>
      </w:r>
    </w:p>
    <w:p w:rsidR="00CD0C03" w:rsidRDefault="007B3617">
      <w:pPr>
        <w:numPr>
          <w:ilvl w:val="0"/>
          <w:numId w:val="56"/>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Pr>
        <w:rPr>
          <w:sz w:val="18"/>
          <w:szCs w:val="18"/>
        </w:rPr>
      </w:pPr>
    </w:p>
    <w:p w:rsidR="00CD0C03" w:rsidRDefault="00CD0C03">
      <w:pPr>
        <w:shd w:val="clear" w:color="auto" w:fill="FFFFFF"/>
        <w:spacing w:after="150" w:line="240" w:lineRule="auto"/>
        <w:ind w:left="348" w:firstLine="360"/>
        <w:outlineLvl w:val="1"/>
        <w:rPr>
          <w:rFonts w:eastAsia="Times New Roman" w:cs="Times New Roman"/>
          <w:color w:val="444444"/>
        </w:rPr>
        <w:sectPr w:rsidR="00CD0C03">
          <w:pgSz w:w="11906" w:h="16838"/>
          <w:pgMar w:top="1417" w:right="1417" w:bottom="1417" w:left="1417" w:header="708" w:footer="708" w:gutter="0"/>
          <w:cols w:space="708"/>
          <w:docGrid w:linePitch="360"/>
        </w:sectPr>
      </w:pPr>
    </w:p>
    <w:p w:rsidR="00CD0C03" w:rsidRDefault="00FA3FC7">
      <w:pPr>
        <w:shd w:val="clear" w:color="auto" w:fill="FFFFFF"/>
        <w:spacing w:after="150" w:line="240" w:lineRule="auto"/>
        <w:ind w:left="348" w:firstLine="360"/>
        <w:outlineLvl w:val="1"/>
        <w:rPr>
          <w:rFonts w:eastAsia="Times New Roman" w:cs="Times New Roman"/>
          <w:color w:val="444444"/>
        </w:rPr>
      </w:pPr>
      <w:proofErr w:type="spellStart"/>
      <w:r>
        <w:rPr>
          <w:rFonts w:eastAsia="Times New Roman" w:cs="Times New Roman"/>
          <w:color w:val="444444"/>
        </w:rPr>
        <w:lastRenderedPageBreak/>
        <w:t>Lenner</w:t>
      </w:r>
      <w:proofErr w:type="spellEnd"/>
      <w:r>
        <w:rPr>
          <w:rFonts w:eastAsia="Times New Roman" w:cs="Times New Roman"/>
          <w:color w:val="444444"/>
        </w:rPr>
        <w:t xml:space="preserve"> Motors s.r.o.</w:t>
      </w:r>
    </w:p>
    <w:p w:rsidR="00CD0C03" w:rsidRDefault="007B3617">
      <w:pPr>
        <w:numPr>
          <w:ilvl w:val="0"/>
          <w:numId w:val="59"/>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rsidP="007B3617">
      <w:pPr>
        <w:shd w:val="clear" w:color="auto" w:fill="FFFFFF"/>
        <w:spacing w:after="0" w:line="240" w:lineRule="auto"/>
        <w:ind w:left="1416"/>
        <w:jc w:val="left"/>
        <w:rPr>
          <w:rFonts w:eastAsia="Times New Roman" w:cs="Times New Roman"/>
          <w:color w:val="444444"/>
          <w:sz w:val="18"/>
          <w:szCs w:val="18"/>
        </w:rPr>
      </w:pPr>
    </w:p>
    <w:p w:rsidR="00CD0C03" w:rsidRDefault="00CD0C03"/>
    <w:p w:rsidR="00CD0C03" w:rsidRDefault="00FA3FC7">
      <w:pPr>
        <w:rPr>
          <w:b/>
        </w:rPr>
      </w:pPr>
      <w:r>
        <w:rPr>
          <w:b/>
        </w:rPr>
        <w:t>Ústecký kraj</w:t>
      </w:r>
    </w:p>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Louda Auto a.s. - Teplice</w:t>
      </w:r>
    </w:p>
    <w:p w:rsidR="00CD0C03" w:rsidRDefault="007B3617">
      <w:pPr>
        <w:numPr>
          <w:ilvl w:val="0"/>
          <w:numId w:val="62"/>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 w:rsidR="00CD0C03" w:rsidRDefault="00CD0C03">
      <w:pPr>
        <w:rPr>
          <w:b/>
        </w:rPr>
      </w:pPr>
    </w:p>
    <w:p w:rsidR="00CD0C03" w:rsidRDefault="00CD0C03">
      <w:pPr>
        <w:rPr>
          <w:b/>
        </w:rPr>
      </w:pPr>
    </w:p>
    <w:p w:rsidR="00CD0C03" w:rsidRDefault="00CD0C03">
      <w:pPr>
        <w:rPr>
          <w:b/>
        </w:rPr>
        <w:sectPr w:rsidR="00CD0C03">
          <w:pgSz w:w="11906" w:h="16838"/>
          <w:pgMar w:top="1417" w:right="1417" w:bottom="1417" w:left="1417" w:header="708" w:footer="708" w:gutter="0"/>
          <w:cols w:space="708"/>
          <w:docGrid w:linePitch="360"/>
        </w:sectPr>
      </w:pPr>
    </w:p>
    <w:p w:rsidR="00CD0C03" w:rsidRDefault="00FA3FC7">
      <w:pPr>
        <w:rPr>
          <w:b/>
        </w:rPr>
      </w:pPr>
      <w:r>
        <w:rPr>
          <w:b/>
        </w:rPr>
        <w:lastRenderedPageBreak/>
        <w:t>Zlínský kraj</w:t>
      </w:r>
    </w:p>
    <w:p w:rsidR="00CD0C03" w:rsidRDefault="00FA3FC7">
      <w:pPr>
        <w:shd w:val="clear" w:color="auto" w:fill="FFFFFF"/>
        <w:spacing w:after="150" w:line="240" w:lineRule="auto"/>
        <w:ind w:left="708"/>
        <w:outlineLvl w:val="1"/>
        <w:rPr>
          <w:rFonts w:eastAsia="Times New Roman" w:cs="Times New Roman"/>
          <w:color w:val="444444"/>
        </w:rPr>
      </w:pPr>
      <w:r>
        <w:rPr>
          <w:rFonts w:eastAsia="Times New Roman" w:cs="Times New Roman"/>
          <w:color w:val="444444"/>
        </w:rPr>
        <w:t>Auto HYUNDAI Uherské Hradiště s.r.o.</w:t>
      </w:r>
    </w:p>
    <w:p w:rsidR="00CD0C03" w:rsidRDefault="007B3617">
      <w:pPr>
        <w:numPr>
          <w:ilvl w:val="0"/>
          <w:numId w:val="65"/>
        </w:numPr>
        <w:shd w:val="clear" w:color="auto" w:fill="FFFFFF"/>
        <w:spacing w:after="0" w:line="240" w:lineRule="auto"/>
        <w:ind w:left="1416"/>
        <w:jc w:val="left"/>
        <w:rPr>
          <w:rFonts w:eastAsia="Times New Roman" w:cs="Times New Roman"/>
          <w:color w:val="444444"/>
          <w:sz w:val="18"/>
          <w:szCs w:val="18"/>
        </w:rPr>
      </w:pPr>
      <w:r>
        <w:rPr>
          <w:rFonts w:eastAsia="Times New Roman" w:cs="Times New Roman"/>
          <w:b/>
          <w:bCs/>
          <w:color w:val="444444"/>
          <w:sz w:val="18"/>
          <w:szCs w:val="18"/>
        </w:rPr>
        <w:t>XXXXX</w:t>
      </w:r>
    </w:p>
    <w:p w:rsidR="00CD0C03" w:rsidRDefault="00CD0C03">
      <w:pPr>
        <w:rPr>
          <w:sz w:val="18"/>
          <w:szCs w:val="18"/>
        </w:rPr>
      </w:pPr>
    </w:p>
    <w:p w:rsidR="00CD0C03" w:rsidRDefault="00CD0C03">
      <w:pPr>
        <w:pStyle w:val="Zhlav"/>
        <w:jc w:val="center"/>
        <w:rPr>
          <w:u w:val="single"/>
        </w:rPr>
      </w:pPr>
    </w:p>
    <w:sectPr w:rsidR="00CD0C03" w:rsidSect="00CD0C03">
      <w:headerReference w:type="default" r:id="rId1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B31B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D72" w:rsidRDefault="00171D72">
      <w:pPr>
        <w:spacing w:after="0" w:line="240" w:lineRule="auto"/>
      </w:pPr>
      <w:r>
        <w:separator/>
      </w:r>
    </w:p>
  </w:endnote>
  <w:endnote w:type="continuationSeparator" w:id="0">
    <w:p w:rsidR="00171D72" w:rsidRDefault="0017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72" w:rsidRDefault="00171D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72" w:rsidRDefault="00171D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D72" w:rsidRDefault="00171D72">
      <w:pPr>
        <w:spacing w:after="0" w:line="240" w:lineRule="auto"/>
      </w:pPr>
      <w:r>
        <w:separator/>
      </w:r>
    </w:p>
  </w:footnote>
  <w:footnote w:type="continuationSeparator" w:id="0">
    <w:p w:rsidR="00171D72" w:rsidRDefault="00171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72" w:rsidRDefault="00171D72">
    <w:pPr>
      <w:pStyle w:val="Zhlav"/>
      <w:jc w:val="center"/>
    </w:pPr>
    <w:r>
      <w:rPr>
        <w:noProof/>
      </w:rPr>
      <w:drawing>
        <wp:inline distT="0" distB="0" distL="0" distR="0" wp14:anchorId="11AEF3F2" wp14:editId="7FD14129">
          <wp:extent cx="1790700" cy="742950"/>
          <wp:effectExtent l="0" t="0" r="0" b="0"/>
          <wp:docPr id="3" name="Obrázek 3"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429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72" w:rsidRDefault="00171D7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1EA"/>
    <w:multiLevelType w:val="multilevel"/>
    <w:tmpl w:val="D6D6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11F8F"/>
    <w:multiLevelType w:val="multilevel"/>
    <w:tmpl w:val="F0DC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A0D89"/>
    <w:multiLevelType w:val="multilevel"/>
    <w:tmpl w:val="02E0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0080D"/>
    <w:multiLevelType w:val="multilevel"/>
    <w:tmpl w:val="2668E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A1C86"/>
    <w:multiLevelType w:val="multilevel"/>
    <w:tmpl w:val="F2DE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70F4C"/>
    <w:multiLevelType w:val="multilevel"/>
    <w:tmpl w:val="0744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FC2B4B"/>
    <w:multiLevelType w:val="multilevel"/>
    <w:tmpl w:val="5072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015D1F"/>
    <w:multiLevelType w:val="multilevel"/>
    <w:tmpl w:val="4DF4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D041E"/>
    <w:multiLevelType w:val="multilevel"/>
    <w:tmpl w:val="3ABE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F7458"/>
    <w:multiLevelType w:val="multilevel"/>
    <w:tmpl w:val="2B2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317554"/>
    <w:multiLevelType w:val="multilevel"/>
    <w:tmpl w:val="B21A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5C6AB3"/>
    <w:multiLevelType w:val="multilevel"/>
    <w:tmpl w:val="543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C67CB"/>
    <w:multiLevelType w:val="multilevel"/>
    <w:tmpl w:val="48E2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5A4F15"/>
    <w:multiLevelType w:val="multilevel"/>
    <w:tmpl w:val="46B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817243"/>
    <w:multiLevelType w:val="multilevel"/>
    <w:tmpl w:val="A534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E327A9"/>
    <w:multiLevelType w:val="multilevel"/>
    <w:tmpl w:val="601E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28305C"/>
    <w:multiLevelType w:val="multilevel"/>
    <w:tmpl w:val="0BC8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235D99"/>
    <w:multiLevelType w:val="multilevel"/>
    <w:tmpl w:val="8BBC0BDC"/>
    <w:lvl w:ilvl="0">
      <w:start w:val="1"/>
      <w:numFmt w:val="decimal"/>
      <w:pStyle w:val="Nadpis1"/>
      <w:lvlText w:val="%1"/>
      <w:lvlJc w:val="left"/>
      <w:pPr>
        <w:ind w:left="432" w:hanging="432"/>
      </w:pPr>
    </w:lvl>
    <w:lvl w:ilvl="1">
      <w:start w:val="1"/>
      <w:numFmt w:val="decimal"/>
      <w:pStyle w:val="Nadpis2"/>
      <w:lvlText w:val="%1.%2"/>
      <w:lvlJc w:val="left"/>
      <w:pPr>
        <w:ind w:left="1002" w:hanging="576"/>
      </w:pPr>
      <w:rPr>
        <w:b w:val="0"/>
        <w:i w:val="0"/>
        <w:strike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2F144692"/>
    <w:multiLevelType w:val="multilevel"/>
    <w:tmpl w:val="07FE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800DF9"/>
    <w:multiLevelType w:val="multilevel"/>
    <w:tmpl w:val="6AFC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090CDF"/>
    <w:multiLevelType w:val="multilevel"/>
    <w:tmpl w:val="F0FE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172961"/>
    <w:multiLevelType w:val="multilevel"/>
    <w:tmpl w:val="2F94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A85271"/>
    <w:multiLevelType w:val="multilevel"/>
    <w:tmpl w:val="F3E8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EF0593"/>
    <w:multiLevelType w:val="multilevel"/>
    <w:tmpl w:val="2E56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414E51"/>
    <w:multiLevelType w:val="multilevel"/>
    <w:tmpl w:val="7524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EE5542"/>
    <w:multiLevelType w:val="multilevel"/>
    <w:tmpl w:val="2728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DD7C98"/>
    <w:multiLevelType w:val="multilevel"/>
    <w:tmpl w:val="56D2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AC4824"/>
    <w:multiLevelType w:val="multilevel"/>
    <w:tmpl w:val="C3B8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836E28"/>
    <w:multiLevelType w:val="multilevel"/>
    <w:tmpl w:val="9284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112206"/>
    <w:multiLevelType w:val="multilevel"/>
    <w:tmpl w:val="D868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E34284"/>
    <w:multiLevelType w:val="multilevel"/>
    <w:tmpl w:val="1AC6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99051A"/>
    <w:multiLevelType w:val="multilevel"/>
    <w:tmpl w:val="B4E6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9A5F41"/>
    <w:multiLevelType w:val="multilevel"/>
    <w:tmpl w:val="F8C4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F906B6"/>
    <w:multiLevelType w:val="multilevel"/>
    <w:tmpl w:val="5952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F2674F"/>
    <w:multiLevelType w:val="multilevel"/>
    <w:tmpl w:val="3AFE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C75A11"/>
    <w:multiLevelType w:val="multilevel"/>
    <w:tmpl w:val="F708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342BD6"/>
    <w:multiLevelType w:val="multilevel"/>
    <w:tmpl w:val="ECF8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9D726D"/>
    <w:multiLevelType w:val="hybridMultilevel"/>
    <w:tmpl w:val="0D3284E2"/>
    <w:lvl w:ilvl="0" w:tplc="5CB883CA">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E0C43FE"/>
    <w:multiLevelType w:val="multilevel"/>
    <w:tmpl w:val="3920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EF16C6"/>
    <w:multiLevelType w:val="multilevel"/>
    <w:tmpl w:val="B6E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D45F0C"/>
    <w:multiLevelType w:val="multilevel"/>
    <w:tmpl w:val="18B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61759B"/>
    <w:multiLevelType w:val="multilevel"/>
    <w:tmpl w:val="0490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9742F5"/>
    <w:multiLevelType w:val="multilevel"/>
    <w:tmpl w:val="F16C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530A8F"/>
    <w:multiLevelType w:val="multilevel"/>
    <w:tmpl w:val="7148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543A6E"/>
    <w:multiLevelType w:val="multilevel"/>
    <w:tmpl w:val="9978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CF7748"/>
    <w:multiLevelType w:val="multilevel"/>
    <w:tmpl w:val="8E1C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3F7BC4"/>
    <w:multiLevelType w:val="multilevel"/>
    <w:tmpl w:val="E564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0520C0"/>
    <w:multiLevelType w:val="multilevel"/>
    <w:tmpl w:val="4100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1982616"/>
    <w:multiLevelType w:val="multilevel"/>
    <w:tmpl w:val="B732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23771ED"/>
    <w:multiLevelType w:val="multilevel"/>
    <w:tmpl w:val="A72A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2D05F6F"/>
    <w:multiLevelType w:val="multilevel"/>
    <w:tmpl w:val="D446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5EE07E1"/>
    <w:multiLevelType w:val="multilevel"/>
    <w:tmpl w:val="EDA2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664C00"/>
    <w:multiLevelType w:val="multilevel"/>
    <w:tmpl w:val="D28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E14861"/>
    <w:multiLevelType w:val="multilevel"/>
    <w:tmpl w:val="CCD8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FAF38E9"/>
    <w:multiLevelType w:val="multilevel"/>
    <w:tmpl w:val="EEA6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7"/>
  </w:num>
  <w:num w:numId="3">
    <w:abstractNumId w:val="54"/>
  </w:num>
  <w:num w:numId="4">
    <w:abstractNumId w:val="37"/>
    <w:lvlOverride w:ilvl="0">
      <w:startOverride w:val="1"/>
    </w:lvlOverride>
  </w:num>
  <w:num w:numId="5">
    <w:abstractNumId w:val="37"/>
    <w:lvlOverride w:ilvl="0">
      <w:startOverride w:val="1"/>
    </w:lvlOverride>
  </w:num>
  <w:num w:numId="6">
    <w:abstractNumId w:val="37"/>
    <w:lvlOverride w:ilvl="0">
      <w:startOverride w:val="1"/>
    </w:lvlOverride>
  </w:num>
  <w:num w:numId="7">
    <w:abstractNumId w:val="37"/>
    <w:lvlOverride w:ilvl="0">
      <w:startOverride w:val="1"/>
    </w:lvlOverride>
  </w:num>
  <w:num w:numId="8">
    <w:abstractNumId w:val="37"/>
    <w:lvlOverride w:ilvl="0">
      <w:startOverride w:val="1"/>
    </w:lvlOverride>
  </w:num>
  <w:num w:numId="9">
    <w:abstractNumId w:val="37"/>
    <w:lvlOverride w:ilvl="0">
      <w:startOverride w:val="1"/>
    </w:lvlOverride>
  </w:num>
  <w:num w:numId="10">
    <w:abstractNumId w:val="37"/>
    <w:lvlOverride w:ilvl="0">
      <w:startOverride w:val="1"/>
    </w:lvlOverride>
  </w:num>
  <w:num w:numId="11">
    <w:abstractNumId w:val="37"/>
    <w:lvlOverride w:ilvl="0">
      <w:startOverride w:val="1"/>
    </w:lvlOverride>
  </w:num>
  <w:num w:numId="12">
    <w:abstractNumId w:val="37"/>
    <w:lvlOverride w:ilvl="0">
      <w:startOverride w:val="1"/>
    </w:lvlOverride>
  </w:num>
  <w:num w:numId="13">
    <w:abstractNumId w:val="8"/>
  </w:num>
  <w:num w:numId="14">
    <w:abstractNumId w:val="30"/>
  </w:num>
  <w:num w:numId="15">
    <w:abstractNumId w:val="48"/>
  </w:num>
  <w:num w:numId="16">
    <w:abstractNumId w:val="26"/>
  </w:num>
  <w:num w:numId="17">
    <w:abstractNumId w:val="9"/>
  </w:num>
  <w:num w:numId="18">
    <w:abstractNumId w:val="39"/>
  </w:num>
  <w:num w:numId="19">
    <w:abstractNumId w:val="45"/>
  </w:num>
  <w:num w:numId="20">
    <w:abstractNumId w:val="46"/>
  </w:num>
  <w:num w:numId="21">
    <w:abstractNumId w:val="36"/>
  </w:num>
  <w:num w:numId="22">
    <w:abstractNumId w:val="11"/>
  </w:num>
  <w:num w:numId="23">
    <w:abstractNumId w:val="12"/>
  </w:num>
  <w:num w:numId="24">
    <w:abstractNumId w:val="29"/>
  </w:num>
  <w:num w:numId="25">
    <w:abstractNumId w:val="35"/>
  </w:num>
  <w:num w:numId="26">
    <w:abstractNumId w:val="0"/>
  </w:num>
  <w:num w:numId="27">
    <w:abstractNumId w:val="47"/>
  </w:num>
  <w:num w:numId="28">
    <w:abstractNumId w:val="1"/>
  </w:num>
  <w:num w:numId="29">
    <w:abstractNumId w:val="41"/>
  </w:num>
  <w:num w:numId="30">
    <w:abstractNumId w:val="28"/>
  </w:num>
  <w:num w:numId="31">
    <w:abstractNumId w:val="55"/>
  </w:num>
  <w:num w:numId="32">
    <w:abstractNumId w:val="38"/>
  </w:num>
  <w:num w:numId="33">
    <w:abstractNumId w:val="49"/>
  </w:num>
  <w:num w:numId="34">
    <w:abstractNumId w:val="19"/>
  </w:num>
  <w:num w:numId="35">
    <w:abstractNumId w:val="14"/>
  </w:num>
  <w:num w:numId="36">
    <w:abstractNumId w:val="15"/>
  </w:num>
  <w:num w:numId="37">
    <w:abstractNumId w:val="18"/>
  </w:num>
  <w:num w:numId="38">
    <w:abstractNumId w:val="3"/>
  </w:num>
  <w:num w:numId="39">
    <w:abstractNumId w:val="27"/>
  </w:num>
  <w:num w:numId="40">
    <w:abstractNumId w:val="25"/>
  </w:num>
  <w:num w:numId="41">
    <w:abstractNumId w:val="20"/>
  </w:num>
  <w:num w:numId="42">
    <w:abstractNumId w:val="5"/>
  </w:num>
  <w:num w:numId="43">
    <w:abstractNumId w:val="32"/>
  </w:num>
  <w:num w:numId="44">
    <w:abstractNumId w:val="7"/>
  </w:num>
  <w:num w:numId="45">
    <w:abstractNumId w:val="22"/>
  </w:num>
  <w:num w:numId="46">
    <w:abstractNumId w:val="34"/>
  </w:num>
  <w:num w:numId="47">
    <w:abstractNumId w:val="50"/>
  </w:num>
  <w:num w:numId="48">
    <w:abstractNumId w:val="53"/>
  </w:num>
  <w:num w:numId="49">
    <w:abstractNumId w:val="21"/>
  </w:num>
  <w:num w:numId="50">
    <w:abstractNumId w:val="23"/>
  </w:num>
  <w:num w:numId="51">
    <w:abstractNumId w:val="43"/>
  </w:num>
  <w:num w:numId="52">
    <w:abstractNumId w:val="44"/>
  </w:num>
  <w:num w:numId="53">
    <w:abstractNumId w:val="42"/>
  </w:num>
  <w:num w:numId="54">
    <w:abstractNumId w:val="13"/>
  </w:num>
  <w:num w:numId="55">
    <w:abstractNumId w:val="2"/>
  </w:num>
  <w:num w:numId="56">
    <w:abstractNumId w:val="31"/>
  </w:num>
  <w:num w:numId="57">
    <w:abstractNumId w:val="16"/>
  </w:num>
  <w:num w:numId="58">
    <w:abstractNumId w:val="24"/>
  </w:num>
  <w:num w:numId="59">
    <w:abstractNumId w:val="40"/>
  </w:num>
  <w:num w:numId="60">
    <w:abstractNumId w:val="51"/>
  </w:num>
  <w:num w:numId="61">
    <w:abstractNumId w:val="52"/>
  </w:num>
  <w:num w:numId="62">
    <w:abstractNumId w:val="33"/>
  </w:num>
  <w:num w:numId="63">
    <w:abstractNumId w:val="4"/>
  </w:num>
  <w:num w:numId="64">
    <w:abstractNumId w:val="6"/>
  </w:num>
  <w:num w:numId="65">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03"/>
    <w:rsid w:val="00171D72"/>
    <w:rsid w:val="001D4A22"/>
    <w:rsid w:val="003C632D"/>
    <w:rsid w:val="003C74A2"/>
    <w:rsid w:val="00487CF2"/>
    <w:rsid w:val="005E2B21"/>
    <w:rsid w:val="007B3617"/>
    <w:rsid w:val="009D77FD"/>
    <w:rsid w:val="00A769A2"/>
    <w:rsid w:val="00BC4E4D"/>
    <w:rsid w:val="00C9290E"/>
    <w:rsid w:val="00CD0C03"/>
    <w:rsid w:val="00CF6E9F"/>
    <w:rsid w:val="00FA3FC7"/>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pPr>
      <w:keepNext/>
      <w:numPr>
        <w:numId w:val="1"/>
      </w:numPr>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pPr>
      <w:keepLines/>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rPr>
  </w:style>
  <w:style w:type="character" w:customStyle="1" w:styleId="Nadpis4Char">
    <w:name w:val="Nadpis 4 Char"/>
    <w:basedOn w:val="Standardnpsmoodstavce"/>
    <w:link w:val="Nadpis4"/>
    <w:uiPriority w:val="99"/>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Pr>
      <w:rFonts w:ascii="Arial" w:eastAsia="Times New Roman" w:hAnsi="Arial" w:cs="Times New Roman"/>
      <w:sz w:val="20"/>
      <w:szCs w:val="20"/>
    </w:rPr>
  </w:style>
  <w:style w:type="paragraph" w:styleId="Odstavecseseznamem">
    <w:name w:val="List Paragraph"/>
    <w:basedOn w:val="Normln"/>
    <w:uiPriority w:val="34"/>
    <w:qFormat/>
    <w:pPr>
      <w:ind w:left="708"/>
    </w:pPr>
    <w:rPr>
      <w:rFonts w:eastAsia="Times New Roman" w:cs="Times New Roman"/>
      <w:szCs w:val="20"/>
    </w:rPr>
  </w:style>
  <w:style w:type="character" w:styleId="Odkaznakoment">
    <w:name w:val="annotation reference"/>
    <w:aliases w:val="Značka poznámky"/>
    <w:basedOn w:val="Standardnpsmoodstavce"/>
    <w:uiPriority w:val="99"/>
    <w:rPr>
      <w:sz w:val="16"/>
      <w:szCs w:val="16"/>
    </w:rPr>
  </w:style>
  <w:style w:type="paragraph" w:styleId="Textkomente">
    <w:name w:val="annotation text"/>
    <w:basedOn w:val="Normln"/>
    <w:link w:val="TextkomenteChar"/>
    <w:uiPriority w:val="99"/>
    <w:rPr>
      <w:rFonts w:eastAsia="Times New Roman" w:cs="Times New Roman"/>
      <w:szCs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sz w:val="20"/>
    </w:rPr>
  </w:style>
  <w:style w:type="character" w:customStyle="1" w:styleId="h1a">
    <w:name w:val="h1a"/>
    <w:basedOn w:val="Standardnpsmoodstavce"/>
  </w:style>
  <w:style w:type="paragraph" w:customStyle="1" w:styleId="Nadpis2bezslovn">
    <w:name w:val="Nadpis 2 bez číslování"/>
    <w:basedOn w:val="Nadpis2"/>
    <w:link w:val="Nadpis2bezslovnChar"/>
    <w:qFormat/>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Pr>
      <w:rFonts w:ascii="Times New Roman" w:eastAsiaTheme="majorEastAsia" w:hAnsi="Times New Roman" w:cstheme="majorBidi"/>
      <w:bCs/>
      <w:sz w:val="24"/>
      <w:szCs w:val="26"/>
    </w:rPr>
  </w:style>
  <w:style w:type="character" w:styleId="Hypertextovodkaz">
    <w:name w:val="Hyperlink"/>
    <w:basedOn w:val="Standardnpsmoodstavce"/>
    <w:unhideWhenUsed/>
    <w:rPr>
      <w:color w:val="0000FF" w:themeColor="hyperlink"/>
      <w:u w:val="single"/>
    </w:rPr>
  </w:style>
  <w:style w:type="paragraph" w:styleId="Normlnweb">
    <w:name w:val="Normal (Web)"/>
    <w:basedOn w:val="Normln"/>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rPr>
  </w:style>
  <w:style w:type="paragraph" w:customStyle="1" w:styleId="zkladn">
    <w:name w:val="základní"/>
    <w:basedOn w:val="Textvbloku"/>
    <w:pPr>
      <w:pBdr>
        <w:top w:val="none" w:sz="0" w:space="0" w:color="auto"/>
        <w:left w:val="none" w:sz="0" w:space="0" w:color="auto"/>
        <w:bottom w:val="none" w:sz="0" w:space="0" w:color="auto"/>
        <w:right w:val="none" w:sz="0" w:space="0" w:color="auto"/>
      </w:pBdr>
      <w:spacing w:line="240" w:lineRule="auto"/>
      <w:ind w:left="0" w:right="0"/>
    </w:pPr>
    <w:rPr>
      <w:rFonts w:ascii="Times New Roman" w:eastAsia="Times New Roman" w:hAnsi="Times New Roman" w:cs="Times New Roman"/>
      <w:i w:val="0"/>
      <w:iCs w:val="0"/>
      <w:color w:val="auto"/>
      <w:sz w:val="24"/>
      <w:szCs w:val="20"/>
      <w:lang w:eastAsia="en-US"/>
    </w:rPr>
  </w:style>
  <w:style w:type="paragraph" w:styleId="Textvbloku">
    <w:name w:val="Block Text"/>
    <w:basedOn w:val="Normln"/>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Revize">
    <w:name w:val="Revision"/>
    <w:hidden/>
    <w:uiPriority w:val="99"/>
    <w:semiHidden/>
    <w:pPr>
      <w:spacing w:after="0" w:line="240" w:lineRule="auto"/>
    </w:pPr>
    <w:rPr>
      <w:rFonts w:ascii="Arial" w:hAnsi="Arial"/>
      <w:sz w:val="20"/>
    </w:rPr>
  </w:style>
  <w:style w:type="paragraph" w:customStyle="1" w:styleId="Styl2popisknzvusmlouvy">
    <w:name w:val="Styl2: popis k názvu smlouvy"/>
    <w:basedOn w:val="Normln"/>
    <w:link w:val="Styl2popisknzvusmlouvyChar"/>
    <w:uiPriority w:val="99"/>
    <w:pPr>
      <w:spacing w:after="240" w:line="240" w:lineRule="auto"/>
      <w:contextualSpacing/>
      <w:jc w:val="center"/>
    </w:pPr>
    <w:rPr>
      <w:rFonts w:ascii="Times New Roman" w:eastAsia="Times New Roman" w:hAnsi="Times New Roman" w:cs="Times New Roman"/>
      <w:sz w:val="24"/>
      <w:szCs w:val="24"/>
    </w:rPr>
  </w:style>
  <w:style w:type="character" w:customStyle="1" w:styleId="Styl2popisknzvusmlouvyChar">
    <w:name w:val="Styl2: popis k názvu smlouvy Char"/>
    <w:basedOn w:val="Standardnpsmoodstavce"/>
    <w:link w:val="Styl2popisknzvusmlouvy"/>
    <w:uiPriority w:val="99"/>
    <w:locked/>
    <w:rPr>
      <w:rFonts w:ascii="Times New Roman" w:eastAsia="Times New Roman" w:hAnsi="Times New Roman" w:cs="Times New Roman"/>
      <w:sz w:val="24"/>
      <w:szCs w:val="24"/>
    </w:rPr>
  </w:style>
  <w:style w:type="paragraph" w:styleId="Zkladntext">
    <w:name w:val="Body Text"/>
    <w:basedOn w:val="Normln"/>
    <w:link w:val="ZkladntextChar"/>
    <w:semiHidden/>
    <w:pPr>
      <w:spacing w:after="0" w:line="240" w:lineRule="auto"/>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Pr>
      <w:rFonts w:ascii="Times New Roman" w:eastAsia="Times New Roman" w:hAnsi="Times New Roman" w:cs="Times New Roman"/>
      <w:sz w:val="24"/>
      <w:szCs w:val="24"/>
      <w:lang w:val="x-none" w:eastAsia="x-none"/>
    </w:rPr>
  </w:style>
  <w:style w:type="paragraph" w:customStyle="1" w:styleId="Default">
    <w:name w:val="Default"/>
    <w:rsid w:val="003C63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pPr>
      <w:keepNext/>
      <w:numPr>
        <w:numId w:val="1"/>
      </w:numPr>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pPr>
      <w:keepLines/>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rPr>
  </w:style>
  <w:style w:type="character" w:customStyle="1" w:styleId="Nadpis4Char">
    <w:name w:val="Nadpis 4 Char"/>
    <w:basedOn w:val="Standardnpsmoodstavce"/>
    <w:link w:val="Nadpis4"/>
    <w:uiPriority w:val="99"/>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Pr>
      <w:rFonts w:ascii="Arial" w:eastAsia="Times New Roman" w:hAnsi="Arial" w:cs="Times New Roman"/>
      <w:sz w:val="20"/>
      <w:szCs w:val="20"/>
    </w:rPr>
  </w:style>
  <w:style w:type="paragraph" w:styleId="Odstavecseseznamem">
    <w:name w:val="List Paragraph"/>
    <w:basedOn w:val="Normln"/>
    <w:uiPriority w:val="34"/>
    <w:qFormat/>
    <w:pPr>
      <w:ind w:left="708"/>
    </w:pPr>
    <w:rPr>
      <w:rFonts w:eastAsia="Times New Roman" w:cs="Times New Roman"/>
      <w:szCs w:val="20"/>
    </w:rPr>
  </w:style>
  <w:style w:type="character" w:styleId="Odkaznakoment">
    <w:name w:val="annotation reference"/>
    <w:aliases w:val="Značka poznámky"/>
    <w:basedOn w:val="Standardnpsmoodstavce"/>
    <w:uiPriority w:val="99"/>
    <w:rPr>
      <w:sz w:val="16"/>
      <w:szCs w:val="16"/>
    </w:rPr>
  </w:style>
  <w:style w:type="paragraph" w:styleId="Textkomente">
    <w:name w:val="annotation text"/>
    <w:basedOn w:val="Normln"/>
    <w:link w:val="TextkomenteChar"/>
    <w:uiPriority w:val="99"/>
    <w:rPr>
      <w:rFonts w:eastAsia="Times New Roman" w:cs="Times New Roman"/>
      <w:szCs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sz w:val="20"/>
    </w:rPr>
  </w:style>
  <w:style w:type="character" w:customStyle="1" w:styleId="h1a">
    <w:name w:val="h1a"/>
    <w:basedOn w:val="Standardnpsmoodstavce"/>
  </w:style>
  <w:style w:type="paragraph" w:customStyle="1" w:styleId="Nadpis2bezslovn">
    <w:name w:val="Nadpis 2 bez číslování"/>
    <w:basedOn w:val="Nadpis2"/>
    <w:link w:val="Nadpis2bezslovnChar"/>
    <w:qFormat/>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Pr>
      <w:rFonts w:ascii="Times New Roman" w:eastAsiaTheme="majorEastAsia" w:hAnsi="Times New Roman" w:cstheme="majorBidi"/>
      <w:bCs/>
      <w:sz w:val="24"/>
      <w:szCs w:val="26"/>
    </w:rPr>
  </w:style>
  <w:style w:type="character" w:styleId="Hypertextovodkaz">
    <w:name w:val="Hyperlink"/>
    <w:basedOn w:val="Standardnpsmoodstavce"/>
    <w:unhideWhenUsed/>
    <w:rPr>
      <w:color w:val="0000FF" w:themeColor="hyperlink"/>
      <w:u w:val="single"/>
    </w:rPr>
  </w:style>
  <w:style w:type="paragraph" w:styleId="Normlnweb">
    <w:name w:val="Normal (Web)"/>
    <w:basedOn w:val="Normln"/>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rPr>
  </w:style>
  <w:style w:type="paragraph" w:customStyle="1" w:styleId="zkladn">
    <w:name w:val="základní"/>
    <w:basedOn w:val="Textvbloku"/>
    <w:pPr>
      <w:pBdr>
        <w:top w:val="none" w:sz="0" w:space="0" w:color="auto"/>
        <w:left w:val="none" w:sz="0" w:space="0" w:color="auto"/>
        <w:bottom w:val="none" w:sz="0" w:space="0" w:color="auto"/>
        <w:right w:val="none" w:sz="0" w:space="0" w:color="auto"/>
      </w:pBdr>
      <w:spacing w:line="240" w:lineRule="auto"/>
      <w:ind w:left="0" w:right="0"/>
    </w:pPr>
    <w:rPr>
      <w:rFonts w:ascii="Times New Roman" w:eastAsia="Times New Roman" w:hAnsi="Times New Roman" w:cs="Times New Roman"/>
      <w:i w:val="0"/>
      <w:iCs w:val="0"/>
      <w:color w:val="auto"/>
      <w:sz w:val="24"/>
      <w:szCs w:val="20"/>
      <w:lang w:eastAsia="en-US"/>
    </w:rPr>
  </w:style>
  <w:style w:type="paragraph" w:styleId="Textvbloku">
    <w:name w:val="Block Text"/>
    <w:basedOn w:val="Normln"/>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Revize">
    <w:name w:val="Revision"/>
    <w:hidden/>
    <w:uiPriority w:val="99"/>
    <w:semiHidden/>
    <w:pPr>
      <w:spacing w:after="0" w:line="240" w:lineRule="auto"/>
    </w:pPr>
    <w:rPr>
      <w:rFonts w:ascii="Arial" w:hAnsi="Arial"/>
      <w:sz w:val="20"/>
    </w:rPr>
  </w:style>
  <w:style w:type="paragraph" w:customStyle="1" w:styleId="Styl2popisknzvusmlouvy">
    <w:name w:val="Styl2: popis k názvu smlouvy"/>
    <w:basedOn w:val="Normln"/>
    <w:link w:val="Styl2popisknzvusmlouvyChar"/>
    <w:uiPriority w:val="99"/>
    <w:pPr>
      <w:spacing w:after="240" w:line="240" w:lineRule="auto"/>
      <w:contextualSpacing/>
      <w:jc w:val="center"/>
    </w:pPr>
    <w:rPr>
      <w:rFonts w:ascii="Times New Roman" w:eastAsia="Times New Roman" w:hAnsi="Times New Roman" w:cs="Times New Roman"/>
      <w:sz w:val="24"/>
      <w:szCs w:val="24"/>
    </w:rPr>
  </w:style>
  <w:style w:type="character" w:customStyle="1" w:styleId="Styl2popisknzvusmlouvyChar">
    <w:name w:val="Styl2: popis k názvu smlouvy Char"/>
    <w:basedOn w:val="Standardnpsmoodstavce"/>
    <w:link w:val="Styl2popisknzvusmlouvy"/>
    <w:uiPriority w:val="99"/>
    <w:locked/>
    <w:rPr>
      <w:rFonts w:ascii="Times New Roman" w:eastAsia="Times New Roman" w:hAnsi="Times New Roman" w:cs="Times New Roman"/>
      <w:sz w:val="24"/>
      <w:szCs w:val="24"/>
    </w:rPr>
  </w:style>
  <w:style w:type="paragraph" w:styleId="Zkladntext">
    <w:name w:val="Body Text"/>
    <w:basedOn w:val="Normln"/>
    <w:link w:val="ZkladntextChar"/>
    <w:semiHidden/>
    <w:pPr>
      <w:spacing w:after="0" w:line="240" w:lineRule="auto"/>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Pr>
      <w:rFonts w:ascii="Times New Roman" w:eastAsia="Times New Roman" w:hAnsi="Times New Roman" w:cs="Times New Roman"/>
      <w:sz w:val="24"/>
      <w:szCs w:val="24"/>
      <w:lang w:val="x-none" w:eastAsia="x-none"/>
    </w:rPr>
  </w:style>
  <w:style w:type="paragraph" w:customStyle="1" w:styleId="Default">
    <w:name w:val="Default"/>
    <w:rsid w:val="003C63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546573499">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995109610">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 w:id="149313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rob.martin@hyundai.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e.borecka@sfdi.cz" TargetMode="External"/><Relationship Id="rId13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info@sfdi.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6392</Words>
  <Characters>37718</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2019-06-20T12:11:00Z</dcterms:created>
  <dcterms:modified xsi:type="dcterms:W3CDTF">2019-06-20T12:21:00Z</dcterms:modified>
</cp:coreProperties>
</file>