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46" w:rsidRDefault="00D16F46">
      <w:pPr>
        <w:pStyle w:val="Zkladntext"/>
        <w:rPr>
          <w:rFonts w:ascii="Times New Roman"/>
          <w:sz w:val="20"/>
        </w:rPr>
      </w:pPr>
    </w:p>
    <w:p w:rsidR="00D16F46" w:rsidRDefault="00D16F46">
      <w:pPr>
        <w:pStyle w:val="Zkladntext"/>
        <w:rPr>
          <w:rFonts w:ascii="Times New Roman"/>
          <w:sz w:val="20"/>
        </w:rPr>
      </w:pPr>
    </w:p>
    <w:p w:rsidR="00D16F46" w:rsidRDefault="00D16F46">
      <w:pPr>
        <w:pStyle w:val="Zkladntext"/>
        <w:rPr>
          <w:rFonts w:ascii="Times New Roman"/>
          <w:sz w:val="20"/>
        </w:rPr>
      </w:pPr>
    </w:p>
    <w:p w:rsidR="00D16F46" w:rsidRDefault="00D16F46">
      <w:pPr>
        <w:pStyle w:val="Zkladntext"/>
        <w:spacing w:before="9"/>
        <w:rPr>
          <w:rFonts w:ascii="Times New Roman"/>
          <w:sz w:val="29"/>
        </w:rPr>
      </w:pPr>
    </w:p>
    <w:p w:rsidR="00D16F46" w:rsidRDefault="00E0631C">
      <w:pPr>
        <w:pStyle w:val="Nzev"/>
      </w:pPr>
      <w:r>
        <w:t>Dohoda o ukončení smlouvy</w:t>
      </w:r>
    </w:p>
    <w:p w:rsidR="00D16F46" w:rsidRDefault="00D16F46">
      <w:pPr>
        <w:pStyle w:val="Zkladntext"/>
        <w:rPr>
          <w:b/>
          <w:sz w:val="30"/>
        </w:rPr>
      </w:pPr>
    </w:p>
    <w:p w:rsidR="00D16F46" w:rsidRDefault="00D16F46">
      <w:pPr>
        <w:pStyle w:val="Zkladntext"/>
        <w:spacing w:before="9"/>
        <w:rPr>
          <w:b/>
          <w:sz w:val="31"/>
        </w:rPr>
      </w:pPr>
    </w:p>
    <w:p w:rsidR="00D16F46" w:rsidRDefault="00E0631C">
      <w:pPr>
        <w:ind w:left="157"/>
        <w:rPr>
          <w:b/>
        </w:rPr>
      </w:pPr>
      <w:r>
        <w:t xml:space="preserve">Siemens, </w:t>
      </w:r>
      <w:r>
        <w:rPr>
          <w:b/>
        </w:rPr>
        <w:t>s.r.o. (SIEMENS)</w:t>
      </w:r>
    </w:p>
    <w:p w:rsidR="00D16F46" w:rsidRDefault="00E0631C">
      <w:pPr>
        <w:pStyle w:val="Zkladntext"/>
        <w:spacing w:before="16"/>
        <w:ind w:left="160"/>
      </w:pPr>
      <w:r>
        <w:t>adresa: Siemensova 1, 155 00 Praha 13</w:t>
      </w:r>
    </w:p>
    <w:p w:rsidR="00D16F46" w:rsidRDefault="00E0631C">
      <w:pPr>
        <w:pStyle w:val="Zkladntext"/>
        <w:spacing w:before="20" w:line="254" w:lineRule="auto"/>
        <w:ind w:left="153" w:right="848"/>
      </w:pPr>
      <w:r>
        <w:t>zastoupenÿ:</w:t>
      </w:r>
      <w:bookmarkStart w:id="0" w:name="_GoBack"/>
      <w:bookmarkEnd w:id="0"/>
    </w:p>
    <w:p w:rsidR="00D16F46" w:rsidRDefault="00E0631C">
      <w:pPr>
        <w:pStyle w:val="Zkladntext"/>
        <w:spacing w:before="2" w:line="254" w:lineRule="auto"/>
        <w:ind w:left="151" w:right="7202" w:firstLine="6"/>
      </w:pPr>
      <w:r>
        <w:t xml:space="preserve">IČO: 00268577 </w:t>
      </w:r>
      <w:r>
        <w:rPr>
          <w:w w:val="95"/>
        </w:rPr>
        <w:t>DIČ: CZ00268577</w:t>
      </w:r>
    </w:p>
    <w:p w:rsidR="00D16F46" w:rsidRDefault="00E0631C">
      <w:pPr>
        <w:pStyle w:val="Zkladntext"/>
        <w:spacing w:before="6"/>
        <w:ind w:left="154"/>
      </w:pPr>
      <w:r>
        <w:t>číslo účtu: CZK: 1013384001/2700, EUR: 1013384394/2700, USD: 3686335/2700</w:t>
      </w:r>
    </w:p>
    <w:p w:rsidR="00D16F46" w:rsidRDefault="00E0631C">
      <w:pPr>
        <w:spacing w:before="16"/>
        <w:ind w:left="149"/>
        <w:rPr>
          <w:b/>
        </w:rPr>
      </w:pPr>
      <w:r>
        <w:t xml:space="preserve">(Dále </w:t>
      </w:r>
      <w:r>
        <w:rPr>
          <w:b/>
        </w:rPr>
        <w:t>jen „PARTNER“)</w:t>
      </w:r>
    </w:p>
    <w:p w:rsidR="00D16F46" w:rsidRDefault="00E0631C">
      <w:pPr>
        <w:pStyle w:val="Zkladntext"/>
        <w:spacing w:before="20"/>
        <w:ind w:left="155"/>
      </w:pPr>
      <w:r>
        <w:rPr>
          <w:w w:val="89"/>
        </w:rPr>
        <w:t>a</w:t>
      </w:r>
    </w:p>
    <w:p w:rsidR="00D16F46" w:rsidRDefault="00D16F46">
      <w:pPr>
        <w:pStyle w:val="Zkladntext"/>
        <w:spacing w:before="5"/>
        <w:rPr>
          <w:sz w:val="32"/>
        </w:rPr>
      </w:pPr>
    </w:p>
    <w:p w:rsidR="00D16F46" w:rsidRDefault="00E0631C">
      <w:pPr>
        <w:pStyle w:val="Zkladntext"/>
        <w:spacing w:line="232" w:lineRule="auto"/>
        <w:ind w:left="144" w:firstLine="2"/>
      </w:pPr>
      <w:r>
        <w:rPr>
          <w:w w:val="105"/>
        </w:rPr>
        <w:t>České vysoké učení technické v Praze, Českÿ institut informatiky robotiky a kybernetiky, (The Czech Institute of Informatics, Robotics and Cybernetics, CTU)</w:t>
      </w:r>
    </w:p>
    <w:p w:rsidR="003B2F55" w:rsidRDefault="00E0631C" w:rsidP="003B2F55">
      <w:pPr>
        <w:pStyle w:val="Zkladntext"/>
        <w:spacing w:before="1" w:line="230" w:lineRule="auto"/>
        <w:ind w:left="142" w:right="2925" w:firstLine="2"/>
        <w:rPr>
          <w:w w:val="95"/>
        </w:rPr>
      </w:pPr>
      <w:r>
        <w:t xml:space="preserve">adresa: Jugoslávskÿch partyzánû 3, 166 00, Praha 6 </w:t>
      </w:r>
      <w:r>
        <w:rPr>
          <w:w w:val="95"/>
        </w:rPr>
        <w:t>zastoupenÿ:</w:t>
      </w:r>
    </w:p>
    <w:p w:rsidR="00D16F46" w:rsidRPr="003B2F55" w:rsidRDefault="00E0631C" w:rsidP="003B2F55">
      <w:pPr>
        <w:pStyle w:val="Zkladntext"/>
        <w:spacing w:before="1" w:line="230" w:lineRule="auto"/>
        <w:ind w:left="142" w:right="2925" w:firstLine="2"/>
        <w:rPr>
          <w:w w:val="95"/>
        </w:rPr>
      </w:pPr>
      <w:r>
        <w:t>IČO: 68407700</w:t>
      </w:r>
    </w:p>
    <w:p w:rsidR="00D16F46" w:rsidRDefault="00E0631C">
      <w:pPr>
        <w:pStyle w:val="Zkladntext"/>
        <w:spacing w:line="246" w:lineRule="exact"/>
        <w:ind w:left="141"/>
      </w:pPr>
      <w:r>
        <w:t>DIČ: CZ68407700</w:t>
      </w:r>
    </w:p>
    <w:p w:rsidR="00D16F46" w:rsidRDefault="00E0631C">
      <w:pPr>
        <w:pStyle w:val="Zkladntext"/>
        <w:spacing w:before="2" w:line="232" w:lineRule="auto"/>
        <w:ind w:left="135" w:right="5502" w:firstLine="4"/>
      </w:pPr>
      <w:r>
        <w:rPr>
          <w:w w:val="95"/>
        </w:rPr>
        <w:t xml:space="preserve">číslo účtu: 107-5264540257/0100 </w:t>
      </w:r>
      <w:r>
        <w:t>(Dále jen „CIIRC“)</w:t>
      </w:r>
    </w:p>
    <w:p w:rsidR="00D16F46" w:rsidRDefault="00E0631C">
      <w:pPr>
        <w:pStyle w:val="Zkladntext"/>
        <w:spacing w:line="246" w:lineRule="exact"/>
        <w:ind w:left="135"/>
      </w:pPr>
      <w:r>
        <w:rPr>
          <w:w w:val="105"/>
        </w:rPr>
        <w:t>(společné jako „smluvní strany“).</w:t>
      </w:r>
    </w:p>
    <w:p w:rsidR="00D16F46" w:rsidRDefault="00D16F46">
      <w:pPr>
        <w:pStyle w:val="Zkladntext"/>
        <w:spacing w:before="5"/>
        <w:rPr>
          <w:sz w:val="31"/>
        </w:rPr>
      </w:pPr>
    </w:p>
    <w:p w:rsidR="00D16F46" w:rsidRDefault="00E0631C">
      <w:pPr>
        <w:spacing w:line="261" w:lineRule="auto"/>
        <w:ind w:left="131" w:right="6" w:firstLine="6"/>
      </w:pPr>
      <w:r>
        <w:rPr>
          <w:w w:val="95"/>
          <w:sz w:val="23"/>
        </w:rPr>
        <w:t>Smluvní</w:t>
      </w:r>
      <w:r>
        <w:rPr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strany</w:t>
      </w:r>
      <w:r>
        <w:rPr>
          <w:spacing w:val="-14"/>
          <w:w w:val="95"/>
          <w:sz w:val="23"/>
        </w:rPr>
        <w:t xml:space="preserve"> </w:t>
      </w:r>
      <w:r>
        <w:rPr>
          <w:w w:val="95"/>
          <w:sz w:val="23"/>
        </w:rPr>
        <w:t>spolu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uzavčely</w:t>
      </w:r>
      <w:r>
        <w:rPr>
          <w:spacing w:val="-14"/>
          <w:w w:val="95"/>
          <w:sz w:val="23"/>
        </w:rPr>
        <w:t xml:space="preserve"> </w:t>
      </w:r>
      <w:r>
        <w:rPr>
          <w:w w:val="95"/>
          <w:sz w:val="23"/>
        </w:rPr>
        <w:t>dne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30.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5.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2018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Smlouvu</w:t>
      </w:r>
      <w:r>
        <w:rPr>
          <w:spacing w:val="-14"/>
          <w:w w:val="95"/>
          <w:sz w:val="23"/>
        </w:rPr>
        <w:t xml:space="preserve"> </w:t>
      </w:r>
      <w:r>
        <w:rPr>
          <w:w w:val="95"/>
          <w:sz w:val="23"/>
        </w:rPr>
        <w:t>o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financování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společného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pracovištë CENTRUM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MÈSTA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BUDOUCNOSTI</w:t>
      </w:r>
      <w:r>
        <w:rPr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CIIRC.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Smluvní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strany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se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tímto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dohod)y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na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ukončení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 xml:space="preserve">této </w:t>
      </w:r>
      <w:r>
        <w:t>smlouvy</w:t>
      </w:r>
      <w:r>
        <w:rPr>
          <w:spacing w:val="-14"/>
        </w:rPr>
        <w:t xml:space="preserve"> </w:t>
      </w:r>
      <w:r>
        <w:t>ke</w:t>
      </w:r>
      <w:r>
        <w:rPr>
          <w:spacing w:val="-22"/>
        </w:rPr>
        <w:t xml:space="preserve"> </w:t>
      </w:r>
      <w:r>
        <w:t>dni</w:t>
      </w:r>
      <w:r>
        <w:rPr>
          <w:spacing w:val="-20"/>
        </w:rPr>
        <w:t xml:space="preserve"> </w:t>
      </w:r>
      <w:r>
        <w:t>31.</w:t>
      </w:r>
      <w:r>
        <w:rPr>
          <w:spacing w:val="-19"/>
        </w:rPr>
        <w:t xml:space="preserve"> </w:t>
      </w:r>
      <w:r>
        <w:t>12.</w:t>
      </w:r>
      <w:r>
        <w:rPr>
          <w:spacing w:val="-18"/>
        </w:rPr>
        <w:t xml:space="preserve"> </w:t>
      </w:r>
      <w:r>
        <w:t>2019</w:t>
      </w:r>
      <w:r>
        <w:rPr>
          <w:spacing w:val="-18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dále</w:t>
      </w:r>
      <w:r>
        <w:rPr>
          <w:spacing w:val="-18"/>
        </w:rPr>
        <w:t xml:space="preserve"> </w:t>
      </w:r>
      <w:r>
        <w:t>se</w:t>
      </w:r>
      <w:r>
        <w:rPr>
          <w:spacing w:val="-26"/>
        </w:rPr>
        <w:t xml:space="preserve"> </w:t>
      </w:r>
      <w:r>
        <w:t>dohodly,</w:t>
      </w:r>
      <w:r>
        <w:rPr>
          <w:spacing w:val="-10"/>
        </w:rPr>
        <w:t xml:space="preserve"> </w:t>
      </w:r>
      <w:r>
        <w:t>že</w:t>
      </w:r>
      <w:r>
        <w:rPr>
          <w:spacing w:val="-24"/>
        </w:rPr>
        <w:t xml:space="preserve"> </w:t>
      </w:r>
      <w:r>
        <w:t>platby</w:t>
      </w:r>
      <w:r>
        <w:rPr>
          <w:spacing w:val="-17"/>
        </w:rPr>
        <w:t xml:space="preserve"> </w:t>
      </w:r>
      <w:r>
        <w:t>PARTNERS,</w:t>
      </w:r>
      <w:r>
        <w:rPr>
          <w:spacing w:val="-6"/>
        </w:rPr>
        <w:t xml:space="preserve"> </w:t>
      </w:r>
      <w:r>
        <w:t>dosud</w:t>
      </w:r>
      <w:r>
        <w:rPr>
          <w:spacing w:val="-21"/>
        </w:rPr>
        <w:t xml:space="preserve"> </w:t>
      </w:r>
      <w:r>
        <w:t>zaplacené</w:t>
      </w:r>
      <w:r>
        <w:rPr>
          <w:spacing w:val="-17"/>
        </w:rPr>
        <w:t xml:space="preserve"> </w:t>
      </w:r>
      <w:r>
        <w:t xml:space="preserve">podle </w:t>
      </w:r>
      <w:r>
        <w:rPr>
          <w:sz w:val="23"/>
        </w:rPr>
        <w:t>čl.</w:t>
      </w:r>
      <w:r>
        <w:rPr>
          <w:spacing w:val="-32"/>
          <w:sz w:val="23"/>
        </w:rPr>
        <w:t xml:space="preserve"> </w:t>
      </w:r>
      <w:r>
        <w:rPr>
          <w:sz w:val="23"/>
        </w:rPr>
        <w:t>A</w:t>
      </w:r>
      <w:r>
        <w:rPr>
          <w:spacing w:val="-32"/>
          <w:sz w:val="23"/>
        </w:rPr>
        <w:t xml:space="preserve"> </w:t>
      </w:r>
      <w:r>
        <w:rPr>
          <w:sz w:val="23"/>
        </w:rPr>
        <w:t>vÿše</w:t>
      </w:r>
      <w:r>
        <w:rPr>
          <w:spacing w:val="-30"/>
          <w:sz w:val="23"/>
        </w:rPr>
        <w:t xml:space="preserve"> </w:t>
      </w:r>
      <w:r>
        <w:rPr>
          <w:sz w:val="23"/>
        </w:rPr>
        <w:t>uvedené</w:t>
      </w:r>
      <w:r>
        <w:rPr>
          <w:spacing w:val="-24"/>
          <w:sz w:val="23"/>
        </w:rPr>
        <w:t xml:space="preserve"> </w:t>
      </w:r>
      <w:r>
        <w:rPr>
          <w:sz w:val="23"/>
        </w:rPr>
        <w:t>smlouvy</w:t>
      </w:r>
      <w:r>
        <w:rPr>
          <w:spacing w:val="-22"/>
          <w:sz w:val="23"/>
        </w:rPr>
        <w:t xml:space="preserve"> </w:t>
      </w:r>
      <w:r>
        <w:rPr>
          <w:sz w:val="23"/>
        </w:rPr>
        <w:t>se</w:t>
      </w:r>
      <w:r>
        <w:rPr>
          <w:spacing w:val="-33"/>
          <w:sz w:val="23"/>
        </w:rPr>
        <w:t xml:space="preserve"> </w:t>
      </w:r>
      <w:r>
        <w:rPr>
          <w:sz w:val="23"/>
        </w:rPr>
        <w:t>vztahují</w:t>
      </w:r>
      <w:r>
        <w:rPr>
          <w:spacing w:val="-30"/>
          <w:sz w:val="23"/>
        </w:rPr>
        <w:t xml:space="preserve"> </w:t>
      </w:r>
      <w:r>
        <w:rPr>
          <w:sz w:val="23"/>
        </w:rPr>
        <w:t>i</w:t>
      </w:r>
      <w:r>
        <w:rPr>
          <w:spacing w:val="-31"/>
          <w:sz w:val="23"/>
        </w:rPr>
        <w:t xml:space="preserve"> </w:t>
      </w:r>
      <w:r>
        <w:rPr>
          <w:sz w:val="23"/>
        </w:rPr>
        <w:t>na</w:t>
      </w:r>
      <w:r>
        <w:rPr>
          <w:spacing w:val="-27"/>
          <w:sz w:val="23"/>
        </w:rPr>
        <w:t xml:space="preserve"> </w:t>
      </w:r>
      <w:r>
        <w:rPr>
          <w:sz w:val="23"/>
        </w:rPr>
        <w:t>období</w:t>
      </w:r>
      <w:r>
        <w:rPr>
          <w:spacing w:val="-24"/>
          <w:sz w:val="23"/>
        </w:rPr>
        <w:t xml:space="preserve"> </w:t>
      </w:r>
      <w:r>
        <w:rPr>
          <w:sz w:val="23"/>
        </w:rPr>
        <w:t>do</w:t>
      </w:r>
      <w:r>
        <w:rPr>
          <w:spacing w:val="-31"/>
          <w:sz w:val="23"/>
        </w:rPr>
        <w:t xml:space="preserve"> </w:t>
      </w:r>
      <w:r>
        <w:rPr>
          <w:sz w:val="23"/>
        </w:rPr>
        <w:t>ukončení</w:t>
      </w:r>
      <w:r>
        <w:rPr>
          <w:spacing w:val="-21"/>
          <w:sz w:val="23"/>
        </w:rPr>
        <w:t xml:space="preserve"> </w:t>
      </w:r>
      <w:r>
        <w:rPr>
          <w:sz w:val="23"/>
        </w:rPr>
        <w:t>vÿše</w:t>
      </w:r>
      <w:r>
        <w:rPr>
          <w:spacing w:val="-31"/>
          <w:sz w:val="23"/>
        </w:rPr>
        <w:t xml:space="preserve"> </w:t>
      </w:r>
      <w:r>
        <w:rPr>
          <w:sz w:val="23"/>
        </w:rPr>
        <w:t>uvedené</w:t>
      </w:r>
      <w:r>
        <w:rPr>
          <w:spacing w:val="-24"/>
          <w:sz w:val="23"/>
        </w:rPr>
        <w:t xml:space="preserve"> </w:t>
      </w:r>
      <w:r>
        <w:rPr>
          <w:sz w:val="23"/>
        </w:rPr>
        <w:t>smlouvy</w:t>
      </w:r>
      <w:r>
        <w:rPr>
          <w:spacing w:val="-25"/>
          <w:sz w:val="23"/>
        </w:rPr>
        <w:t xml:space="preserve"> </w:t>
      </w:r>
      <w:r>
        <w:rPr>
          <w:sz w:val="23"/>
        </w:rPr>
        <w:t xml:space="preserve">a </w:t>
      </w:r>
      <w:r>
        <w:t>PARTNER tedy nen“ p vinen k žádnÿm dalšim platbám podle vÿše uvedené</w:t>
      </w:r>
      <w:r>
        <w:rPr>
          <w:spacing w:val="-29"/>
        </w:rPr>
        <w:t xml:space="preserve"> </w:t>
      </w:r>
      <w:r>
        <w:t>smlouvy.</w:t>
      </w:r>
    </w:p>
    <w:p w:rsidR="00D16F46" w:rsidRDefault="00D16F46">
      <w:pPr>
        <w:pStyle w:val="Zkladntext"/>
        <w:spacing w:before="1" w:after="1"/>
        <w:rPr>
          <w:sz w:val="19"/>
        </w:rPr>
      </w:pPr>
    </w:p>
    <w:p w:rsidR="00D16F46" w:rsidRDefault="00E0631C">
      <w:pPr>
        <w:tabs>
          <w:tab w:val="left" w:pos="4789"/>
        </w:tabs>
        <w:ind w:left="143"/>
        <w:rPr>
          <w:sz w:val="20"/>
        </w:rPr>
      </w:pPr>
      <w:r>
        <w:rPr>
          <w:position w:val="1"/>
          <w:sz w:val="20"/>
        </w:rPr>
        <w:tab/>
      </w:r>
    </w:p>
    <w:p w:rsidR="00D16F46" w:rsidRDefault="00D16F46">
      <w:pPr>
        <w:rPr>
          <w:sz w:val="20"/>
        </w:rPr>
        <w:sectPr w:rsidR="00D16F4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580" w:right="1460" w:bottom="280" w:left="1200" w:header="708" w:footer="708" w:gutter="0"/>
          <w:cols w:space="708"/>
        </w:sectPr>
      </w:pPr>
    </w:p>
    <w:p w:rsidR="00D16F46" w:rsidRDefault="00E0631C">
      <w:pPr>
        <w:spacing w:line="210" w:lineRule="exact"/>
        <w:ind w:left="140"/>
        <w:rPr>
          <w:sz w:val="19"/>
        </w:rPr>
      </w:pPr>
      <w:r>
        <w:rPr>
          <w:sz w:val="19"/>
        </w:rPr>
        <w:t>Siemens, s.r.o.</w:t>
      </w:r>
    </w:p>
    <w:p w:rsidR="00D16F46" w:rsidRDefault="00D16F46">
      <w:pPr>
        <w:spacing w:line="209" w:lineRule="exact"/>
        <w:ind w:left="135"/>
        <w:rPr>
          <w:sz w:val="19"/>
        </w:rPr>
      </w:pPr>
    </w:p>
    <w:p w:rsidR="00D16F46" w:rsidRDefault="00E0631C">
      <w:pPr>
        <w:spacing w:line="233" w:lineRule="exact"/>
        <w:ind w:left="144"/>
        <w:rPr>
          <w:sz w:val="21"/>
        </w:rPr>
      </w:pPr>
      <w:r>
        <w:rPr>
          <w:sz w:val="21"/>
        </w:rPr>
        <w:t>jednatel</w:t>
      </w:r>
    </w:p>
    <w:p w:rsidR="00D16F46" w:rsidRDefault="00D16F46">
      <w:pPr>
        <w:pStyle w:val="Zkladntext"/>
      </w:pPr>
    </w:p>
    <w:p w:rsidR="00D16F46" w:rsidRDefault="00D16F46">
      <w:pPr>
        <w:pStyle w:val="Zkladntext"/>
      </w:pPr>
    </w:p>
    <w:p w:rsidR="00D16F46" w:rsidRDefault="00D16F46">
      <w:pPr>
        <w:pStyle w:val="Zkladntext"/>
      </w:pPr>
    </w:p>
    <w:p w:rsidR="00D16F46" w:rsidRDefault="00D16F46">
      <w:pPr>
        <w:pStyle w:val="Zkladntext"/>
        <w:spacing w:before="9"/>
        <w:rPr>
          <w:sz w:val="32"/>
        </w:rPr>
      </w:pPr>
    </w:p>
    <w:p w:rsidR="00D16F46" w:rsidRDefault="00E0631C">
      <w:pPr>
        <w:spacing w:line="225" w:lineRule="exact"/>
        <w:ind w:left="110"/>
        <w:rPr>
          <w:sz w:val="20"/>
        </w:rPr>
      </w:pPr>
      <w:r>
        <w:rPr>
          <w:sz w:val="20"/>
        </w:rPr>
        <w:t>Siemens, s.r.o.</w:t>
      </w:r>
    </w:p>
    <w:p w:rsidR="00D16F46" w:rsidRDefault="00E0631C">
      <w:pPr>
        <w:spacing w:before="24"/>
        <w:ind w:left="109"/>
        <w:rPr>
          <w:sz w:val="19"/>
        </w:rPr>
      </w:pPr>
      <w:r>
        <w:rPr>
          <w:sz w:val="19"/>
        </w:rPr>
        <w:t>jednatel</w:t>
      </w:r>
    </w:p>
    <w:p w:rsidR="00D16F46" w:rsidRDefault="00D16F46">
      <w:pPr>
        <w:pStyle w:val="Zkladntext"/>
        <w:rPr>
          <w:sz w:val="20"/>
        </w:rPr>
      </w:pPr>
    </w:p>
    <w:p w:rsidR="00D16F46" w:rsidRDefault="00D16F46">
      <w:pPr>
        <w:pStyle w:val="Zkladntext"/>
        <w:rPr>
          <w:sz w:val="20"/>
        </w:rPr>
      </w:pPr>
    </w:p>
    <w:p w:rsidR="00D16F46" w:rsidRDefault="00D16F46">
      <w:pPr>
        <w:pStyle w:val="Zkladntext"/>
        <w:spacing w:before="2"/>
        <w:rPr>
          <w:sz w:val="26"/>
        </w:rPr>
      </w:pPr>
    </w:p>
    <w:p w:rsidR="00D16F46" w:rsidRDefault="00E0631C">
      <w:pPr>
        <w:ind w:left="103"/>
        <w:rPr>
          <w:sz w:val="21"/>
        </w:rPr>
      </w:pPr>
      <w:r>
        <w:rPr>
          <w:sz w:val="21"/>
        </w:rPr>
        <w:t>Unrestricted</w:t>
      </w:r>
    </w:p>
    <w:p w:rsidR="00D16F46" w:rsidRDefault="00E0631C">
      <w:pPr>
        <w:spacing w:line="204" w:lineRule="exact"/>
        <w:ind w:left="1532"/>
        <w:rPr>
          <w:sz w:val="20"/>
        </w:rPr>
      </w:pPr>
      <w:r>
        <w:br w:type="column"/>
      </w:r>
      <w:r>
        <w:rPr>
          <w:sz w:val="20"/>
        </w:rPr>
        <w:t>Ceské vysoké učení technické v Praze, CIIRC</w:t>
      </w:r>
    </w:p>
    <w:p w:rsidR="00D16F46" w:rsidRDefault="00E0631C">
      <w:pPr>
        <w:spacing w:line="247" w:lineRule="auto"/>
        <w:ind w:left="1524" w:firstLine="5"/>
        <w:rPr>
          <w:sz w:val="19"/>
        </w:rPr>
      </w:pPr>
      <w:r>
        <w:rPr>
          <w:sz w:val="19"/>
        </w:rPr>
        <w:t>reditel Českého institutu informatiky, robotiky a kybernetiky CIIRC</w:t>
      </w:r>
    </w:p>
    <w:p w:rsidR="00D16F46" w:rsidRDefault="00D16F46">
      <w:pPr>
        <w:pStyle w:val="Zkladntext"/>
        <w:rPr>
          <w:sz w:val="20"/>
        </w:rPr>
      </w:pPr>
    </w:p>
    <w:p w:rsidR="00D16F46" w:rsidRDefault="00D16F46">
      <w:pPr>
        <w:pStyle w:val="Zkladntext"/>
        <w:spacing w:before="1"/>
        <w:rPr>
          <w:sz w:val="23"/>
        </w:rPr>
      </w:pPr>
    </w:p>
    <w:p w:rsidR="00D16F46" w:rsidRDefault="00E0631C">
      <w:pPr>
        <w:tabs>
          <w:tab w:val="left" w:pos="2643"/>
          <w:tab w:val="left" w:pos="4764"/>
        </w:tabs>
        <w:ind w:left="103"/>
        <w:rPr>
          <w:sz w:val="19"/>
        </w:rPr>
      </w:pPr>
      <w:r>
        <w:rPr>
          <w:color w:val="7769BF"/>
          <w:w w:val="90"/>
          <w:sz w:val="19"/>
        </w:rPr>
        <w:t>'*</w:t>
      </w:r>
      <w:r>
        <w:rPr>
          <w:color w:val="7769BF"/>
          <w:w w:val="90"/>
          <w:sz w:val="19"/>
        </w:rPr>
        <w:tab/>
      </w:r>
      <w:r>
        <w:rPr>
          <w:color w:val="83B5C3"/>
          <w:w w:val="75"/>
          <w:sz w:val="19"/>
        </w:rPr>
        <w:t xml:space="preserve">«'”.  </w:t>
      </w:r>
      <w:r>
        <w:rPr>
          <w:color w:val="83B5C3"/>
          <w:spacing w:val="9"/>
          <w:w w:val="75"/>
          <w:sz w:val="19"/>
        </w:rPr>
        <w:t xml:space="preserve"> </w:t>
      </w:r>
      <w:r>
        <w:rPr>
          <w:color w:val="7285A1"/>
          <w:w w:val="75"/>
          <w:sz w:val="19"/>
        </w:rPr>
        <w:t>,..</w:t>
      </w:r>
      <w:r>
        <w:rPr>
          <w:color w:val="7285A1"/>
          <w:spacing w:val="-24"/>
          <w:w w:val="75"/>
          <w:sz w:val="19"/>
        </w:rPr>
        <w:t xml:space="preserve"> </w:t>
      </w:r>
      <w:r>
        <w:rPr>
          <w:color w:val="B5C4F9"/>
          <w:w w:val="75"/>
          <w:sz w:val="19"/>
        </w:rPr>
        <w:t>›.</w:t>
      </w:r>
      <w:r>
        <w:rPr>
          <w:color w:val="B5C4F9"/>
          <w:w w:val="75"/>
          <w:sz w:val="19"/>
        </w:rPr>
        <w:tab/>
      </w:r>
      <w:r>
        <w:rPr>
          <w:color w:val="95A3C4"/>
          <w:w w:val="75"/>
          <w:sz w:val="19"/>
        </w:rPr>
        <w:t xml:space="preserve">'! </w:t>
      </w:r>
      <w:r>
        <w:rPr>
          <w:color w:val="3D577C"/>
          <w:w w:val="75"/>
          <w:sz w:val="19"/>
        </w:rPr>
        <w:t xml:space="preserve">' </w:t>
      </w:r>
      <w:r>
        <w:rPr>
          <w:color w:val="79A0CA"/>
          <w:w w:val="75"/>
          <w:sz w:val="19"/>
        </w:rPr>
        <w:t xml:space="preserve">' </w:t>
      </w:r>
      <w:r>
        <w:rPr>
          <w:color w:val="426782"/>
          <w:w w:val="75"/>
          <w:sz w:val="19"/>
        </w:rPr>
        <w:t>'</w:t>
      </w:r>
      <w:r>
        <w:rPr>
          <w:color w:val="426782"/>
          <w:spacing w:val="32"/>
          <w:w w:val="75"/>
          <w:sz w:val="19"/>
        </w:rPr>
        <w:t xml:space="preserve"> </w:t>
      </w:r>
      <w:r>
        <w:rPr>
          <w:color w:val="CCCCCC"/>
          <w:w w:val="90"/>
          <w:sz w:val="19"/>
        </w:rPr>
        <w:t>‘'</w:t>
      </w:r>
    </w:p>
    <w:p w:rsidR="00D16F46" w:rsidRDefault="00D16F46">
      <w:pPr>
        <w:pStyle w:val="Zkladntext"/>
        <w:rPr>
          <w:sz w:val="20"/>
        </w:rPr>
      </w:pPr>
    </w:p>
    <w:p w:rsidR="00D16F46" w:rsidRDefault="00D16F46">
      <w:pPr>
        <w:pStyle w:val="Zkladntext"/>
        <w:rPr>
          <w:sz w:val="20"/>
        </w:rPr>
      </w:pPr>
    </w:p>
    <w:p w:rsidR="00D16F46" w:rsidRDefault="00D16F46">
      <w:pPr>
        <w:pStyle w:val="Zkladntext"/>
        <w:rPr>
          <w:sz w:val="20"/>
        </w:rPr>
      </w:pPr>
    </w:p>
    <w:p w:rsidR="00D16F46" w:rsidRDefault="00D16F46">
      <w:pPr>
        <w:pStyle w:val="Zkladntext"/>
        <w:rPr>
          <w:sz w:val="20"/>
        </w:rPr>
      </w:pPr>
    </w:p>
    <w:p w:rsidR="00D16F46" w:rsidRDefault="00D16F46">
      <w:pPr>
        <w:pStyle w:val="Zkladntext"/>
        <w:rPr>
          <w:sz w:val="20"/>
        </w:rPr>
      </w:pPr>
    </w:p>
    <w:p w:rsidR="00D16F46" w:rsidRDefault="00D16F46">
      <w:pPr>
        <w:pStyle w:val="Zkladntext"/>
        <w:rPr>
          <w:sz w:val="20"/>
        </w:rPr>
      </w:pPr>
    </w:p>
    <w:p w:rsidR="00D16F46" w:rsidRDefault="00D16F46">
      <w:pPr>
        <w:pStyle w:val="Zkladntext"/>
        <w:spacing w:before="5"/>
        <w:rPr>
          <w:sz w:val="23"/>
        </w:rPr>
      </w:pPr>
    </w:p>
    <w:p w:rsidR="00D16F46" w:rsidRDefault="00E0631C">
      <w:pPr>
        <w:pStyle w:val="Zkladntext"/>
        <w:ind w:right="316"/>
        <w:jc w:val="right"/>
      </w:pPr>
      <w:r>
        <w:rPr>
          <w:w w:val="95"/>
        </w:rPr>
        <w:t>1/1</w:t>
      </w:r>
    </w:p>
    <w:sectPr w:rsidR="00D16F46">
      <w:type w:val="continuous"/>
      <w:pgSz w:w="11910" w:h="16840"/>
      <w:pgMar w:top="1580" w:right="1460" w:bottom="280" w:left="1200" w:header="708" w:footer="708" w:gutter="0"/>
      <w:cols w:num="2" w:space="708" w:equalWidth="0">
        <w:col w:w="3002" w:space="246"/>
        <w:col w:w="600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31C" w:rsidRDefault="00E0631C" w:rsidP="00C23205">
      <w:r>
        <w:separator/>
      </w:r>
    </w:p>
  </w:endnote>
  <w:endnote w:type="continuationSeparator" w:id="0">
    <w:p w:rsidR="00E0631C" w:rsidRDefault="00E0631C" w:rsidP="00C2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205" w:rsidRDefault="00C232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205" w:rsidRDefault="00C2320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205" w:rsidRDefault="00C232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31C" w:rsidRDefault="00E0631C" w:rsidP="00C23205">
      <w:r>
        <w:separator/>
      </w:r>
    </w:p>
  </w:footnote>
  <w:footnote w:type="continuationSeparator" w:id="0">
    <w:p w:rsidR="00E0631C" w:rsidRDefault="00E0631C" w:rsidP="00C23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205" w:rsidRDefault="00C232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205" w:rsidRDefault="00C2320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205" w:rsidRDefault="00C232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46"/>
    <w:rsid w:val="00290160"/>
    <w:rsid w:val="003B2F55"/>
    <w:rsid w:val="00C23205"/>
    <w:rsid w:val="00D16F46"/>
    <w:rsid w:val="00E0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92"/>
      <w:ind w:left="2856" w:right="2677"/>
      <w:jc w:val="center"/>
    </w:pPr>
    <w:rPr>
      <w:b/>
      <w:bCs/>
      <w:sz w:val="27"/>
      <w:szCs w:val="2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C232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3205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232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3205"/>
    <w:rPr>
      <w:rFonts w:ascii="Arial" w:eastAsia="Arial" w:hAnsi="Arial" w:cs="Arial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2019-07-18T20:57:00Z</dcterms:created>
  <dcterms:modified xsi:type="dcterms:W3CDTF">2019-07-18T20:57:00Z</dcterms:modified>
</cp:coreProperties>
</file>