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9D5" w:rsidRPr="008456CB" w:rsidRDefault="00BE59D5" w:rsidP="00BE59D5">
      <w:pPr>
        <w:pStyle w:val="Nzev"/>
      </w:pPr>
      <w:r w:rsidRPr="008456CB">
        <w:t>Aktualizace jednotného datového úložiště REZZO</w:t>
      </w:r>
      <w:bookmarkStart w:id="0" w:name="_GoBack"/>
      <w:bookmarkEnd w:id="0"/>
      <w:r w:rsidRPr="008456CB">
        <w:t xml:space="preserve"> hl. m. Prahy 201</w:t>
      </w:r>
      <w:r w:rsidR="00B91338">
        <w:t>9</w:t>
      </w:r>
      <w:r w:rsidRPr="008456CB">
        <w:t xml:space="preserve"> - 20</w:t>
      </w:r>
      <w:r w:rsidR="00B91338">
        <w:t>21</w:t>
      </w:r>
    </w:p>
    <w:p w:rsidR="00BE59D5" w:rsidRPr="008456CB" w:rsidRDefault="00BE59D5" w:rsidP="00BE59D5">
      <w:pPr>
        <w:pStyle w:val="Nzev2"/>
      </w:pPr>
      <w:r w:rsidRPr="008456CB">
        <w:t>Technická specifikace zakázky</w:t>
      </w:r>
    </w:p>
    <w:p w:rsidR="00BE59D5" w:rsidRDefault="00BE59D5" w:rsidP="00BE59D5">
      <w:pPr>
        <w:pStyle w:val="Nadpis1"/>
      </w:pPr>
      <w:r>
        <w:t>Cíle zakázky</w:t>
      </w:r>
    </w:p>
    <w:p w:rsidR="00BE59D5" w:rsidRPr="00315170" w:rsidRDefault="00BE59D5" w:rsidP="00BE59D5">
      <w:r w:rsidRPr="00315170">
        <w:t>Cílem zakázky je zajištění aktualizace jednotného datového úložiště REZZO hl. m. Prahy v letech 201</w:t>
      </w:r>
      <w:r w:rsidR="00367BD6">
        <w:t>9</w:t>
      </w:r>
      <w:r w:rsidRPr="00315170">
        <w:t>, 20</w:t>
      </w:r>
      <w:r w:rsidR="00367BD6">
        <w:t>20</w:t>
      </w:r>
      <w:r w:rsidRPr="00315170">
        <w:t xml:space="preserve"> a 20</w:t>
      </w:r>
      <w:r w:rsidR="00367BD6">
        <w:t>21.</w:t>
      </w:r>
    </w:p>
    <w:p w:rsidR="00BE59D5" w:rsidRPr="00315170" w:rsidRDefault="00BE59D5" w:rsidP="00BE59D5">
      <w:r w:rsidRPr="00315170">
        <w:t>Předmět plnění zakázky v každém z řešených roků zahrnuje činnosti související s přípravou datových vstupů do jednotného datového úložiště REZZO hl. m. Prahy (dále DB REZZO) aktualizací dat a datových struktur a standardních výstupů DB REZZO a vyhodnocením aktualizovaných dat a z toho plynoucích trendů.</w:t>
      </w:r>
    </w:p>
    <w:p w:rsidR="00BE59D5" w:rsidRPr="003D7477" w:rsidRDefault="00BE59D5" w:rsidP="00BE59D5">
      <w:r w:rsidRPr="003D7477">
        <w:t>Zpracování datových struktur bude vedeno</w:t>
      </w:r>
      <w:r w:rsidR="009D2861">
        <w:t xml:space="preserve"> </w:t>
      </w:r>
      <w:r w:rsidRPr="003D7477">
        <w:t>dle zákona 201/2012 Sb., o ochraně ovzduší.  Stacionární zdroje budou vedeny v kategoriích stacionární zdroje vyjmenované (s členěním do bilančních skupin zdrojů) a stacionární zdroje nevyjmenované viz přílohy č. 2 k</w:t>
      </w:r>
      <w:r>
        <w:t> </w:t>
      </w:r>
      <w:r w:rsidRPr="003D7477">
        <w:t>zákonu č. 201/2012 Sb., o ochraně ovzduší.</w:t>
      </w:r>
      <w:r>
        <w:t xml:space="preserve"> </w:t>
      </w:r>
      <w:r w:rsidRPr="003D7477">
        <w:t xml:space="preserve"> Zdroje vyjmenované budou obsahovat atribut pro jejich možné členění na původní kategorie REZZO1 a REZZO2 podle vzoru ČHMÚ (tzn., bude uvedeno, zda pro zdroj platí povinnost úplného ohlášení SPE nebo zdroj využívá zjednodušené ohlášení).</w:t>
      </w:r>
    </w:p>
    <w:p w:rsidR="00BE59D5" w:rsidRPr="008456CB" w:rsidRDefault="00BE59D5" w:rsidP="00BE59D5">
      <w:pPr>
        <w:pStyle w:val="Nadpis1"/>
      </w:pPr>
      <w:r w:rsidRPr="008456CB">
        <w:t>Přehled správců zdrojových dat potřebných pro aktualizaci</w:t>
      </w:r>
    </w:p>
    <w:p w:rsidR="00BE59D5" w:rsidRPr="008456CB" w:rsidRDefault="00BE59D5" w:rsidP="00BE59D5">
      <w:pPr>
        <w:pStyle w:val="Nadpistabulky"/>
      </w:pPr>
      <w:r w:rsidRPr="008456CB">
        <w:t xml:space="preserve">Majoritní správci dat, </w:t>
      </w:r>
      <w:r>
        <w:t>pro</w:t>
      </w:r>
      <w:r w:rsidRPr="008456CB">
        <w:t xml:space="preserve"> zajištění aktualizace údajů o stacionárních zdrojích znečišťování ovzduší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682"/>
        <w:gridCol w:w="5122"/>
      </w:tblGrid>
      <w:tr w:rsidR="00BE59D5" w:rsidRPr="008456CB" w:rsidTr="003D7477">
        <w:tc>
          <w:tcPr>
            <w:tcW w:w="2268" w:type="dxa"/>
            <w:vAlign w:val="center"/>
          </w:tcPr>
          <w:p w:rsidR="00BE59D5" w:rsidRPr="008456CB" w:rsidRDefault="00BE59D5" w:rsidP="003D7477">
            <w:pPr>
              <w:pStyle w:val="Zkladntext"/>
              <w:spacing w:before="0"/>
              <w:ind w:firstLine="0"/>
              <w:jc w:val="center"/>
              <w:rPr>
                <w:rFonts w:ascii="Calibri" w:hAnsi="Calibri"/>
                <w:b/>
                <w:sz w:val="20"/>
              </w:rPr>
            </w:pPr>
            <w:r w:rsidRPr="008456CB">
              <w:rPr>
                <w:rFonts w:ascii="Calibri" w:hAnsi="Calibri"/>
                <w:b/>
                <w:sz w:val="20"/>
              </w:rPr>
              <w:t>Správce dat</w:t>
            </w:r>
          </w:p>
        </w:tc>
        <w:tc>
          <w:tcPr>
            <w:tcW w:w="1682" w:type="dxa"/>
            <w:vAlign w:val="center"/>
          </w:tcPr>
          <w:p w:rsidR="00BE59D5" w:rsidRPr="008456CB" w:rsidRDefault="00BE59D5" w:rsidP="003D7477">
            <w:pPr>
              <w:pStyle w:val="Zkladntext"/>
              <w:spacing w:before="0"/>
              <w:ind w:firstLine="6"/>
              <w:jc w:val="center"/>
              <w:rPr>
                <w:rFonts w:ascii="Calibri" w:hAnsi="Calibri"/>
                <w:b/>
                <w:sz w:val="20"/>
              </w:rPr>
            </w:pPr>
            <w:r w:rsidRPr="008456CB">
              <w:rPr>
                <w:rFonts w:ascii="Calibri" w:hAnsi="Calibri"/>
                <w:b/>
                <w:sz w:val="20"/>
              </w:rPr>
              <w:t>Adresa</w:t>
            </w:r>
          </w:p>
        </w:tc>
        <w:tc>
          <w:tcPr>
            <w:tcW w:w="5122" w:type="dxa"/>
            <w:vAlign w:val="center"/>
          </w:tcPr>
          <w:p w:rsidR="00BE59D5" w:rsidRPr="008456CB" w:rsidRDefault="00BE59D5" w:rsidP="003D7477">
            <w:pPr>
              <w:pStyle w:val="Zkladntext"/>
              <w:spacing w:before="0"/>
              <w:ind w:firstLine="0"/>
              <w:jc w:val="center"/>
              <w:rPr>
                <w:rFonts w:ascii="Calibri" w:hAnsi="Calibri"/>
                <w:b/>
                <w:sz w:val="20"/>
              </w:rPr>
            </w:pPr>
            <w:r w:rsidRPr="008456CB">
              <w:rPr>
                <w:rFonts w:ascii="Calibri" w:hAnsi="Calibri"/>
                <w:b/>
                <w:sz w:val="20"/>
              </w:rPr>
              <w:t>Rozsah spravovaných údajů</w:t>
            </w:r>
          </w:p>
        </w:tc>
      </w:tr>
      <w:tr w:rsidR="00BE59D5" w:rsidRPr="008456CB" w:rsidTr="003D7477">
        <w:tc>
          <w:tcPr>
            <w:tcW w:w="2268" w:type="dxa"/>
            <w:vAlign w:val="center"/>
          </w:tcPr>
          <w:p w:rsidR="00BE59D5" w:rsidRPr="008456CB" w:rsidRDefault="00BE59D5" w:rsidP="003D7477">
            <w:pPr>
              <w:pStyle w:val="Zkladntext"/>
              <w:spacing w:before="0"/>
              <w:ind w:firstLine="0"/>
              <w:jc w:val="center"/>
              <w:rPr>
                <w:rFonts w:ascii="Calibri" w:hAnsi="Calibri"/>
                <w:sz w:val="20"/>
              </w:rPr>
            </w:pPr>
            <w:r w:rsidRPr="008456CB">
              <w:rPr>
                <w:rFonts w:ascii="Calibri" w:hAnsi="Calibri"/>
                <w:sz w:val="20"/>
              </w:rPr>
              <w:t>Český hydrometeorologický ústav (ČHMÚ)</w:t>
            </w:r>
          </w:p>
        </w:tc>
        <w:tc>
          <w:tcPr>
            <w:tcW w:w="1682" w:type="dxa"/>
            <w:vAlign w:val="center"/>
          </w:tcPr>
          <w:p w:rsidR="00BE59D5" w:rsidRPr="008456CB" w:rsidRDefault="00BE59D5" w:rsidP="003D7477">
            <w:pPr>
              <w:pStyle w:val="Zkladntext"/>
              <w:spacing w:before="0"/>
              <w:ind w:firstLine="6"/>
              <w:jc w:val="center"/>
              <w:rPr>
                <w:rFonts w:ascii="Calibri" w:hAnsi="Calibri"/>
                <w:sz w:val="20"/>
              </w:rPr>
            </w:pPr>
            <w:r w:rsidRPr="008456CB">
              <w:rPr>
                <w:rFonts w:ascii="Calibri" w:hAnsi="Calibri"/>
                <w:sz w:val="20"/>
              </w:rPr>
              <w:t xml:space="preserve">Na </w:t>
            </w:r>
            <w:proofErr w:type="spellStart"/>
            <w:r w:rsidRPr="008456CB">
              <w:rPr>
                <w:rFonts w:ascii="Calibri" w:hAnsi="Calibri"/>
                <w:sz w:val="20"/>
              </w:rPr>
              <w:t>Šabatce</w:t>
            </w:r>
            <w:proofErr w:type="spellEnd"/>
            <w:r w:rsidRPr="008456CB">
              <w:rPr>
                <w:rFonts w:ascii="Calibri" w:hAnsi="Calibri"/>
                <w:sz w:val="20"/>
              </w:rPr>
              <w:t xml:space="preserve"> 17,</w:t>
            </w:r>
          </w:p>
          <w:p w:rsidR="00BE59D5" w:rsidRPr="008456CB" w:rsidRDefault="00BE59D5" w:rsidP="003D7477">
            <w:pPr>
              <w:pStyle w:val="Zkladntext"/>
              <w:spacing w:before="0"/>
              <w:ind w:firstLine="6"/>
              <w:jc w:val="center"/>
              <w:rPr>
                <w:rFonts w:ascii="Calibri" w:hAnsi="Calibri"/>
                <w:sz w:val="20"/>
              </w:rPr>
            </w:pPr>
            <w:r w:rsidRPr="008456CB">
              <w:rPr>
                <w:rFonts w:ascii="Calibri" w:hAnsi="Calibri"/>
                <w:sz w:val="20"/>
              </w:rPr>
              <w:t>143 06 Praha 12</w:t>
            </w:r>
          </w:p>
        </w:tc>
        <w:tc>
          <w:tcPr>
            <w:tcW w:w="5122" w:type="dxa"/>
            <w:vAlign w:val="center"/>
          </w:tcPr>
          <w:p w:rsidR="00BE59D5" w:rsidRPr="008456CB" w:rsidRDefault="00BE59D5" w:rsidP="003D7477">
            <w:pPr>
              <w:pStyle w:val="Zkladntext"/>
              <w:spacing w:before="0"/>
              <w:ind w:firstLine="0"/>
              <w:jc w:val="left"/>
              <w:rPr>
                <w:rFonts w:ascii="Calibri" w:hAnsi="Calibri"/>
                <w:sz w:val="20"/>
              </w:rPr>
            </w:pPr>
            <w:r w:rsidRPr="003D7477">
              <w:rPr>
                <w:rFonts w:ascii="Calibri" w:hAnsi="Calibri"/>
                <w:b/>
                <w:sz w:val="20"/>
              </w:rPr>
              <w:t xml:space="preserve">Stacionární zdroje vyjmenované </w:t>
            </w:r>
            <w:r w:rsidRPr="008456CB">
              <w:rPr>
                <w:rFonts w:ascii="Calibri" w:hAnsi="Calibri"/>
                <w:sz w:val="20"/>
              </w:rPr>
              <w:t>– typizované sestavy SPE (kompletní sestava souhrnné provozní evidence), KLIENT (pouze vybrané položky) a SYMOS (emisní bilance na jednotlivé komíny-průduchy pro účely modelování). Průměrné kvalitativní znaky tuhých paliv (skladba, výhřevnost, sirnatost, popelnatost) spalovaných v daném roce v jednotlivých kategoriích odběratelů (TEKO Praha).</w:t>
            </w:r>
          </w:p>
          <w:p w:rsidR="00BE59D5" w:rsidRPr="003D7477" w:rsidRDefault="00BE59D5" w:rsidP="003D7477">
            <w:pPr>
              <w:pStyle w:val="Zkladntext"/>
              <w:spacing w:before="0"/>
              <w:ind w:firstLine="0"/>
              <w:jc w:val="left"/>
              <w:rPr>
                <w:rFonts w:ascii="Calibri" w:hAnsi="Calibri"/>
                <w:sz w:val="20"/>
              </w:rPr>
            </w:pPr>
            <w:r w:rsidRPr="003D7477">
              <w:rPr>
                <w:rFonts w:ascii="Calibri" w:hAnsi="Calibri"/>
                <w:b/>
                <w:sz w:val="20"/>
              </w:rPr>
              <w:t>Stacionární zdroje nevyjmenované</w:t>
            </w:r>
            <w:r w:rsidRPr="003D7477">
              <w:rPr>
                <w:rFonts w:ascii="Calibri" w:hAnsi="Calibri"/>
                <w:sz w:val="20"/>
              </w:rPr>
              <w:t xml:space="preserve"> – TEKO Praha, chovy zvířat, stavební práce, polní operace, použití rozpouštědel.</w:t>
            </w:r>
          </w:p>
        </w:tc>
      </w:tr>
      <w:tr w:rsidR="00BE59D5" w:rsidRPr="008456CB" w:rsidTr="003D7477">
        <w:tc>
          <w:tcPr>
            <w:tcW w:w="2268" w:type="dxa"/>
            <w:vAlign w:val="center"/>
          </w:tcPr>
          <w:p w:rsidR="00BE59D5" w:rsidRPr="008456CB" w:rsidRDefault="00BE59D5" w:rsidP="003D7477">
            <w:pPr>
              <w:pStyle w:val="Zkladntext"/>
              <w:spacing w:before="0"/>
              <w:ind w:firstLine="0"/>
              <w:jc w:val="center"/>
              <w:rPr>
                <w:rFonts w:ascii="Calibri" w:hAnsi="Calibri"/>
                <w:sz w:val="20"/>
              </w:rPr>
            </w:pPr>
            <w:r w:rsidRPr="003D7477">
              <w:rPr>
                <w:rFonts w:ascii="Calibri" w:hAnsi="Calibri"/>
                <w:sz w:val="20"/>
              </w:rPr>
              <w:t>Institut plánování a</w:t>
            </w:r>
            <w:r w:rsidRPr="005F1536">
              <w:rPr>
                <w:rFonts w:ascii="Calibri" w:hAnsi="Calibri"/>
                <w:sz w:val="20"/>
              </w:rPr>
              <w:t xml:space="preserve"> </w:t>
            </w:r>
            <w:r>
              <w:rPr>
                <w:rFonts w:ascii="Calibri" w:hAnsi="Calibri"/>
                <w:sz w:val="20"/>
              </w:rPr>
              <w:t>r</w:t>
            </w:r>
            <w:r w:rsidRPr="005F1536">
              <w:rPr>
                <w:rFonts w:ascii="Calibri" w:hAnsi="Calibri"/>
                <w:sz w:val="20"/>
              </w:rPr>
              <w:t>ozvoje hl. m. Prahy (</w:t>
            </w:r>
            <w:r w:rsidRPr="003D7477">
              <w:rPr>
                <w:rFonts w:ascii="Calibri" w:hAnsi="Calibri"/>
                <w:sz w:val="20"/>
              </w:rPr>
              <w:t>IPR</w:t>
            </w:r>
            <w:r w:rsidRPr="005F1536">
              <w:rPr>
                <w:rFonts w:ascii="Calibri" w:hAnsi="Calibri"/>
                <w:sz w:val="20"/>
              </w:rPr>
              <w:t>)</w:t>
            </w:r>
          </w:p>
        </w:tc>
        <w:tc>
          <w:tcPr>
            <w:tcW w:w="1682" w:type="dxa"/>
            <w:vAlign w:val="center"/>
          </w:tcPr>
          <w:p w:rsidR="00BE59D5" w:rsidRPr="008456CB" w:rsidRDefault="00BE59D5" w:rsidP="003D7477">
            <w:pPr>
              <w:pStyle w:val="Zkladntext"/>
              <w:spacing w:before="0"/>
              <w:ind w:firstLine="3"/>
              <w:jc w:val="center"/>
              <w:rPr>
                <w:rFonts w:ascii="Calibri" w:hAnsi="Calibri"/>
                <w:sz w:val="20"/>
              </w:rPr>
            </w:pPr>
            <w:r w:rsidRPr="008456CB">
              <w:rPr>
                <w:rFonts w:ascii="Calibri" w:hAnsi="Calibri"/>
                <w:sz w:val="20"/>
              </w:rPr>
              <w:t>Vyšehradská 57,</w:t>
            </w:r>
          </w:p>
          <w:p w:rsidR="00BE59D5" w:rsidRPr="008456CB" w:rsidRDefault="00BE59D5" w:rsidP="003D7477">
            <w:pPr>
              <w:pStyle w:val="Zkladntext"/>
              <w:spacing w:before="0"/>
              <w:ind w:firstLine="3"/>
              <w:jc w:val="center"/>
              <w:rPr>
                <w:rFonts w:ascii="Calibri" w:hAnsi="Calibri"/>
                <w:sz w:val="20"/>
              </w:rPr>
            </w:pPr>
            <w:r w:rsidRPr="008456CB">
              <w:rPr>
                <w:rFonts w:ascii="Calibri" w:hAnsi="Calibri"/>
                <w:sz w:val="20"/>
              </w:rPr>
              <w:t>128 00 Praha 2</w:t>
            </w:r>
          </w:p>
        </w:tc>
        <w:tc>
          <w:tcPr>
            <w:tcW w:w="5122" w:type="dxa"/>
            <w:vAlign w:val="center"/>
          </w:tcPr>
          <w:p w:rsidR="00BE59D5" w:rsidRPr="008456CB" w:rsidRDefault="00BE59D5" w:rsidP="003D7477">
            <w:pPr>
              <w:pStyle w:val="Zkladntext"/>
              <w:spacing w:before="0"/>
              <w:ind w:firstLine="0"/>
              <w:jc w:val="left"/>
              <w:rPr>
                <w:rFonts w:ascii="Calibri" w:hAnsi="Calibri"/>
                <w:sz w:val="20"/>
              </w:rPr>
            </w:pPr>
            <w:r w:rsidRPr="008456CB">
              <w:rPr>
                <w:rFonts w:ascii="Calibri" w:hAnsi="Calibri"/>
                <w:sz w:val="20"/>
              </w:rPr>
              <w:t xml:space="preserve">Malé zpoplatněné podnikatelské zdroje znečišťování ovzduší – kategorie </w:t>
            </w:r>
            <w:r>
              <w:rPr>
                <w:rFonts w:ascii="Calibri" w:hAnsi="Calibri"/>
                <w:b/>
                <w:sz w:val="20"/>
              </w:rPr>
              <w:t xml:space="preserve">stacionární zdroje nevyjmenované </w:t>
            </w:r>
            <w:r w:rsidRPr="008456CB">
              <w:rPr>
                <w:rFonts w:ascii="Calibri" w:hAnsi="Calibri"/>
                <w:sz w:val="20"/>
              </w:rPr>
              <w:t xml:space="preserve">– parciální aktualizace zdrojů z poplatkových agend městských částí v rámci řešení energetických studií </w:t>
            </w:r>
          </w:p>
        </w:tc>
      </w:tr>
      <w:tr w:rsidR="00BE59D5" w:rsidRPr="008456CB" w:rsidTr="003D7477">
        <w:tc>
          <w:tcPr>
            <w:tcW w:w="2268" w:type="dxa"/>
            <w:vAlign w:val="center"/>
          </w:tcPr>
          <w:p w:rsidR="00BE59D5" w:rsidRPr="008456CB" w:rsidRDefault="00BE59D5" w:rsidP="003D7477">
            <w:pPr>
              <w:pStyle w:val="Zkladntext"/>
              <w:spacing w:before="0"/>
              <w:ind w:firstLine="0"/>
              <w:jc w:val="center"/>
              <w:rPr>
                <w:rFonts w:ascii="Calibri" w:hAnsi="Calibri"/>
                <w:sz w:val="20"/>
              </w:rPr>
            </w:pPr>
            <w:r w:rsidRPr="008456CB">
              <w:rPr>
                <w:rFonts w:ascii="Calibri" w:hAnsi="Calibri"/>
                <w:sz w:val="20"/>
              </w:rPr>
              <w:t>Český statistický úřad (ČSÚ)</w:t>
            </w:r>
          </w:p>
        </w:tc>
        <w:tc>
          <w:tcPr>
            <w:tcW w:w="1682" w:type="dxa"/>
            <w:vAlign w:val="center"/>
          </w:tcPr>
          <w:p w:rsidR="00BE59D5" w:rsidRPr="008456CB" w:rsidRDefault="00A30311" w:rsidP="003D7477">
            <w:pPr>
              <w:pStyle w:val="Zkladntext"/>
              <w:spacing w:before="0"/>
              <w:ind w:firstLine="3"/>
              <w:jc w:val="center"/>
              <w:rPr>
                <w:rFonts w:ascii="Calibri" w:hAnsi="Calibri"/>
                <w:sz w:val="20"/>
              </w:rPr>
            </w:pPr>
            <w:r>
              <w:rPr>
                <w:rFonts w:ascii="Calibri" w:hAnsi="Calibri"/>
                <w:sz w:val="20"/>
              </w:rPr>
              <w:t>Na P</w:t>
            </w:r>
            <w:r w:rsidR="00BE59D5" w:rsidRPr="008456CB">
              <w:rPr>
                <w:rFonts w:ascii="Calibri" w:hAnsi="Calibri"/>
                <w:sz w:val="20"/>
              </w:rPr>
              <w:t>adesátém 81, 100 82 Praha 10</w:t>
            </w:r>
          </w:p>
        </w:tc>
        <w:tc>
          <w:tcPr>
            <w:tcW w:w="5122" w:type="dxa"/>
            <w:vAlign w:val="center"/>
          </w:tcPr>
          <w:p w:rsidR="00BE59D5" w:rsidRPr="008456CB" w:rsidRDefault="00BE59D5" w:rsidP="003D7477">
            <w:pPr>
              <w:pStyle w:val="Zkladntext"/>
              <w:spacing w:before="0"/>
              <w:ind w:firstLine="0"/>
              <w:jc w:val="left"/>
              <w:rPr>
                <w:rFonts w:ascii="Calibri" w:hAnsi="Calibri"/>
                <w:sz w:val="20"/>
              </w:rPr>
            </w:pPr>
            <w:r w:rsidRPr="008456CB">
              <w:rPr>
                <w:rFonts w:ascii="Calibri" w:hAnsi="Calibri"/>
                <w:sz w:val="20"/>
              </w:rPr>
              <w:t>Výsledky SLDB 2011 v hl. m. Praze – Trvale bydlící osoby, trvale obydlené domy a byty v členění dle ZSJ.</w:t>
            </w:r>
          </w:p>
        </w:tc>
      </w:tr>
      <w:tr w:rsidR="00BE59D5" w:rsidRPr="008456CB" w:rsidTr="003D7477">
        <w:trPr>
          <w:cantSplit/>
        </w:trPr>
        <w:tc>
          <w:tcPr>
            <w:tcW w:w="2268" w:type="dxa"/>
            <w:vAlign w:val="center"/>
          </w:tcPr>
          <w:p w:rsidR="00BE59D5" w:rsidRPr="008456CB" w:rsidRDefault="00BE59D5" w:rsidP="003D7477">
            <w:pPr>
              <w:pStyle w:val="Zkladntext"/>
              <w:spacing w:before="0"/>
              <w:ind w:firstLine="0"/>
              <w:jc w:val="center"/>
              <w:rPr>
                <w:rFonts w:ascii="Calibri" w:hAnsi="Calibri"/>
                <w:sz w:val="20"/>
              </w:rPr>
            </w:pPr>
            <w:r w:rsidRPr="008456CB">
              <w:rPr>
                <w:rFonts w:ascii="Calibri" w:hAnsi="Calibri"/>
                <w:sz w:val="20"/>
              </w:rPr>
              <w:t>Pražská plynárenská, a.s. (PP, a.s.)</w:t>
            </w:r>
          </w:p>
        </w:tc>
        <w:tc>
          <w:tcPr>
            <w:tcW w:w="1682" w:type="dxa"/>
            <w:vAlign w:val="center"/>
          </w:tcPr>
          <w:p w:rsidR="00BE59D5" w:rsidRPr="008456CB" w:rsidRDefault="00A30311" w:rsidP="003D7477">
            <w:pPr>
              <w:pStyle w:val="Zkladntext"/>
              <w:spacing w:before="0"/>
              <w:ind w:firstLine="3"/>
              <w:jc w:val="center"/>
              <w:rPr>
                <w:rFonts w:ascii="Calibri" w:hAnsi="Calibri"/>
                <w:sz w:val="20"/>
              </w:rPr>
            </w:pPr>
            <w:r>
              <w:rPr>
                <w:rFonts w:ascii="Calibri" w:hAnsi="Calibri"/>
                <w:sz w:val="20"/>
              </w:rPr>
              <w:t>U P</w:t>
            </w:r>
            <w:r w:rsidR="00BE59D5" w:rsidRPr="008456CB">
              <w:rPr>
                <w:rFonts w:ascii="Calibri" w:hAnsi="Calibri"/>
                <w:sz w:val="20"/>
              </w:rPr>
              <w:t>lynárny 500,</w:t>
            </w:r>
          </w:p>
          <w:p w:rsidR="00BE59D5" w:rsidRPr="008456CB" w:rsidRDefault="00A30311" w:rsidP="003D7477">
            <w:pPr>
              <w:pStyle w:val="Zkladntext"/>
              <w:spacing w:before="0"/>
              <w:ind w:firstLine="3"/>
              <w:jc w:val="center"/>
              <w:rPr>
                <w:rFonts w:ascii="Calibri" w:hAnsi="Calibri"/>
                <w:sz w:val="20"/>
              </w:rPr>
            </w:pPr>
            <w:r>
              <w:rPr>
                <w:rFonts w:ascii="Calibri" w:hAnsi="Calibri"/>
                <w:sz w:val="20"/>
              </w:rPr>
              <w:t>145 08</w:t>
            </w:r>
            <w:r w:rsidR="00BE59D5" w:rsidRPr="008456CB">
              <w:rPr>
                <w:rFonts w:ascii="Calibri" w:hAnsi="Calibri"/>
                <w:sz w:val="20"/>
              </w:rPr>
              <w:t xml:space="preserve"> Praha 4</w:t>
            </w:r>
          </w:p>
        </w:tc>
        <w:tc>
          <w:tcPr>
            <w:tcW w:w="5122" w:type="dxa"/>
            <w:shd w:val="clear" w:color="auto" w:fill="auto"/>
            <w:vAlign w:val="center"/>
          </w:tcPr>
          <w:p w:rsidR="00BE59D5" w:rsidRPr="008456CB" w:rsidRDefault="00BE59D5" w:rsidP="003D7477">
            <w:pPr>
              <w:pStyle w:val="Zkladntext"/>
              <w:spacing w:before="0"/>
              <w:ind w:firstLine="0"/>
              <w:jc w:val="left"/>
              <w:rPr>
                <w:rFonts w:ascii="Calibri" w:hAnsi="Calibri"/>
                <w:sz w:val="20"/>
              </w:rPr>
            </w:pPr>
            <w:r w:rsidRPr="008456CB">
              <w:rPr>
                <w:rFonts w:ascii="Calibri" w:hAnsi="Calibri"/>
                <w:sz w:val="20"/>
              </w:rPr>
              <w:t>Měřená roční dodávka zemního plynu (m</w:t>
            </w:r>
            <w:r w:rsidRPr="008456CB">
              <w:rPr>
                <w:rFonts w:ascii="Calibri" w:hAnsi="Calibri"/>
                <w:sz w:val="20"/>
                <w:vertAlign w:val="superscript"/>
              </w:rPr>
              <w:t>3</w:t>
            </w:r>
            <w:r w:rsidRPr="008456CB">
              <w:rPr>
                <w:rFonts w:ascii="Calibri" w:hAnsi="Calibri"/>
                <w:sz w:val="20"/>
              </w:rPr>
              <w:t>, kWh) v kategorii maloodběr a domácnosti.</w:t>
            </w:r>
            <w:r>
              <w:rPr>
                <w:rFonts w:ascii="Calibri" w:hAnsi="Calibri"/>
                <w:sz w:val="20"/>
              </w:rPr>
              <w:t xml:space="preserve"> </w:t>
            </w:r>
            <w:r w:rsidRPr="003D7477">
              <w:rPr>
                <w:rFonts w:ascii="Calibri" w:hAnsi="Calibri"/>
                <w:sz w:val="20"/>
              </w:rPr>
              <w:t>Denní průběhy dodávek.</w:t>
            </w:r>
          </w:p>
        </w:tc>
      </w:tr>
      <w:tr w:rsidR="00BE59D5" w:rsidRPr="008456CB" w:rsidTr="003D7477">
        <w:trPr>
          <w:cantSplit/>
        </w:trPr>
        <w:tc>
          <w:tcPr>
            <w:tcW w:w="2268" w:type="dxa"/>
            <w:vAlign w:val="center"/>
          </w:tcPr>
          <w:p w:rsidR="00BE59D5" w:rsidRPr="008456CB" w:rsidRDefault="00BE59D5" w:rsidP="003D7477">
            <w:pPr>
              <w:pStyle w:val="Zkladntext"/>
              <w:spacing w:before="0"/>
              <w:ind w:firstLine="0"/>
              <w:jc w:val="center"/>
              <w:rPr>
                <w:rFonts w:ascii="Calibri" w:hAnsi="Calibri"/>
                <w:sz w:val="20"/>
              </w:rPr>
            </w:pPr>
            <w:r w:rsidRPr="008456CB">
              <w:rPr>
                <w:rFonts w:ascii="Calibri" w:hAnsi="Calibri"/>
                <w:sz w:val="20"/>
              </w:rPr>
              <w:t>Pražská teplárenská, a.s. (PT, a.s.)</w:t>
            </w:r>
          </w:p>
        </w:tc>
        <w:tc>
          <w:tcPr>
            <w:tcW w:w="1682" w:type="dxa"/>
            <w:vAlign w:val="center"/>
          </w:tcPr>
          <w:p w:rsidR="00BE59D5" w:rsidRPr="008456CB" w:rsidRDefault="00BE59D5" w:rsidP="003D7477">
            <w:pPr>
              <w:pStyle w:val="Zkladntext"/>
              <w:spacing w:before="0"/>
              <w:ind w:firstLine="3"/>
              <w:jc w:val="center"/>
              <w:rPr>
                <w:rFonts w:ascii="Calibri" w:hAnsi="Calibri"/>
                <w:sz w:val="20"/>
              </w:rPr>
            </w:pPr>
            <w:r w:rsidRPr="008456CB">
              <w:rPr>
                <w:rFonts w:ascii="Calibri" w:hAnsi="Calibri"/>
                <w:sz w:val="20"/>
              </w:rPr>
              <w:t>Partyzánská 7,</w:t>
            </w:r>
          </w:p>
          <w:p w:rsidR="00BE59D5" w:rsidRPr="008456CB" w:rsidRDefault="00BE59D5" w:rsidP="003D7477">
            <w:pPr>
              <w:pStyle w:val="Zkladntext"/>
              <w:spacing w:before="0"/>
              <w:ind w:firstLine="3"/>
              <w:jc w:val="center"/>
              <w:rPr>
                <w:rFonts w:ascii="Calibri" w:hAnsi="Calibri"/>
                <w:sz w:val="20"/>
              </w:rPr>
            </w:pPr>
            <w:r w:rsidRPr="008456CB">
              <w:rPr>
                <w:rFonts w:ascii="Calibri" w:hAnsi="Calibri"/>
                <w:sz w:val="20"/>
              </w:rPr>
              <w:t>170 00 Praha 7</w:t>
            </w:r>
          </w:p>
        </w:tc>
        <w:tc>
          <w:tcPr>
            <w:tcW w:w="5122" w:type="dxa"/>
            <w:shd w:val="clear" w:color="auto" w:fill="auto"/>
            <w:vAlign w:val="center"/>
          </w:tcPr>
          <w:p w:rsidR="00BE59D5" w:rsidRPr="008456CB" w:rsidRDefault="00BE59D5" w:rsidP="003D7477">
            <w:pPr>
              <w:pStyle w:val="Zkladntext"/>
              <w:spacing w:before="0"/>
              <w:ind w:firstLine="0"/>
              <w:jc w:val="left"/>
              <w:rPr>
                <w:rFonts w:ascii="Calibri" w:hAnsi="Calibri"/>
                <w:sz w:val="20"/>
              </w:rPr>
            </w:pPr>
            <w:r w:rsidRPr="008456CB">
              <w:rPr>
                <w:rFonts w:ascii="Calibri" w:hAnsi="Calibri"/>
                <w:sz w:val="20"/>
              </w:rPr>
              <w:t>Denostupně pro přepočet bilancí na srovnatelné klimatické podmínky (v případě datové základny z různých let).</w:t>
            </w:r>
            <w:r>
              <w:rPr>
                <w:rFonts w:ascii="Calibri" w:hAnsi="Calibri"/>
                <w:sz w:val="20"/>
              </w:rPr>
              <w:t xml:space="preserve"> </w:t>
            </w:r>
            <w:r w:rsidRPr="003D7477">
              <w:rPr>
                <w:rFonts w:ascii="Calibri" w:hAnsi="Calibri"/>
                <w:sz w:val="20"/>
              </w:rPr>
              <w:t>Hodinové spotřeby paliva.</w:t>
            </w:r>
          </w:p>
        </w:tc>
      </w:tr>
      <w:tr w:rsidR="00BA7732" w:rsidRPr="008456CB" w:rsidTr="003D7477">
        <w:trPr>
          <w:cantSplit/>
        </w:trPr>
        <w:tc>
          <w:tcPr>
            <w:tcW w:w="2268" w:type="dxa"/>
            <w:vAlign w:val="center"/>
          </w:tcPr>
          <w:p w:rsidR="00BA7732" w:rsidRPr="008456CB" w:rsidRDefault="00BA7732" w:rsidP="003D7477">
            <w:pPr>
              <w:pStyle w:val="Zkladntext"/>
              <w:spacing w:before="0"/>
              <w:ind w:firstLine="0"/>
              <w:jc w:val="center"/>
              <w:rPr>
                <w:rFonts w:ascii="Calibri" w:hAnsi="Calibri"/>
                <w:sz w:val="20"/>
              </w:rPr>
            </w:pPr>
            <w:proofErr w:type="spellStart"/>
            <w:r>
              <w:rPr>
                <w:rFonts w:ascii="Calibri" w:hAnsi="Calibri"/>
                <w:sz w:val="20"/>
              </w:rPr>
              <w:lastRenderedPageBreak/>
              <w:t>Veolia</w:t>
            </w:r>
            <w:proofErr w:type="spellEnd"/>
            <w:r>
              <w:rPr>
                <w:rFonts w:ascii="Calibri" w:hAnsi="Calibri"/>
                <w:sz w:val="20"/>
              </w:rPr>
              <w:t xml:space="preserve"> Energie Praha, a.s.</w:t>
            </w:r>
          </w:p>
        </w:tc>
        <w:tc>
          <w:tcPr>
            <w:tcW w:w="1682" w:type="dxa"/>
            <w:vAlign w:val="center"/>
          </w:tcPr>
          <w:p w:rsidR="00BA7732" w:rsidRPr="008456CB" w:rsidRDefault="00BA7732" w:rsidP="003D7477">
            <w:pPr>
              <w:pStyle w:val="Zkladntext"/>
              <w:spacing w:before="0"/>
              <w:ind w:firstLine="3"/>
              <w:jc w:val="center"/>
              <w:rPr>
                <w:rFonts w:ascii="Calibri" w:hAnsi="Calibri"/>
                <w:sz w:val="20"/>
              </w:rPr>
            </w:pPr>
            <w:r>
              <w:rPr>
                <w:rFonts w:ascii="Calibri" w:hAnsi="Calibri"/>
                <w:sz w:val="20"/>
              </w:rPr>
              <w:t>Na Florenci 15, 110 00 Praha 1</w:t>
            </w:r>
          </w:p>
        </w:tc>
        <w:tc>
          <w:tcPr>
            <w:tcW w:w="5122" w:type="dxa"/>
            <w:shd w:val="clear" w:color="auto" w:fill="auto"/>
            <w:vAlign w:val="center"/>
          </w:tcPr>
          <w:p w:rsidR="00BA7732" w:rsidRPr="008456CB" w:rsidRDefault="00BA7732" w:rsidP="003D7477">
            <w:pPr>
              <w:pStyle w:val="Zkladntext"/>
              <w:spacing w:before="0"/>
              <w:ind w:firstLine="0"/>
              <w:jc w:val="left"/>
              <w:rPr>
                <w:rFonts w:ascii="Calibri" w:hAnsi="Calibri"/>
                <w:sz w:val="20"/>
              </w:rPr>
            </w:pPr>
            <w:r>
              <w:rPr>
                <w:rFonts w:ascii="Calibri" w:hAnsi="Calibri"/>
                <w:sz w:val="20"/>
              </w:rPr>
              <w:t>Data emisí z kontinuálního monitoringu TVE. Měsíční a roční výnos emisí ostatních zdrojů.</w:t>
            </w:r>
          </w:p>
        </w:tc>
      </w:tr>
    </w:tbl>
    <w:p w:rsidR="00BE59D5" w:rsidRPr="008456CB" w:rsidRDefault="00BE59D5" w:rsidP="00BE59D5">
      <w:pPr>
        <w:pStyle w:val="Nadpis1"/>
      </w:pPr>
      <w:r w:rsidRPr="008456CB">
        <w:t>Požadavky na přenos datových podkladů do DB REZZO</w:t>
      </w:r>
    </w:p>
    <w:p w:rsidR="00BE59D5" w:rsidRPr="008456CB" w:rsidRDefault="00BE59D5" w:rsidP="00BE59D5">
      <w:r w:rsidRPr="008456CB">
        <w:t>Zpracování převzatých vstupních podkladů spočívá především v jejich normalizaci, homologaci, kategorizaci, verifikaci, doplnění, analýze a nastavení příslušných vzájemných vazeb souvisejících údajů. Účelem úpravy originálních dat za bodově evidované zdroje (</w:t>
      </w:r>
      <w:r>
        <w:t>zdroje vyjmenované</w:t>
      </w:r>
      <w:r w:rsidRPr="008456CB">
        <w:t>) je i zjednodušení (uchopitelnost) informací za zdroj jako celek pro potenciální uživatele a ochrana některých důvěrných informací o provozu zdrojů.</w:t>
      </w:r>
    </w:p>
    <w:p w:rsidR="00BE59D5" w:rsidRPr="008456CB" w:rsidRDefault="00BE59D5" w:rsidP="00BE59D5">
      <w:r w:rsidRPr="008456CB">
        <w:t>Podklady za kategori</w:t>
      </w:r>
      <w:r>
        <w:t xml:space="preserve">i stacionárních zdrojů vyjmenovaných </w:t>
      </w:r>
      <w:r w:rsidRPr="008456CB">
        <w:t xml:space="preserve">jsou v originální podobě ve struktuře relačních databází, které zachycují veškeré zákonem předepisované provozní údaje o evidovaných zdrojích. Pro následné aktivity </w:t>
      </w:r>
      <w:r>
        <w:t xml:space="preserve">IPR </w:t>
      </w:r>
      <w:r w:rsidRPr="008456CB">
        <w:t>a MHMP je dále třeba podporovat výstupy pro:</w:t>
      </w:r>
    </w:p>
    <w:p w:rsidR="004C245A" w:rsidRPr="004C245A" w:rsidRDefault="00BE59D5" w:rsidP="00BE59D5">
      <w:pPr>
        <w:pStyle w:val="Odrky"/>
        <w:rPr>
          <w:color w:val="FF0000"/>
        </w:rPr>
      </w:pPr>
      <w:r w:rsidRPr="008456CB">
        <w:t xml:space="preserve">Modelové hodnocení kvality ovzduší – </w:t>
      </w:r>
      <w:r w:rsidRPr="003D7477">
        <w:t>za kategorii stacionárních zdrojů vyjmenovaných údaje o emisích vybraných škodlivin v detailu za jednotlivé komíny. Nejlépe tomuto požadavku vyhovuje interní typizovaná sestava SYMOS, kterou si ČHMÚ vytváří pro celorepublikové modely. Za kategorii stacionárních zdrojů vyjmenovaných s tzv. zjednodušeným ohlášením SPE výběr sledovaných škodlivin v detailu za jednotlivé zdroje celkem. Kategorie zdrojů nevyjmenovaných je sledována jako plošné zdroje za území jednotlivých urbanistických obvodů.</w:t>
      </w:r>
    </w:p>
    <w:p w:rsidR="00BE59D5" w:rsidRDefault="00BE59D5" w:rsidP="004C245A">
      <w:pPr>
        <w:pStyle w:val="Odrky"/>
        <w:numPr>
          <w:ilvl w:val="0"/>
          <w:numId w:val="0"/>
        </w:numPr>
        <w:ind w:left="426"/>
        <w:rPr>
          <w:color w:val="FF0000"/>
        </w:rPr>
      </w:pPr>
      <w:r w:rsidRPr="003D7477">
        <w:rPr>
          <w:color w:val="FF0000"/>
        </w:rPr>
        <w:t xml:space="preserve"> </w:t>
      </w:r>
      <w:r w:rsidRPr="008456CB">
        <w:t>Pro potřeby města je třeba zpřesnit lokalizace jednotlivých b</w:t>
      </w:r>
      <w:r w:rsidR="00857833">
        <w:t>odově sledovaných zdrojů v GIS. Budou dopočítány</w:t>
      </w:r>
      <w:r w:rsidRPr="008456CB">
        <w:t xml:space="preserve"> neevidované škodliviny (NO</w:t>
      </w:r>
      <w:r w:rsidRPr="005F1536">
        <w:rPr>
          <w:vertAlign w:val="subscript"/>
        </w:rPr>
        <w:t>2</w:t>
      </w:r>
      <w:r w:rsidRPr="008456CB">
        <w:t>, benzen, PM</w:t>
      </w:r>
      <w:r w:rsidRPr="005F1536">
        <w:rPr>
          <w:vertAlign w:val="subscript"/>
        </w:rPr>
        <w:t>2,5</w:t>
      </w:r>
      <w:r w:rsidRPr="008456CB">
        <w:t xml:space="preserve"> PM</w:t>
      </w:r>
      <w:r w:rsidRPr="005F1536">
        <w:rPr>
          <w:vertAlign w:val="subscript"/>
        </w:rPr>
        <w:t xml:space="preserve">10, </w:t>
      </w:r>
      <w:proofErr w:type="spellStart"/>
      <w:r w:rsidRPr="003D7477">
        <w:t>BaP</w:t>
      </w:r>
      <w:proofErr w:type="spellEnd"/>
      <w:r w:rsidRPr="008456CB">
        <w:t>)</w:t>
      </w:r>
      <w:r w:rsidR="00857833">
        <w:t xml:space="preserve"> a skleníkové plyny (</w:t>
      </w:r>
      <w:r w:rsidR="00857833" w:rsidRPr="009D2861">
        <w:t>CO</w:t>
      </w:r>
      <w:r w:rsidR="00857833" w:rsidRPr="009D2861">
        <w:rPr>
          <w:vertAlign w:val="subscript"/>
        </w:rPr>
        <w:t xml:space="preserve">2 </w:t>
      </w:r>
      <w:r w:rsidR="00857833" w:rsidRPr="009D2861">
        <w:t>, CH</w:t>
      </w:r>
      <w:r w:rsidR="00857833" w:rsidRPr="009D2861">
        <w:rPr>
          <w:vertAlign w:val="subscript"/>
        </w:rPr>
        <w:t xml:space="preserve">4 ,  </w:t>
      </w:r>
      <w:r w:rsidR="00857833" w:rsidRPr="009D2861">
        <w:t>N</w:t>
      </w:r>
      <w:r w:rsidR="00857833" w:rsidRPr="009D2861">
        <w:rPr>
          <w:vertAlign w:val="subscript"/>
        </w:rPr>
        <w:t>2</w:t>
      </w:r>
      <w:r w:rsidR="00857833" w:rsidRPr="009D2861">
        <w:t>O, CFC, SF</w:t>
      </w:r>
      <w:r w:rsidR="00857833" w:rsidRPr="009D2861">
        <w:rPr>
          <w:vertAlign w:val="subscript"/>
        </w:rPr>
        <w:t xml:space="preserve">6 </w:t>
      </w:r>
      <w:r w:rsidR="00857833" w:rsidRPr="009D2861">
        <w:t>, PFC)</w:t>
      </w:r>
      <w:r w:rsidRPr="009D2861">
        <w:t xml:space="preserve"> </w:t>
      </w:r>
      <w:r w:rsidRPr="003D7477">
        <w:t>podle platných emisních faktorů (</w:t>
      </w:r>
      <w:r w:rsidRPr="003D7477">
        <w:rPr>
          <w:bCs/>
        </w:rPr>
        <w:t xml:space="preserve">Věstník Ministerstva životního prostředí č. 8/2013, resp. </w:t>
      </w:r>
      <w:r w:rsidRPr="003D7477">
        <w:rPr>
          <w:rFonts w:cs="Arial"/>
        </w:rPr>
        <w:t xml:space="preserve">Sdělení odboru ochrany ovzduší, jímž se stanovují emisní faktory podle § 12 odst. 1 písm. b) vyhlášky č. 415/2012 Sb. platné </w:t>
      </w:r>
      <w:r w:rsidRPr="003D7477">
        <w:rPr>
          <w:bCs/>
        </w:rPr>
        <w:t>od roku 2016</w:t>
      </w:r>
      <w:r w:rsidRPr="003D7477">
        <w:t>) a spotřeby v souladu s platnou metodikou ČHMÚ</w:t>
      </w:r>
      <w:r w:rsidR="00FB3A63">
        <w:t xml:space="preserve">. </w:t>
      </w:r>
      <w:r w:rsidR="009D2861">
        <w:t xml:space="preserve">Skleníkové plyny budou </w:t>
      </w:r>
      <w:r w:rsidR="00FB3A63">
        <w:t>do</w:t>
      </w:r>
      <w:r w:rsidR="009D2861">
        <w:t xml:space="preserve">počítány </w:t>
      </w:r>
      <w:r w:rsidR="00FB3A63">
        <w:t xml:space="preserve">v souladu s metodikou </w:t>
      </w:r>
      <w:r w:rsidR="00FB3A63" w:rsidRPr="00C45E06">
        <w:t>IPCC</w:t>
      </w:r>
      <w:r w:rsidR="00C45E06" w:rsidRPr="00C45E06">
        <w:t xml:space="preserve"> </w:t>
      </w:r>
      <w:r w:rsidR="00C45E06">
        <w:t>(</w:t>
      </w:r>
      <w:proofErr w:type="spellStart"/>
      <w:r w:rsidR="00C45E06">
        <w:t>Intergovernmental</w:t>
      </w:r>
      <w:proofErr w:type="spellEnd"/>
      <w:r w:rsidR="00C45E06">
        <w:t xml:space="preserve"> Panel on </w:t>
      </w:r>
      <w:proofErr w:type="spellStart"/>
      <w:r w:rsidR="00C45E06">
        <w:t>Climate</w:t>
      </w:r>
      <w:proofErr w:type="spellEnd"/>
      <w:r w:rsidR="00C45E06">
        <w:t xml:space="preserve"> </w:t>
      </w:r>
      <w:proofErr w:type="spellStart"/>
      <w:r w:rsidR="00C45E06">
        <w:t>Change</w:t>
      </w:r>
      <w:proofErr w:type="spellEnd"/>
      <w:r w:rsidR="00C45E06">
        <w:t>)</w:t>
      </w:r>
      <w:r w:rsidR="00FB3A63" w:rsidRPr="00C45E06">
        <w:t>,</w:t>
      </w:r>
      <w:r w:rsidR="00AA3897" w:rsidRPr="00C45E06">
        <w:t xml:space="preserve"> </w:t>
      </w:r>
      <w:r w:rsidR="00AA3897">
        <w:t>budou počítány</w:t>
      </w:r>
      <w:r w:rsidR="00FB3A63">
        <w:t xml:space="preserve"> </w:t>
      </w:r>
      <w:r w:rsidR="009D2861">
        <w:t>jednotlivě a</w:t>
      </w:r>
      <w:r w:rsidR="00FB3A63">
        <w:t xml:space="preserve"> také vyjádřeny jako </w:t>
      </w:r>
      <w:r w:rsidR="009D2861">
        <w:t>CO</w:t>
      </w:r>
      <w:r w:rsidR="009D2861">
        <w:rPr>
          <w:vertAlign w:val="subscript"/>
        </w:rPr>
        <w:t>2ekv</w:t>
      </w:r>
      <w:r w:rsidR="00FB3A63">
        <w:t xml:space="preserve"> a zahrnuty v celkové sumě</w:t>
      </w:r>
      <w:r w:rsidR="0001580B">
        <w:t xml:space="preserve"> emise v ekvivalentním množství CO</w:t>
      </w:r>
      <w:r w:rsidR="0001580B">
        <w:rPr>
          <w:vertAlign w:val="subscript"/>
        </w:rPr>
        <w:t>2</w:t>
      </w:r>
      <w:r w:rsidR="00FB3A63">
        <w:t xml:space="preserve">. </w:t>
      </w:r>
      <w:r w:rsidR="009D2861" w:rsidRPr="009D2861">
        <w:t>Množství dopočítaných neevidovaných škodlivin a skleníkových plynů bude přidáno do bilancí sledovaných emisí.</w:t>
      </w:r>
      <w:r w:rsidR="009D2861">
        <w:t xml:space="preserve"> Dále budou dopočítány</w:t>
      </w:r>
      <w:r w:rsidRPr="008456CB">
        <w:t xml:space="preserve"> údaje pro modelové hodnocení kvality ovzduší (emisní intenzita v g/s</w:t>
      </w:r>
      <w:r>
        <w:t xml:space="preserve"> – </w:t>
      </w:r>
      <w:r w:rsidRPr="003D7477">
        <w:t>roční a hodinová</w:t>
      </w:r>
      <w:r w:rsidR="009D2861">
        <w:t>, tepelná vydatnost Q apod.).</w:t>
      </w:r>
    </w:p>
    <w:p w:rsidR="00857833" w:rsidRPr="004C245A" w:rsidRDefault="00857833" w:rsidP="00857833">
      <w:pPr>
        <w:pStyle w:val="Odrky"/>
        <w:numPr>
          <w:ilvl w:val="0"/>
          <w:numId w:val="0"/>
        </w:numPr>
        <w:rPr>
          <w:color w:val="FF0000"/>
        </w:rPr>
      </w:pPr>
    </w:p>
    <w:p w:rsidR="00BE59D5" w:rsidRPr="008456CB" w:rsidRDefault="000D3B33" w:rsidP="00BE59D5">
      <w:pPr>
        <w:pStyle w:val="Odrky"/>
      </w:pPr>
      <w:r>
        <w:t>Atlas ŽP – emisní</w:t>
      </w:r>
      <w:r w:rsidR="00BE59D5" w:rsidRPr="008456CB">
        <w:t xml:space="preserve"> údaje, dále údaje o spotřebě a druhu spalovaného paliva a instalovaných tepelných výkonech</w:t>
      </w:r>
      <w:r w:rsidR="00BE59D5">
        <w:t xml:space="preserve"> a příkonech</w:t>
      </w:r>
      <w:r w:rsidR="00BE59D5" w:rsidRPr="008456CB">
        <w:t xml:space="preserve"> zdrojů a celkové emisní bilance za vybrané územně správní celky (ZSJ, UO, MČ).</w:t>
      </w:r>
    </w:p>
    <w:p w:rsidR="00BE59D5" w:rsidRPr="008456CB" w:rsidRDefault="00BE59D5" w:rsidP="00BE59D5">
      <w:pPr>
        <w:pStyle w:val="Odrky"/>
      </w:pPr>
      <w:r w:rsidRPr="008456CB">
        <w:t xml:space="preserve">Bilance </w:t>
      </w:r>
      <w:r>
        <w:t xml:space="preserve">stacionárních zdrojů vyjmenovaných a nevyjmenovaných, </w:t>
      </w:r>
      <w:r w:rsidRPr="003D7477">
        <w:t>dle bilančních skupin zdrojů</w:t>
      </w:r>
      <w:r w:rsidRPr="003D7477">
        <w:rPr>
          <w:color w:val="FF0000"/>
        </w:rPr>
        <w:t xml:space="preserve"> </w:t>
      </w:r>
      <w:r w:rsidRPr="003D7477">
        <w:t>–</w:t>
      </w:r>
      <w:r w:rsidRPr="008456CB">
        <w:t xml:space="preserve"> komplexní vyhodnocení trendů vývoje v jednotlivých kategoriích stacionárních zdrojů – porovnávání vývoje v emisích základních škodlivin</w:t>
      </w:r>
      <w:r w:rsidR="0094666A">
        <w:t xml:space="preserve"> </w:t>
      </w:r>
      <w:r w:rsidR="0094666A" w:rsidRPr="00117FEB">
        <w:t>a skleníkových plynů</w:t>
      </w:r>
      <w:r w:rsidR="00AE00C6" w:rsidRPr="00117FEB">
        <w:t xml:space="preserve"> </w:t>
      </w:r>
      <w:r w:rsidR="00AE00C6">
        <w:t>a</w:t>
      </w:r>
      <w:r w:rsidRPr="008456CB">
        <w:t xml:space="preserve"> ve struktuře spalovaných paliv, v instalovaném výkonu</w:t>
      </w:r>
      <w:r>
        <w:t xml:space="preserve"> a příkonu</w:t>
      </w:r>
      <w:r w:rsidRPr="008456CB">
        <w:t xml:space="preserve"> dle druhu topeniště.</w:t>
      </w:r>
    </w:p>
    <w:p w:rsidR="00BE59D5" w:rsidRDefault="00BE59D5" w:rsidP="00BE59D5">
      <w:pPr>
        <w:pStyle w:val="Odrky"/>
      </w:pPr>
      <w:r w:rsidRPr="003D7477">
        <w:t xml:space="preserve">Bilance po kategoriích REZZO1 a REZZO2 (členění dle ČHMÚ) – komplexní vyhodnocení obdobně jako u stacionárních zdrojů vyjmenovaných </w:t>
      </w:r>
    </w:p>
    <w:p w:rsidR="00BE59D5" w:rsidRPr="008456CB" w:rsidRDefault="00BE59D5" w:rsidP="00BE59D5">
      <w:pPr>
        <w:pStyle w:val="Odrky"/>
      </w:pPr>
      <w:r w:rsidRPr="008456CB">
        <w:lastRenderedPageBreak/>
        <w:t>CDS-EI – pro účely zpracování energetických studií a konceptů bude systém podporovat výstupy palivové bilance z provozní evidence zdrojů, emise základních škodlivin a údaje o instalovaných tepelných výkonech</w:t>
      </w:r>
      <w:r>
        <w:t xml:space="preserve"> a příkonech</w:t>
      </w:r>
      <w:r w:rsidRPr="008456CB">
        <w:t xml:space="preserve"> zdrojů. </w:t>
      </w:r>
      <w:r w:rsidR="00A64B57">
        <w:t>Data budou kategorizována stejně jako v předchozí etapě</w:t>
      </w:r>
      <w:r w:rsidRPr="008456CB">
        <w:t xml:space="preserve"> tak, aby výsledné bilance vyhověly požadavkům nařízení vlády</w:t>
      </w:r>
      <w:r>
        <w:t xml:space="preserve"> o státní energetické koncepci a o územní energetické koncepci (č.232/2015 Sb.).</w:t>
      </w:r>
    </w:p>
    <w:p w:rsidR="00BE59D5" w:rsidRPr="008456CB" w:rsidRDefault="00BE59D5" w:rsidP="00BE59D5">
      <w:pPr>
        <w:pStyle w:val="Nadpis1"/>
      </w:pPr>
      <w:r w:rsidRPr="008456CB">
        <w:t>Požadavky na způsob zapracování do dB REZZO</w:t>
      </w:r>
    </w:p>
    <w:p w:rsidR="00BE59D5" w:rsidRPr="008456CB" w:rsidRDefault="00BE59D5" w:rsidP="00BE59D5">
      <w:pPr>
        <w:pStyle w:val="Nadpis2"/>
      </w:pPr>
      <w:r>
        <w:t>STACIONÁRNÍ ZDROJE VYJMENOVANÉ</w:t>
      </w:r>
    </w:p>
    <w:p w:rsidR="00BE59D5" w:rsidRPr="00117FEB" w:rsidRDefault="00BE59D5" w:rsidP="00BE59D5">
      <w:pPr>
        <w:pStyle w:val="Odrky"/>
        <w:numPr>
          <w:ilvl w:val="0"/>
          <w:numId w:val="3"/>
        </w:numPr>
      </w:pPr>
      <w:r w:rsidRPr="008456CB">
        <w:t>SYMOS – originální interní typizovaná sestava s emisemi sledovaných škodlivin</w:t>
      </w:r>
      <w:r>
        <w:t xml:space="preserve"> a </w:t>
      </w:r>
      <w:r w:rsidRPr="003D7477">
        <w:t>parametry jejich vypouštění</w:t>
      </w:r>
      <w:r w:rsidRPr="008456CB">
        <w:t xml:space="preserve"> na jednotlivé komíny</w:t>
      </w:r>
      <w:r>
        <w:t xml:space="preserve"> </w:t>
      </w:r>
      <w:r w:rsidRPr="008456CB">
        <w:t xml:space="preserve">vč. </w:t>
      </w:r>
      <w:r>
        <w:t>d</w:t>
      </w:r>
      <w:r w:rsidRPr="008456CB">
        <w:t>oplňkových údajů (výška komín</w:t>
      </w:r>
      <w:r>
        <w:t>u</w:t>
      </w:r>
      <w:r w:rsidRPr="008456CB">
        <w:t>, teploty a rychlost spalin</w:t>
      </w:r>
      <w:r>
        <w:t xml:space="preserve"> </w:t>
      </w:r>
      <w:r w:rsidRPr="008456CB">
        <w:t>apod.). Doplněna kategorizace technologických zdrojů pro následné dopočty nesledovaných látek (NO</w:t>
      </w:r>
      <w:r w:rsidRPr="005F1536">
        <w:rPr>
          <w:vertAlign w:val="subscript"/>
        </w:rPr>
        <w:t>2</w:t>
      </w:r>
      <w:r w:rsidRPr="008456CB">
        <w:t>, benzen, PM</w:t>
      </w:r>
      <w:r w:rsidRPr="005F1536">
        <w:rPr>
          <w:vertAlign w:val="subscript"/>
        </w:rPr>
        <w:t>2,5</w:t>
      </w:r>
      <w:r w:rsidRPr="008456CB">
        <w:t xml:space="preserve"> PM</w:t>
      </w:r>
      <w:r w:rsidRPr="005F1536">
        <w:rPr>
          <w:vertAlign w:val="subscript"/>
        </w:rPr>
        <w:t>10</w:t>
      </w:r>
      <w:r>
        <w:t xml:space="preserve">, </w:t>
      </w:r>
      <w:proofErr w:type="spellStart"/>
      <w:r>
        <w:t>BaP</w:t>
      </w:r>
      <w:proofErr w:type="spellEnd"/>
      <w:r w:rsidR="0094666A">
        <w:t>,</w:t>
      </w:r>
      <w:r w:rsidR="00866CF9">
        <w:t xml:space="preserve"> </w:t>
      </w:r>
      <w:r w:rsidR="00866CF9" w:rsidRPr="00117FEB">
        <w:t>CO</w:t>
      </w:r>
      <w:r w:rsidR="00866CF9" w:rsidRPr="00117FEB">
        <w:rPr>
          <w:vertAlign w:val="subscript"/>
        </w:rPr>
        <w:t>2</w:t>
      </w:r>
      <w:r w:rsidR="00117FEB" w:rsidRPr="00117FEB">
        <w:t xml:space="preserve"> a dalších</w:t>
      </w:r>
      <w:r w:rsidR="00117FEB">
        <w:t xml:space="preserve"> skleníkových</w:t>
      </w:r>
      <w:r w:rsidR="00117FEB" w:rsidRPr="00117FEB">
        <w:t xml:space="preserve"> plynů</w:t>
      </w:r>
      <w:r w:rsidRPr="00117FEB">
        <w:t>)</w:t>
      </w:r>
      <w:r w:rsidRPr="008456CB">
        <w:t>.</w:t>
      </w:r>
      <w:r>
        <w:t xml:space="preserve"> </w:t>
      </w:r>
      <w:r w:rsidRPr="008456CB">
        <w:t>Využitelnost pro aktualizaci podkladů pro mod</w:t>
      </w:r>
      <w:r w:rsidR="003B24BF">
        <w:t xml:space="preserve">elové hodnocení kvality ovzduší </w:t>
      </w:r>
      <w:r w:rsidR="003B24BF" w:rsidRPr="00117FEB">
        <w:t>a sledování vývoje emisí skleníkových plynů.</w:t>
      </w:r>
    </w:p>
    <w:p w:rsidR="00BE59D5" w:rsidRPr="008456CB" w:rsidRDefault="00BE59D5" w:rsidP="00BE59D5">
      <w:pPr>
        <w:pStyle w:val="Odrky"/>
        <w:numPr>
          <w:ilvl w:val="0"/>
          <w:numId w:val="3"/>
        </w:numPr>
      </w:pPr>
      <w:r w:rsidRPr="008456CB">
        <w:t xml:space="preserve">Výběr ze sestavy SPE (kompletní sestava souhrnné provozní evidence), – resp. z disponibilních údajů (ISPOP) k datu předání vstupů. Data budou zpracována každoročně za zdroj jako celek (paliva, emise vybraných škodlivin, instalovaný výkon). Bude provedena verifikace lokalizace zdrojů v GIS, úplná kategorizace dle požadavků nařízení vlády č. </w:t>
      </w:r>
      <w:r>
        <w:t xml:space="preserve">232/2015 </w:t>
      </w:r>
      <w:r w:rsidRPr="008456CB">
        <w:t>Sb. Data v této podobě budou využitelná pro:</w:t>
      </w:r>
    </w:p>
    <w:p w:rsidR="00BE59D5" w:rsidRPr="008456CB" w:rsidRDefault="00BE59D5" w:rsidP="00BE59D5">
      <w:pPr>
        <w:pStyle w:val="Odrky"/>
        <w:numPr>
          <w:ilvl w:val="1"/>
          <w:numId w:val="3"/>
        </w:numPr>
      </w:pPr>
      <w:r w:rsidRPr="008456CB">
        <w:t xml:space="preserve"> modelové hodnocení kvality </w:t>
      </w:r>
      <w:r w:rsidRPr="00117FEB">
        <w:t xml:space="preserve">ovzduší </w:t>
      </w:r>
      <w:r w:rsidR="003B24BF" w:rsidRPr="00117FEB">
        <w:t xml:space="preserve">a sledování vývoje emisí skleníkových plynů </w:t>
      </w:r>
      <w:r w:rsidRPr="008456CB">
        <w:t>(dopočet nesledovaných škodlivin ze spotřeby paliv, analýzy příčin a následků vývoje apod.)</w:t>
      </w:r>
    </w:p>
    <w:p w:rsidR="00BE59D5" w:rsidRPr="008456CB" w:rsidRDefault="00BE59D5" w:rsidP="00BE59D5">
      <w:pPr>
        <w:pStyle w:val="Odrky"/>
        <w:numPr>
          <w:ilvl w:val="1"/>
          <w:numId w:val="3"/>
        </w:numPr>
      </w:pPr>
      <w:r w:rsidRPr="008456CB">
        <w:t xml:space="preserve">pro informační systém o ovzduší Atlas ŽP (export vybraných </w:t>
      </w:r>
      <w:proofErr w:type="spellStart"/>
      <w:r w:rsidRPr="008456CB">
        <w:t>geovrstev</w:t>
      </w:r>
      <w:proofErr w:type="spellEnd"/>
      <w:r w:rsidRPr="008456CB">
        <w:t xml:space="preserve"> bodově sledovaných zdrojů, souhrnné bilance za vybrané územně správní celky, </w:t>
      </w:r>
      <w:r w:rsidR="00F16482">
        <w:t xml:space="preserve">doplnění </w:t>
      </w:r>
      <w:r w:rsidRPr="003D7477">
        <w:t>hist</w:t>
      </w:r>
      <w:r w:rsidR="00F16482">
        <w:t>orických</w:t>
      </w:r>
      <w:r w:rsidRPr="003D7477">
        <w:t xml:space="preserve"> záznam</w:t>
      </w:r>
      <w:r w:rsidR="00F16482">
        <w:t>ů (původní</w:t>
      </w:r>
      <w:r w:rsidRPr="003D7477">
        <w:t xml:space="preserve"> REZZO 1 a REZZO 2</w:t>
      </w:r>
      <w:r w:rsidR="00F16482">
        <w:t xml:space="preserve"> jsou sloučeny jako zdroje</w:t>
      </w:r>
      <w:r w:rsidRPr="003D7477">
        <w:t xml:space="preserve"> stacionární vyjmenovan</w:t>
      </w:r>
      <w:r w:rsidR="00F16482">
        <w:t>é)</w:t>
      </w:r>
      <w:r w:rsidRPr="003D7477">
        <w:t xml:space="preserve"> </w:t>
      </w:r>
      <w:r>
        <w:t>o</w:t>
      </w:r>
      <w:r w:rsidRPr="008456CB">
        <w:t xml:space="preserve"> aktuální data pro účely prezentace časového vývoje emisí, spotřeby paliv, instalovaných tepelných výkonů </w:t>
      </w:r>
      <w:r>
        <w:t xml:space="preserve">a příkonů </w:t>
      </w:r>
      <w:r w:rsidRPr="008456CB">
        <w:t>zdrojů)</w:t>
      </w:r>
    </w:p>
    <w:p w:rsidR="00BE59D5" w:rsidRPr="008456CB" w:rsidRDefault="00BE59D5" w:rsidP="00BE59D5">
      <w:pPr>
        <w:pStyle w:val="Odrky"/>
        <w:numPr>
          <w:ilvl w:val="1"/>
          <w:numId w:val="3"/>
        </w:numPr>
      </w:pPr>
      <w:r w:rsidRPr="008456CB">
        <w:t>pro prezentační či publikační účely (komplexní vyhodnocení trendů vývoje). Úplná kategorizace dat (</w:t>
      </w:r>
      <w:r w:rsidRPr="003D7477">
        <w:t>bilanční skupiny zdrojů</w:t>
      </w:r>
      <w:r w:rsidRPr="008456CB">
        <w:t>,</w:t>
      </w:r>
      <w:r>
        <w:t xml:space="preserve"> </w:t>
      </w:r>
      <w:r w:rsidRPr="008456CB">
        <w:t xml:space="preserve">oddělení zdrojů CZT, </w:t>
      </w:r>
      <w:r w:rsidRPr="003D7477">
        <w:t>oddělení technologické spotřeby – sekce NACE, druh emise) umožní využití vstupů i pro</w:t>
      </w:r>
      <w:r w:rsidRPr="008456CB">
        <w:t xml:space="preserve"> sestavení výstupních bilancí pro účely energetické statistiky (CDS-EI, ÚEK).</w:t>
      </w:r>
    </w:p>
    <w:p w:rsidR="00BE59D5" w:rsidRPr="008456CB" w:rsidRDefault="00BE59D5" w:rsidP="00BE59D5">
      <w:pPr>
        <w:pStyle w:val="Nadpis2"/>
      </w:pPr>
      <w:r>
        <w:t>STACIONÁRNÍ ZDROJE NEVYJMENOVANÉ</w:t>
      </w:r>
    </w:p>
    <w:p w:rsidR="00BE59D5" w:rsidRPr="008456CB" w:rsidRDefault="00BE59D5" w:rsidP="00BE59D5">
      <w:pPr>
        <w:pStyle w:val="Odrky"/>
      </w:pPr>
      <w:r w:rsidRPr="008456CB">
        <w:t xml:space="preserve">Aktualizace údajů o zpoplatněných podnikatelských </w:t>
      </w:r>
      <w:r>
        <w:t xml:space="preserve">stacionárních zdrojích nevyjmenovaných </w:t>
      </w:r>
      <w:r w:rsidRPr="008456CB">
        <w:t>na MČ – Vzhledem k množství a podílu těchto zdrojů na celkové bilanci se nepředpokládá každoroční akt</w:t>
      </w:r>
      <w:r w:rsidR="00117FEB">
        <w:t>ualizace – spíš „příležitostná“.</w:t>
      </w:r>
      <w:r w:rsidRPr="008456CB">
        <w:t xml:space="preserve"> Spolupráce některých MČ při zajišťování vstupů je problematická (což reflektuje způsob vedení či dokonce neexistence takovéto evidence na některých MČ). Data budou zpracována za zdroj jako celek (paliva, emise vybraných škodlivin, instalovaný výkon</w:t>
      </w:r>
      <w:r>
        <w:t xml:space="preserve"> a příkon</w:t>
      </w:r>
      <w:r w:rsidRPr="008456CB">
        <w:t xml:space="preserve">). Bude provedena digitalizace zdrojů v GIS, úplná kategorizace dle požadavků nařízení vlády č. </w:t>
      </w:r>
      <w:r>
        <w:t xml:space="preserve">232/2015 </w:t>
      </w:r>
      <w:r w:rsidRPr="008456CB">
        <w:t>Sb. Data v této podobě budou využitelná pro všechny dosavadní zájmové oblasti (modelování kvality ovzduší, Atlas ŽP, prezentační zprávy, CDS-EI).</w:t>
      </w:r>
    </w:p>
    <w:p w:rsidR="00E222E3" w:rsidRDefault="00BE59D5" w:rsidP="00E222E3">
      <w:pPr>
        <w:pStyle w:val="Odrky"/>
      </w:pPr>
      <w:r w:rsidRPr="008456CB">
        <w:lastRenderedPageBreak/>
        <w:t xml:space="preserve">Pro Atlas ŽP budou </w:t>
      </w:r>
      <w:proofErr w:type="spellStart"/>
      <w:r w:rsidRPr="008456CB">
        <w:t>geovrstvy</w:t>
      </w:r>
      <w:proofErr w:type="spellEnd"/>
      <w:r w:rsidRPr="008456CB">
        <w:t xml:space="preserve"> obsahující historické záznamy doplněny o aktuální data pro účely prezentace časového vývoje emisí, spotřeby paliv, instalovaných tepelných výkonů </w:t>
      </w:r>
      <w:r>
        <w:t xml:space="preserve">a příkonů </w:t>
      </w:r>
      <w:r w:rsidRPr="008456CB">
        <w:t>zdrojů)</w:t>
      </w:r>
    </w:p>
    <w:p w:rsidR="00BE59D5" w:rsidRPr="00E222E3" w:rsidRDefault="00E222E3" w:rsidP="00E222E3">
      <w:pPr>
        <w:pStyle w:val="Odrky"/>
      </w:pPr>
      <w:r>
        <w:t xml:space="preserve">Aktualizace </w:t>
      </w:r>
      <w:r w:rsidR="00BE59D5" w:rsidRPr="00BE59D5">
        <w:t>údajů o neevidovaných podnikatelských nevyjmenovaných zdrojích bude</w:t>
      </w:r>
      <w:r w:rsidR="00BE59D5" w:rsidRPr="008456CB">
        <w:t xml:space="preserve"> provedena každoročně z měřených údajů o dodávce zemního plynu jako výběr z kategorie maloodběr (Pražská plynárenská, a.s.). Data o spotřebě paliva budou doplněna o vypočtené emise sledovaných škodlivin a budou k dispozici za jednotlivé urbanistické obvody (resp. ZSJ).</w:t>
      </w:r>
      <w:r w:rsidR="00BE59D5">
        <w:t xml:space="preserve"> </w:t>
      </w:r>
      <w:r w:rsidR="00BE59D5" w:rsidRPr="003D7477">
        <w:t>Pro modelování ovzduší budou data zpřesněna také na denní průběhy dodávek a typizované hodinové intenzity.</w:t>
      </w:r>
    </w:p>
    <w:p w:rsidR="00BE59D5" w:rsidRPr="008456CB" w:rsidRDefault="00BE59D5" w:rsidP="00BE59D5">
      <w:pPr>
        <w:pStyle w:val="Odrky"/>
        <w:numPr>
          <w:ilvl w:val="0"/>
          <w:numId w:val="4"/>
        </w:numPr>
      </w:pPr>
      <w:r w:rsidRPr="008456CB">
        <w:t>Aktualizace údajů o neevidovaných domácích topeništích</w:t>
      </w:r>
      <w:r>
        <w:t xml:space="preserve"> b</w:t>
      </w:r>
      <w:r w:rsidRPr="008456CB">
        <w:t>ude provedena každoročně modelovým dopočtem z údajů ze SLDB (tuhá a kapalná paliva), doplněným měřenými údaji o dodávce zemního plynu z kategorie domácnosti (Pražská plynárenská, a.s.). Data o spotřebě paliva budou doplněna o vypočtené emise sledovaných škodlivin</w:t>
      </w:r>
      <w:r>
        <w:t>,</w:t>
      </w:r>
      <w:r w:rsidRPr="008456CB">
        <w:t xml:space="preserve"> budou k dispozici za jednotlivé urbanistické obvody (resp. ZSJ)</w:t>
      </w:r>
      <w:r>
        <w:t xml:space="preserve"> a </w:t>
      </w:r>
      <w:r w:rsidRPr="003D7477">
        <w:t>zpřesněna pokud možno na hodinové intervaly.</w:t>
      </w:r>
    </w:p>
    <w:p w:rsidR="00BE59D5" w:rsidRPr="008456CB" w:rsidRDefault="00BE59D5" w:rsidP="00BE59D5">
      <w:pPr>
        <w:pStyle w:val="Odrky"/>
        <w:numPr>
          <w:ilvl w:val="0"/>
          <w:numId w:val="4"/>
        </w:numPr>
      </w:pPr>
      <w:r w:rsidRPr="008456CB">
        <w:t>Data v této podobě budou využitelná pro všechny dosavadní zájmové oblasti (modelování kvality ovzduší, Atlas ŽP, prezentační zprávy, CDS-EI).</w:t>
      </w:r>
    </w:p>
    <w:p w:rsidR="00BE59D5" w:rsidRPr="008456CB" w:rsidRDefault="00BE59D5" w:rsidP="00BE59D5">
      <w:pPr>
        <w:pStyle w:val="Nadpis1"/>
      </w:pPr>
      <w:r w:rsidRPr="008456CB">
        <w:t>Požadavky na formát a zpracování geografických (GIS) dat a jejich dokumentace a metadatový popis</w:t>
      </w:r>
    </w:p>
    <w:p w:rsidR="00BE59D5" w:rsidRPr="008456CB" w:rsidRDefault="00BE59D5" w:rsidP="00BE59D5">
      <w:pPr>
        <w:pStyle w:val="Odrky"/>
        <w:numPr>
          <w:ilvl w:val="0"/>
          <w:numId w:val="3"/>
        </w:numPr>
      </w:pPr>
      <w:r w:rsidRPr="008456CB">
        <w:t xml:space="preserve">formát předávaných dat ESRI </w:t>
      </w:r>
      <w:proofErr w:type="spellStart"/>
      <w:r w:rsidRPr="008456CB">
        <w:t>Shapefile</w:t>
      </w:r>
      <w:proofErr w:type="spellEnd"/>
      <w:r w:rsidRPr="008456CB">
        <w:t xml:space="preserve"> (*.</w:t>
      </w:r>
      <w:proofErr w:type="spellStart"/>
      <w:r w:rsidRPr="008456CB">
        <w:t>shp</w:t>
      </w:r>
      <w:proofErr w:type="spellEnd"/>
      <w:r w:rsidRPr="008456CB">
        <w:t xml:space="preserve">) resp. ESRI </w:t>
      </w:r>
      <w:proofErr w:type="spellStart"/>
      <w:r w:rsidRPr="008456CB">
        <w:t>Geodatabase</w:t>
      </w:r>
      <w:proofErr w:type="spellEnd"/>
      <w:r w:rsidRPr="008456CB">
        <w:t xml:space="preserve"> (*.</w:t>
      </w:r>
      <w:proofErr w:type="spellStart"/>
      <w:r w:rsidRPr="008456CB">
        <w:t>gdb</w:t>
      </w:r>
      <w:proofErr w:type="spellEnd"/>
      <w:r w:rsidRPr="008456CB">
        <w:t>)</w:t>
      </w:r>
    </w:p>
    <w:p w:rsidR="00BE59D5" w:rsidRPr="008456CB" w:rsidRDefault="00BE59D5" w:rsidP="00BE59D5">
      <w:pPr>
        <w:pStyle w:val="Odrky"/>
        <w:numPr>
          <w:ilvl w:val="0"/>
          <w:numId w:val="3"/>
        </w:numPr>
      </w:pPr>
      <w:r w:rsidRPr="008456CB">
        <w:t xml:space="preserve">topologicky čisté polygonové, liniové nebo bodové </w:t>
      </w:r>
      <w:proofErr w:type="spellStart"/>
      <w:r w:rsidRPr="008456CB">
        <w:t>geovrstvy</w:t>
      </w:r>
      <w:proofErr w:type="spellEnd"/>
      <w:r w:rsidRPr="008456CB">
        <w:t xml:space="preserve"> bez překryvů a mezer s naplněním atributů při dodržení zavedené atributové struktury DB REZZO</w:t>
      </w:r>
    </w:p>
    <w:p w:rsidR="00BE59D5" w:rsidRPr="008456CB" w:rsidRDefault="00BE59D5" w:rsidP="00BE59D5">
      <w:pPr>
        <w:pStyle w:val="Odrky"/>
        <w:numPr>
          <w:ilvl w:val="0"/>
          <w:numId w:val="3"/>
        </w:numPr>
      </w:pPr>
      <w:r w:rsidRPr="008456CB">
        <w:t xml:space="preserve">seznam a stručný popis předávaných tematických </w:t>
      </w:r>
      <w:proofErr w:type="spellStart"/>
      <w:r w:rsidRPr="008456CB">
        <w:t>geovrstev</w:t>
      </w:r>
      <w:proofErr w:type="spellEnd"/>
      <w:r w:rsidRPr="008456CB">
        <w:t xml:space="preserve"> resp. souborů </w:t>
      </w:r>
    </w:p>
    <w:p w:rsidR="00BE59D5" w:rsidRPr="008456CB" w:rsidRDefault="00BE59D5" w:rsidP="00BE59D5">
      <w:pPr>
        <w:pStyle w:val="Odrky"/>
        <w:numPr>
          <w:ilvl w:val="0"/>
          <w:numId w:val="3"/>
        </w:numPr>
      </w:pPr>
      <w:r w:rsidRPr="008456CB">
        <w:t>kontaktní informace na autory resp. garanty předávaných dat</w:t>
      </w:r>
    </w:p>
    <w:p w:rsidR="00BE59D5" w:rsidRPr="008456CB" w:rsidRDefault="00BE59D5" w:rsidP="00BE59D5">
      <w:pPr>
        <w:pStyle w:val="Odrky"/>
        <w:numPr>
          <w:ilvl w:val="0"/>
          <w:numId w:val="3"/>
        </w:numPr>
      </w:pPr>
      <w:r w:rsidRPr="008456CB">
        <w:t>informace o aktuálnosti použitých podkladů, referenční měřítko a zdroj podkladů</w:t>
      </w:r>
    </w:p>
    <w:p w:rsidR="00BE59D5" w:rsidRPr="008456CB" w:rsidRDefault="00BE59D5" w:rsidP="00BE59D5">
      <w:pPr>
        <w:pStyle w:val="Odrky"/>
        <w:numPr>
          <w:ilvl w:val="0"/>
          <w:numId w:val="3"/>
        </w:numPr>
      </w:pPr>
      <w:r w:rsidRPr="008456CB">
        <w:t>popis atributů</w:t>
      </w:r>
    </w:p>
    <w:p w:rsidR="00BE59D5" w:rsidRDefault="00BE59D5" w:rsidP="00BE59D5">
      <w:pPr>
        <w:pStyle w:val="Odrky"/>
        <w:numPr>
          <w:ilvl w:val="0"/>
          <w:numId w:val="3"/>
        </w:numPr>
      </w:pPr>
      <w:r>
        <w:t xml:space="preserve">metadatové záznamy GIS dat zpracovat vyplněním </w:t>
      </w:r>
      <w:proofErr w:type="spellStart"/>
      <w:r>
        <w:t>metadat</w:t>
      </w:r>
      <w:proofErr w:type="spellEnd"/>
      <w:r>
        <w:t xml:space="preserve"> v prostředí </w:t>
      </w:r>
      <w:proofErr w:type="spellStart"/>
      <w:r>
        <w:t>ArcGIS</w:t>
      </w:r>
      <w:proofErr w:type="spellEnd"/>
      <w:r>
        <w:t xml:space="preserve"> </w:t>
      </w:r>
      <w:proofErr w:type="spellStart"/>
      <w:r>
        <w:t>for</w:t>
      </w:r>
      <w:proofErr w:type="spellEnd"/>
      <w:r>
        <w:t xml:space="preserve"> Desktop - </w:t>
      </w:r>
      <w:proofErr w:type="spellStart"/>
      <w:r>
        <w:t>ArcCatalogu</w:t>
      </w:r>
      <w:proofErr w:type="spellEnd"/>
      <w:r>
        <w:t xml:space="preserve"> (formát </w:t>
      </w:r>
      <w:proofErr w:type="spellStart"/>
      <w:r>
        <w:t>ArcGIS</w:t>
      </w:r>
      <w:proofErr w:type="spellEnd"/>
      <w:r>
        <w:t xml:space="preserve"> </w:t>
      </w:r>
      <w:proofErr w:type="spellStart"/>
      <w:r>
        <w:t>metadata</w:t>
      </w:r>
      <w:proofErr w:type="spellEnd"/>
      <w:r>
        <w:t xml:space="preserve">). Případně lze </w:t>
      </w:r>
      <w:proofErr w:type="spellStart"/>
      <w:r>
        <w:t>metadata</w:t>
      </w:r>
      <w:proofErr w:type="spellEnd"/>
      <w:r>
        <w:t xml:space="preserve"> odevzdat ve formátu XML dle standardu ISO 19139 (v tomto případě je nutné zvlášť dodat textový soubor s popisem atributů)</w:t>
      </w:r>
    </w:p>
    <w:p w:rsidR="00BE59D5" w:rsidRPr="008456CB" w:rsidRDefault="00BE59D5" w:rsidP="00BE59D5">
      <w:pPr>
        <w:pStyle w:val="Nadpis1"/>
      </w:pPr>
      <w:r w:rsidRPr="008456CB">
        <w:t xml:space="preserve">Požadavky na zpracování </w:t>
      </w:r>
      <w:r>
        <w:t>DB</w:t>
      </w:r>
      <w:r w:rsidRPr="008456CB">
        <w:t xml:space="preserve"> REZZO a aplikačního systému pro správu obsahu a přípravu výstupů</w:t>
      </w:r>
    </w:p>
    <w:p w:rsidR="00BE59D5" w:rsidRPr="008456CB" w:rsidRDefault="00BE59D5" w:rsidP="00BE59D5">
      <w:pPr>
        <w:pStyle w:val="Odrky"/>
        <w:numPr>
          <w:ilvl w:val="0"/>
          <w:numId w:val="4"/>
        </w:numPr>
      </w:pPr>
      <w:r w:rsidRPr="008456CB">
        <w:t>Aktualizace dat a datových struktur, tvorba nových struktur bude dbát a vycházet z existujících struktur a relací datového úložiště.</w:t>
      </w:r>
    </w:p>
    <w:p w:rsidR="00BE59D5" w:rsidRPr="008456CB" w:rsidRDefault="00BE59D5" w:rsidP="00BE59D5">
      <w:pPr>
        <w:pStyle w:val="Odrky"/>
        <w:numPr>
          <w:ilvl w:val="0"/>
          <w:numId w:val="4"/>
        </w:numPr>
      </w:pPr>
      <w:r w:rsidRPr="008456CB">
        <w:t>Bude zajištěno prohlížení aktualizovaných dat i historických dat v existující klientské aplikaci pro ovládání a správu systému. Splněny musí být zejména tato kritéria:</w:t>
      </w:r>
    </w:p>
    <w:p w:rsidR="00BE59D5" w:rsidRPr="008456CB" w:rsidRDefault="00BE59D5" w:rsidP="00BE59D5">
      <w:pPr>
        <w:pStyle w:val="Odrky2"/>
      </w:pPr>
      <w:r w:rsidRPr="008456CB">
        <w:t>jednoduché a intuitivní uživatelské prostředí</w:t>
      </w:r>
    </w:p>
    <w:p w:rsidR="00BE59D5" w:rsidRPr="008456CB" w:rsidRDefault="00BE59D5" w:rsidP="00BE59D5">
      <w:pPr>
        <w:pStyle w:val="Odrky2"/>
      </w:pPr>
      <w:r w:rsidRPr="008456CB">
        <w:lastRenderedPageBreak/>
        <w:t>nástroje a funkce podporující import údajů, zpracování, podporu manuální editace a úprav, tvorbu výstupních sestav, export výstupů</w:t>
      </w:r>
    </w:p>
    <w:p w:rsidR="00BE59D5" w:rsidRPr="008456CB" w:rsidRDefault="00BE59D5" w:rsidP="00BE59D5">
      <w:pPr>
        <w:pStyle w:val="Odrky2"/>
      </w:pPr>
      <w:r w:rsidRPr="008456CB">
        <w:t>aplikace bude zpracována jako těžký klient</w:t>
      </w:r>
    </w:p>
    <w:p w:rsidR="00BE59D5" w:rsidRDefault="00BE59D5" w:rsidP="00BE59D5">
      <w:pPr>
        <w:pStyle w:val="Odrky"/>
        <w:numPr>
          <w:ilvl w:val="0"/>
          <w:numId w:val="4"/>
        </w:numPr>
      </w:pPr>
      <w:r w:rsidRPr="008456CB">
        <w:t>Bude zpracován úplný technický popis úložiště a aplikačního systému pro účely administrace a rozvoje a manuál pro uživatele.</w:t>
      </w:r>
    </w:p>
    <w:p w:rsidR="00BE59D5" w:rsidRPr="008456CB" w:rsidRDefault="00BE59D5" w:rsidP="00BE59D5"/>
    <w:p w:rsidR="005D052F" w:rsidRDefault="005D052F"/>
    <w:sectPr w:rsidR="005D052F" w:rsidSect="00D628A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5C3" w:rsidRDefault="00BF25C3">
      <w:pPr>
        <w:spacing w:before="0" w:after="0"/>
      </w:pPr>
      <w:r>
        <w:separator/>
      </w:r>
    </w:p>
  </w:endnote>
  <w:endnote w:type="continuationSeparator" w:id="0">
    <w:p w:rsidR="00BF25C3" w:rsidRDefault="00BF25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70" w:rsidRDefault="00E222E3">
    <w:pPr>
      <w:pStyle w:val="Zpat"/>
    </w:pPr>
    <w:r>
      <w:tab/>
      <w:t xml:space="preserve">- </w:t>
    </w:r>
    <w:r>
      <w:fldChar w:fldCharType="begin"/>
    </w:r>
    <w:r>
      <w:instrText xml:space="preserve"> PAGE </w:instrText>
    </w:r>
    <w:r>
      <w:fldChar w:fldCharType="separate"/>
    </w:r>
    <w:r w:rsidR="00191BA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5C3" w:rsidRDefault="00BF25C3">
      <w:pPr>
        <w:spacing w:before="0" w:after="0"/>
      </w:pPr>
      <w:r>
        <w:separator/>
      </w:r>
    </w:p>
  </w:footnote>
  <w:footnote w:type="continuationSeparator" w:id="0">
    <w:p w:rsidR="00BF25C3" w:rsidRDefault="00BF25C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BA0" w:rsidRDefault="00191BA0">
    <w:pPr>
      <w:pStyle w:val="Zhlav"/>
    </w:pPr>
    <w:r>
      <w:t>VU 19-0180 – Příloha č.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C2903"/>
    <w:multiLevelType w:val="hybridMultilevel"/>
    <w:tmpl w:val="6B04E366"/>
    <w:lvl w:ilvl="0" w:tplc="FFFFFFFF">
      <w:numFmt w:val="bullet"/>
      <w:pStyle w:val="Odrky2"/>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3B5485"/>
    <w:multiLevelType w:val="hybridMultilevel"/>
    <w:tmpl w:val="A2D085E4"/>
    <w:lvl w:ilvl="0" w:tplc="04050001">
      <w:start w:val="1"/>
      <w:numFmt w:val="bullet"/>
      <w:lvlText w:val=""/>
      <w:lvlJc w:val="left"/>
      <w:pPr>
        <w:tabs>
          <w:tab w:val="num" w:pos="380"/>
        </w:tabs>
        <w:ind w:left="380" w:hanging="380"/>
      </w:pPr>
      <w:rPr>
        <w:rFonts w:ascii="Symbol" w:hAnsi="Symbol" w:hint="default"/>
        <w:color w:val="auto"/>
        <w:sz w:val="20"/>
      </w:rPr>
    </w:lvl>
    <w:lvl w:ilvl="1" w:tplc="2B081E98">
      <w:start w:val="1"/>
      <w:numFmt w:val="bullet"/>
      <w:lvlText w:val="o"/>
      <w:lvlJc w:val="left"/>
      <w:pPr>
        <w:tabs>
          <w:tab w:val="num" w:pos="1440"/>
        </w:tabs>
        <w:ind w:left="1440" w:hanging="360"/>
      </w:pPr>
      <w:rPr>
        <w:rFonts w:ascii="Courier New" w:hAnsi="Courier New" w:cs="Courier New" w:hint="default"/>
      </w:rPr>
    </w:lvl>
    <w:lvl w:ilvl="2" w:tplc="3822FB06" w:tentative="1">
      <w:start w:val="1"/>
      <w:numFmt w:val="bullet"/>
      <w:lvlText w:val=""/>
      <w:lvlJc w:val="left"/>
      <w:pPr>
        <w:tabs>
          <w:tab w:val="num" w:pos="2160"/>
        </w:tabs>
        <w:ind w:left="2160" w:hanging="360"/>
      </w:pPr>
      <w:rPr>
        <w:rFonts w:ascii="Wingdings" w:hAnsi="Wingdings" w:hint="default"/>
      </w:rPr>
    </w:lvl>
    <w:lvl w:ilvl="3" w:tplc="A5D2D34E" w:tentative="1">
      <w:start w:val="1"/>
      <w:numFmt w:val="bullet"/>
      <w:lvlText w:val=""/>
      <w:lvlJc w:val="left"/>
      <w:pPr>
        <w:tabs>
          <w:tab w:val="num" w:pos="2880"/>
        </w:tabs>
        <w:ind w:left="2880" w:hanging="360"/>
      </w:pPr>
      <w:rPr>
        <w:rFonts w:ascii="Symbol" w:hAnsi="Symbol" w:hint="default"/>
      </w:rPr>
    </w:lvl>
    <w:lvl w:ilvl="4" w:tplc="0158D784" w:tentative="1">
      <w:start w:val="1"/>
      <w:numFmt w:val="bullet"/>
      <w:lvlText w:val="o"/>
      <w:lvlJc w:val="left"/>
      <w:pPr>
        <w:tabs>
          <w:tab w:val="num" w:pos="3600"/>
        </w:tabs>
        <w:ind w:left="3600" w:hanging="360"/>
      </w:pPr>
      <w:rPr>
        <w:rFonts w:ascii="Courier New" w:hAnsi="Courier New" w:cs="Courier New" w:hint="default"/>
      </w:rPr>
    </w:lvl>
    <w:lvl w:ilvl="5" w:tplc="855243C6" w:tentative="1">
      <w:start w:val="1"/>
      <w:numFmt w:val="bullet"/>
      <w:lvlText w:val=""/>
      <w:lvlJc w:val="left"/>
      <w:pPr>
        <w:tabs>
          <w:tab w:val="num" w:pos="4320"/>
        </w:tabs>
        <w:ind w:left="4320" w:hanging="360"/>
      </w:pPr>
      <w:rPr>
        <w:rFonts w:ascii="Wingdings" w:hAnsi="Wingdings" w:hint="default"/>
      </w:rPr>
    </w:lvl>
    <w:lvl w:ilvl="6" w:tplc="8DD6B614" w:tentative="1">
      <w:start w:val="1"/>
      <w:numFmt w:val="bullet"/>
      <w:lvlText w:val=""/>
      <w:lvlJc w:val="left"/>
      <w:pPr>
        <w:tabs>
          <w:tab w:val="num" w:pos="5040"/>
        </w:tabs>
        <w:ind w:left="5040" w:hanging="360"/>
      </w:pPr>
      <w:rPr>
        <w:rFonts w:ascii="Symbol" w:hAnsi="Symbol" w:hint="default"/>
      </w:rPr>
    </w:lvl>
    <w:lvl w:ilvl="7" w:tplc="A89AB2F6" w:tentative="1">
      <w:start w:val="1"/>
      <w:numFmt w:val="bullet"/>
      <w:lvlText w:val="o"/>
      <w:lvlJc w:val="left"/>
      <w:pPr>
        <w:tabs>
          <w:tab w:val="num" w:pos="5760"/>
        </w:tabs>
        <w:ind w:left="5760" w:hanging="360"/>
      </w:pPr>
      <w:rPr>
        <w:rFonts w:ascii="Courier New" w:hAnsi="Courier New" w:cs="Courier New" w:hint="default"/>
      </w:rPr>
    </w:lvl>
    <w:lvl w:ilvl="8" w:tplc="06425B8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77424F"/>
    <w:multiLevelType w:val="multilevel"/>
    <w:tmpl w:val="AF3C02F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7B4A0F0B"/>
    <w:multiLevelType w:val="hybridMultilevel"/>
    <w:tmpl w:val="3E9C5DCE"/>
    <w:lvl w:ilvl="0" w:tplc="04050001">
      <w:start w:val="1"/>
      <w:numFmt w:val="bullet"/>
      <w:pStyle w:val="Odrky"/>
      <w:lvlText w:val=""/>
      <w:lvlJc w:val="left"/>
      <w:pPr>
        <w:tabs>
          <w:tab w:val="num" w:pos="380"/>
        </w:tabs>
        <w:ind w:left="380" w:hanging="380"/>
      </w:pPr>
      <w:rPr>
        <w:rFonts w:ascii="Symbol" w:hAnsi="Symbol" w:hint="default"/>
        <w:color w:val="auto"/>
        <w:sz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D5"/>
    <w:rsid w:val="0001580B"/>
    <w:rsid w:val="0002707D"/>
    <w:rsid w:val="000C6A78"/>
    <w:rsid w:val="000D3B33"/>
    <w:rsid w:val="00117FEB"/>
    <w:rsid w:val="00191BA0"/>
    <w:rsid w:val="00213DB1"/>
    <w:rsid w:val="00222964"/>
    <w:rsid w:val="00264926"/>
    <w:rsid w:val="00317769"/>
    <w:rsid w:val="00367BD6"/>
    <w:rsid w:val="003B1845"/>
    <w:rsid w:val="003B24BF"/>
    <w:rsid w:val="004A190E"/>
    <w:rsid w:val="004C245A"/>
    <w:rsid w:val="005D052F"/>
    <w:rsid w:val="006017F2"/>
    <w:rsid w:val="0060738F"/>
    <w:rsid w:val="00857833"/>
    <w:rsid w:val="00866CF9"/>
    <w:rsid w:val="0094666A"/>
    <w:rsid w:val="009753DA"/>
    <w:rsid w:val="009D2861"/>
    <w:rsid w:val="00A30311"/>
    <w:rsid w:val="00A64B57"/>
    <w:rsid w:val="00AA3897"/>
    <w:rsid w:val="00AB690F"/>
    <w:rsid w:val="00AE00C6"/>
    <w:rsid w:val="00B91338"/>
    <w:rsid w:val="00BA7732"/>
    <w:rsid w:val="00BE59D5"/>
    <w:rsid w:val="00BF25C3"/>
    <w:rsid w:val="00C117A0"/>
    <w:rsid w:val="00C45E06"/>
    <w:rsid w:val="00C9361F"/>
    <w:rsid w:val="00CF6C73"/>
    <w:rsid w:val="00E222E3"/>
    <w:rsid w:val="00F16482"/>
    <w:rsid w:val="00FB3A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DAAAF-0AA8-4FFD-96D5-0E97FF5E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59D5"/>
    <w:pPr>
      <w:spacing w:before="60" w:after="60" w:line="240" w:lineRule="auto"/>
      <w:jc w:val="both"/>
    </w:pPr>
    <w:rPr>
      <w:rFonts w:ascii="Calibri" w:eastAsia="Times New Roman" w:hAnsi="Calibri" w:cs="Times New Roman"/>
      <w:sz w:val="24"/>
      <w:szCs w:val="24"/>
      <w:lang w:eastAsia="cs-CZ"/>
    </w:rPr>
  </w:style>
  <w:style w:type="paragraph" w:styleId="Nadpis1">
    <w:name w:val="heading 1"/>
    <w:basedOn w:val="Normln"/>
    <w:next w:val="Normln"/>
    <w:link w:val="Nadpis1Char"/>
    <w:qFormat/>
    <w:rsid w:val="00BE59D5"/>
    <w:pPr>
      <w:keepNext/>
      <w:spacing w:before="480" w:after="120"/>
      <w:outlineLvl w:val="0"/>
    </w:pPr>
    <w:rPr>
      <w:rFonts w:cs="Arial"/>
      <w:b/>
      <w:bCs/>
      <w:kern w:val="32"/>
      <w:sz w:val="26"/>
      <w:szCs w:val="32"/>
    </w:rPr>
  </w:style>
  <w:style w:type="paragraph" w:styleId="Nadpis2">
    <w:name w:val="heading 2"/>
    <w:basedOn w:val="Normln"/>
    <w:next w:val="Normln"/>
    <w:link w:val="Nadpis2Char"/>
    <w:qFormat/>
    <w:rsid w:val="00BE59D5"/>
    <w:pPr>
      <w:keepNext/>
      <w:spacing w:before="240"/>
      <w:outlineLvl w:val="1"/>
    </w:pPr>
    <w:rPr>
      <w:rFonts w:cs="Arial"/>
      <w:bCs/>
      <w:iCs/>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E59D5"/>
    <w:rPr>
      <w:rFonts w:ascii="Calibri" w:eastAsia="Times New Roman" w:hAnsi="Calibri" w:cs="Arial"/>
      <w:b/>
      <w:bCs/>
      <w:kern w:val="32"/>
      <w:sz w:val="26"/>
      <w:szCs w:val="32"/>
      <w:lang w:eastAsia="cs-CZ"/>
    </w:rPr>
  </w:style>
  <w:style w:type="character" w:customStyle="1" w:styleId="Nadpis2Char">
    <w:name w:val="Nadpis 2 Char"/>
    <w:basedOn w:val="Standardnpsmoodstavce"/>
    <w:link w:val="Nadpis2"/>
    <w:rsid w:val="00BE59D5"/>
    <w:rPr>
      <w:rFonts w:ascii="Calibri" w:eastAsia="Times New Roman" w:hAnsi="Calibri" w:cs="Arial"/>
      <w:bCs/>
      <w:iCs/>
      <w:sz w:val="24"/>
      <w:szCs w:val="28"/>
      <w:u w:val="single"/>
      <w:lang w:eastAsia="cs-CZ"/>
    </w:rPr>
  </w:style>
  <w:style w:type="paragraph" w:styleId="Zkladntext">
    <w:name w:val="Body Text"/>
    <w:basedOn w:val="Normln"/>
    <w:link w:val="ZkladntextChar"/>
    <w:rsid w:val="00BE59D5"/>
    <w:pPr>
      <w:spacing w:before="120" w:line="240" w:lineRule="atLeast"/>
      <w:ind w:firstLine="357"/>
    </w:pPr>
    <w:rPr>
      <w:rFonts w:ascii="Times New Roman" w:hAnsi="Times New Roman"/>
      <w:sz w:val="22"/>
      <w:szCs w:val="20"/>
    </w:rPr>
  </w:style>
  <w:style w:type="character" w:customStyle="1" w:styleId="ZkladntextChar">
    <w:name w:val="Základní text Char"/>
    <w:basedOn w:val="Standardnpsmoodstavce"/>
    <w:link w:val="Zkladntext"/>
    <w:rsid w:val="00BE59D5"/>
    <w:rPr>
      <w:rFonts w:ascii="Times New Roman" w:eastAsia="Times New Roman" w:hAnsi="Times New Roman" w:cs="Times New Roman"/>
      <w:szCs w:val="20"/>
      <w:lang w:eastAsia="cs-CZ"/>
    </w:rPr>
  </w:style>
  <w:style w:type="paragraph" w:styleId="Zpat">
    <w:name w:val="footer"/>
    <w:basedOn w:val="Normln"/>
    <w:link w:val="ZpatChar"/>
    <w:rsid w:val="00BE59D5"/>
    <w:pPr>
      <w:tabs>
        <w:tab w:val="center" w:pos="4536"/>
        <w:tab w:val="right" w:pos="9072"/>
      </w:tabs>
    </w:pPr>
  </w:style>
  <w:style w:type="character" w:customStyle="1" w:styleId="ZpatChar">
    <w:name w:val="Zápatí Char"/>
    <w:basedOn w:val="Standardnpsmoodstavce"/>
    <w:link w:val="Zpat"/>
    <w:rsid w:val="00BE59D5"/>
    <w:rPr>
      <w:rFonts w:ascii="Calibri" w:eastAsia="Times New Roman" w:hAnsi="Calibri" w:cs="Times New Roman"/>
      <w:sz w:val="24"/>
      <w:szCs w:val="24"/>
      <w:lang w:eastAsia="cs-CZ"/>
    </w:rPr>
  </w:style>
  <w:style w:type="paragraph" w:customStyle="1" w:styleId="Odrky">
    <w:name w:val="Odrážky"/>
    <w:basedOn w:val="Normln"/>
    <w:rsid w:val="00BE59D5"/>
    <w:pPr>
      <w:numPr>
        <w:numId w:val="2"/>
      </w:numPr>
      <w:spacing w:before="120"/>
    </w:pPr>
  </w:style>
  <w:style w:type="paragraph" w:customStyle="1" w:styleId="Odrky2">
    <w:name w:val="Odrážky 2"/>
    <w:basedOn w:val="Normln"/>
    <w:rsid w:val="00BE59D5"/>
    <w:pPr>
      <w:numPr>
        <w:numId w:val="1"/>
      </w:numPr>
    </w:pPr>
  </w:style>
  <w:style w:type="paragraph" w:customStyle="1" w:styleId="Nadpistabulky">
    <w:name w:val="Nadpis tabulky"/>
    <w:aliases w:val="obrázku"/>
    <w:basedOn w:val="Normln"/>
    <w:rsid w:val="00BE59D5"/>
    <w:pPr>
      <w:keepNext/>
    </w:pPr>
    <w:rPr>
      <w:i/>
    </w:rPr>
  </w:style>
  <w:style w:type="paragraph" w:styleId="Nzev">
    <w:name w:val="Title"/>
    <w:basedOn w:val="Normln"/>
    <w:link w:val="NzevChar"/>
    <w:qFormat/>
    <w:rsid w:val="00BE59D5"/>
    <w:pPr>
      <w:spacing w:before="240"/>
      <w:jc w:val="center"/>
      <w:outlineLvl w:val="0"/>
    </w:pPr>
    <w:rPr>
      <w:rFonts w:cs="Arial"/>
      <w:b/>
      <w:bCs/>
      <w:kern w:val="28"/>
      <w:sz w:val="32"/>
      <w:szCs w:val="32"/>
    </w:rPr>
  </w:style>
  <w:style w:type="character" w:customStyle="1" w:styleId="NzevChar">
    <w:name w:val="Název Char"/>
    <w:basedOn w:val="Standardnpsmoodstavce"/>
    <w:link w:val="Nzev"/>
    <w:rsid w:val="00BE59D5"/>
    <w:rPr>
      <w:rFonts w:ascii="Calibri" w:eastAsia="Times New Roman" w:hAnsi="Calibri" w:cs="Arial"/>
      <w:b/>
      <w:bCs/>
      <w:kern w:val="28"/>
      <w:sz w:val="32"/>
      <w:szCs w:val="32"/>
      <w:lang w:eastAsia="cs-CZ"/>
    </w:rPr>
  </w:style>
  <w:style w:type="paragraph" w:customStyle="1" w:styleId="Nzev2">
    <w:name w:val="Název 2"/>
    <w:basedOn w:val="Nzev"/>
    <w:autoRedefine/>
    <w:rsid w:val="00BE59D5"/>
    <w:pPr>
      <w:spacing w:before="120" w:after="600"/>
    </w:pPr>
    <w:rPr>
      <w:b w:val="0"/>
      <w:sz w:val="28"/>
      <w:szCs w:val="24"/>
    </w:rPr>
  </w:style>
  <w:style w:type="paragraph" w:styleId="Zhlav">
    <w:name w:val="header"/>
    <w:basedOn w:val="Normln"/>
    <w:link w:val="ZhlavChar"/>
    <w:uiPriority w:val="99"/>
    <w:unhideWhenUsed/>
    <w:rsid w:val="00191BA0"/>
    <w:pPr>
      <w:tabs>
        <w:tab w:val="center" w:pos="4536"/>
        <w:tab w:val="right" w:pos="9072"/>
      </w:tabs>
      <w:spacing w:before="0" w:after="0"/>
    </w:pPr>
  </w:style>
  <w:style w:type="character" w:customStyle="1" w:styleId="ZhlavChar">
    <w:name w:val="Záhlaví Char"/>
    <w:basedOn w:val="Standardnpsmoodstavce"/>
    <w:link w:val="Zhlav"/>
    <w:uiPriority w:val="99"/>
    <w:rsid w:val="00191BA0"/>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4D39D-042D-43DE-9095-B5F2A0BB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1669</Words>
  <Characters>9853</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Leisková Karolína Mgr. (IPR/SPI)</dc:creator>
  <cp:keywords/>
  <dc:description/>
  <cp:lastModifiedBy>Vávrová Eva Ing. (SPR/VEZ)</cp:lastModifiedBy>
  <cp:revision>26</cp:revision>
  <dcterms:created xsi:type="dcterms:W3CDTF">2016-03-18T13:53:00Z</dcterms:created>
  <dcterms:modified xsi:type="dcterms:W3CDTF">2019-06-14T10:32:00Z</dcterms:modified>
</cp:coreProperties>
</file>