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02.8pt;margin-top:0.8pt;width:8.1pt;height:11.2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  <w:i/>
                      <w:iCs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.e-002pt;margin-top:16.9pt;width:751.3pt;height:477.9pt;z-index:25165772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2614"/>
                    <w:gridCol w:w="3100"/>
                    <w:gridCol w:w="3096"/>
                    <w:gridCol w:w="3103"/>
                    <w:gridCol w:w="3114"/>
                  </w:tblGrid>
                  <w:tr>
                    <w:trPr>
                      <w:trHeight w:val="79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cena za ks bez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počet 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počet měsíců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cena bez DPH</w:t>
                        </w:r>
                      </w:p>
                    </w:tc>
                  </w:tr>
                  <w:tr>
                    <w:trPr>
                      <w:trHeight w:val="78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1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jednotka (montovaná vozidla)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50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66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0" w:lineRule="exact"/>
                          <w:ind w:left="0" w:right="104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16,00 Kč</w:t>
                        </w:r>
                      </w:p>
                    </w:tc>
                  </w:tr>
                  <w:tr>
                    <w:trPr>
                      <w:trHeight w:val="78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jednotka přenosná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2 980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50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66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0" w:lineRule="exact"/>
                          <w:ind w:left="0" w:right="104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2 980,00 Kč</w:t>
                        </w:r>
                      </w:p>
                    </w:tc>
                  </w:tr>
                  <w:tr>
                    <w:trPr>
                      <w:trHeight w:val="78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1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bezkontaktní čtečka MIFARE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800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50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66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0" w:lineRule="exact"/>
                          <w:ind w:left="0" w:right="104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12 800,00 Kč</w:t>
                        </w:r>
                      </w:p>
                    </w:tc>
                  </w:tr>
                  <w:tr>
                    <w:trPr>
                      <w:trHeight w:val="78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06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MIFARE bezkonatkní čip (klíčenka)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45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50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66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0" w:lineRule="exact"/>
                          <w:ind w:left="0" w:right="104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4 500,00 Kč</w:t>
                        </w:r>
                      </w:p>
                    </w:tc>
                  </w:tr>
                  <w:tr>
                    <w:trPr>
                      <w:trHeight w:val="78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13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MIFARE bezkonatkní karta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45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50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66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0" w:lineRule="exact"/>
                          <w:ind w:left="0" w:right="104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4 500,00 Kč</w:t>
                        </w:r>
                      </w:p>
                    </w:tc>
                  </w:tr>
                  <w:tr>
                    <w:trPr>
                      <w:trHeight w:val="78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13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instalace (montáž) jednotky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1 200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50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66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0" w:lineRule="exact"/>
                          <w:ind w:left="0" w:right="104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19 200,00 Kč</w:t>
                        </w:r>
                      </w:p>
                    </w:tc>
                  </w:tr>
                  <w:tr>
                    <w:trPr>
                      <w:trHeight w:val="78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demontáž jednotky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400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50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66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0" w:lineRule="exact"/>
                          <w:ind w:left="0" w:right="104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6 400,00 Kč</w:t>
                        </w:r>
                      </w:p>
                    </w:tc>
                  </w:tr>
                  <w:tr>
                    <w:trPr>
                      <w:trHeight w:val="7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měsíční tarif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180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50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1660" w:right="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30" w:lineRule="exact"/>
                          <w:ind w:left="0" w:right="1040" w:firstLine="0"/>
                        </w:pPr>
                        <w:r>
                          <w:rPr>
                            <w:rStyle w:val="CharStyle6"/>
                            <w:i w:val="0"/>
                            <w:iCs w:val="0"/>
                          </w:rPr>
                          <w:t>146 880,00 Kč</w:t>
                        </w:r>
                      </w:p>
                    </w:tc>
                  </w:tr>
                  <w:tr>
                    <w:trPr>
                      <w:trHeight w:val="79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13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i w:val="0"/>
                            <w:iCs w:val="0"/>
                          </w:rPr>
                          <w:t>cena celkem za 48 měsíců bez DPH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40" w:lineRule="exact"/>
                          <w:ind w:left="0" w:right="1040" w:firstLine="0"/>
                        </w:pPr>
                        <w:r>
                          <w:rPr>
                            <w:rStyle w:val="CharStyle7"/>
                            <w:i w:val="0"/>
                            <w:iCs w:val="0"/>
                          </w:rPr>
                          <w:t>192 776,00 Kč</w:t>
                        </w:r>
                      </w:p>
                    </w:tc>
                  </w:tr>
                  <w:tr>
                    <w:trPr>
                      <w:trHeight w:val="8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i w:val="0"/>
                            <w:iCs w:val="0"/>
                          </w:rPr>
                          <w:t>DPH 21%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40" w:lineRule="exact"/>
                          <w:ind w:left="0" w:right="1040" w:firstLine="0"/>
                        </w:pPr>
                        <w:r>
                          <w:rPr>
                            <w:rStyle w:val="CharStyle7"/>
                            <w:i w:val="0"/>
                            <w:iCs w:val="0"/>
                          </w:rPr>
                          <w:t>40 482,96 Kč</w:t>
                        </w:r>
                      </w:p>
                    </w:tc>
                  </w:tr>
                  <w:tr>
                    <w:trPr>
                      <w:trHeight w:val="88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425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i w:val="0"/>
                            <w:iCs w:val="0"/>
                          </w:rPr>
                          <w:t>cena celkem za 48 měsíců s DPH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7"/>
                            <w:i w:val="0"/>
                            <w:iCs w:val="0"/>
                          </w:rPr>
                          <w:t>233 258, 96 Kč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28" type="#_x0000_t202" style="position:absolute;margin-left:61.6pt;margin-top:0;width:137.5pt;height:13.9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Příloha č. 1 - Nabídkový list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28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116" w:left="548" w:right="74" w:bottom="83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/>
      <w:iCs/>
      <w:u w:val="none"/>
      <w:strike w:val="0"/>
      <w:smallCaps w:val="0"/>
      <w:sz w:val="16"/>
      <w:szCs w:val="16"/>
      <w:rFonts w:ascii="Bookman Old Style" w:eastAsia="Bookman Old Style" w:hAnsi="Bookman Old Style" w:cs="Bookman Old Style"/>
    </w:rPr>
  </w:style>
  <w:style w:type="character" w:customStyle="1" w:styleId="CharStyle5">
    <w:name w:val="Základní text (2)_"/>
    <w:basedOn w:val="DefaultParagraphFont"/>
    <w:link w:val="Style3"/>
    <w:rPr>
      <w:b w:val="0"/>
      <w:bCs w:val="0"/>
      <w:i/>
      <w:iCs/>
      <w:u w:val="none"/>
      <w:strike w:val="0"/>
      <w:smallCaps w:val="0"/>
      <w:sz w:val="16"/>
      <w:szCs w:val="16"/>
      <w:rFonts w:ascii="Bookman Old Style" w:eastAsia="Bookman Old Style" w:hAnsi="Bookman Old Style" w:cs="Bookman Old Style"/>
    </w:rPr>
  </w:style>
  <w:style w:type="character" w:customStyle="1" w:styleId="CharStyle6">
    <w:name w:val="Základní text (2) + Calibri,11,5 pt,Ne kurzíva"/>
    <w:basedOn w:val="CharStyle5"/>
    <w:rPr>
      <w:lang w:val="cs-CZ" w:eastAsia="cs-CZ" w:bidi="cs-CZ"/>
      <w:i/>
      <w:iCs/>
      <w:sz w:val="23"/>
      <w:szCs w:val="23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7">
    <w:name w:val="Základní text (2) + Calibri,12 pt,Tučné,Ne kurzíva"/>
    <w:basedOn w:val="CharStyle5"/>
    <w:rPr>
      <w:lang w:val="cs-CZ" w:eastAsia="cs-CZ" w:bidi="cs-CZ"/>
      <w:b/>
      <w:bCs/>
      <w:i/>
      <w:iCs/>
      <w:sz w:val="24"/>
      <w:szCs w:val="24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9">
    <w:name w:val="Titulek tabulky Exact"/>
    <w:basedOn w:val="DefaultParagraphFont"/>
    <w:link w:val="Style8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3">
    <w:name w:val="Základní text (2)"/>
    <w:basedOn w:val="Normal"/>
    <w:link w:val="CharStyle5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Bookman Old Style" w:eastAsia="Bookman Old Style" w:hAnsi="Bookman Old Style" w:cs="Bookman Old Style"/>
    </w:rPr>
  </w:style>
  <w:style w:type="paragraph" w:customStyle="1" w:styleId="Style8">
    <w:name w:val="Titulek tabulky"/>
    <w:basedOn w:val="Normal"/>
    <w:link w:val="CharStyle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