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65E" w:rsidRDefault="00D741AB" w:rsidP="00CE765E">
      <w:pPr>
        <w:rPr>
          <w:rFonts w:ascii="Arial" w:hAnsi="Arial" w:cs="Arial"/>
          <w:sz w:val="72"/>
          <w:szCs w:val="72"/>
        </w:rPr>
      </w:pPr>
      <w:r>
        <w:rPr>
          <w:rFonts w:ascii="Code 128 Notext" w:hAnsi="Code 128 Notext" w:cs="Arial"/>
          <w:noProof/>
          <w:sz w:val="72"/>
          <w:szCs w:val="72"/>
        </w:rPr>
        <w:drawing>
          <wp:inline distT="0" distB="0" distL="0" distR="0">
            <wp:extent cx="3400425" cy="428625"/>
            <wp:effectExtent l="0" t="0" r="9525" b="9525"/>
            <wp:docPr id="1" name="KOD.KOD_EVC_BA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D.KOD_EVC_BARCOD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62F" w:rsidRPr="008E2E34" w:rsidRDefault="00D741AB" w:rsidP="007A662F">
      <w:pPr>
        <w:pStyle w:val="Bezmezer"/>
        <w:rPr>
          <w:rFonts w:ascii="Arial" w:hAnsi="Arial" w:cs="Arial"/>
          <w:sz w:val="18"/>
          <w:szCs w:val="18"/>
        </w:rPr>
      </w:pPr>
      <w:r w:rsidRPr="008E2E34">
        <w:rPr>
          <w:rFonts w:ascii="Arial" w:hAnsi="Arial" w:cs="Arial"/>
          <w:sz w:val="18"/>
          <w:szCs w:val="18"/>
        </w:rPr>
        <w:fldChar w:fldCharType="begin"/>
      </w:r>
      <w:r w:rsidRPr="008E2E34">
        <w:rPr>
          <w:rFonts w:ascii="Arial" w:hAnsi="Arial" w:cs="Arial"/>
          <w:sz w:val="18"/>
          <w:szCs w:val="18"/>
        </w:rPr>
        <w:instrText xml:space="preserve"> DOCPROPERTY  KOD.KOD_EVC  \* MERGEFORMAT </w:instrText>
      </w:r>
      <w:r w:rsidRPr="008E2E34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t>1327/BVY/2019-BVYM</w:t>
      </w:r>
      <w:r w:rsidRPr="008E2E34">
        <w:rPr>
          <w:rFonts w:ascii="Arial" w:hAnsi="Arial" w:cs="Arial"/>
          <w:sz w:val="18"/>
          <w:szCs w:val="18"/>
        </w:rPr>
        <w:fldChar w:fldCharType="end"/>
      </w:r>
      <w:r w:rsidRPr="008E2E34">
        <w:rPr>
          <w:rFonts w:ascii="Arial" w:hAnsi="Arial" w:cs="Arial"/>
          <w:sz w:val="18"/>
          <w:szCs w:val="18"/>
        </w:rPr>
        <w:t xml:space="preserve"> </w:t>
      </w:r>
    </w:p>
    <w:p w:rsidR="00D45E56" w:rsidRDefault="00D741AB" w:rsidP="007A662F">
      <w:pPr>
        <w:pStyle w:val="Bezmezer"/>
        <w:rPr>
          <w:rFonts w:ascii="Arial" w:hAnsi="Arial" w:cs="Arial"/>
          <w:sz w:val="18"/>
          <w:szCs w:val="18"/>
        </w:rPr>
      </w:pPr>
      <w:r w:rsidRPr="008E2E34">
        <w:rPr>
          <w:rFonts w:ascii="Arial" w:hAnsi="Arial" w:cs="Arial"/>
          <w:sz w:val="18"/>
          <w:szCs w:val="18"/>
        </w:rPr>
        <w:t xml:space="preserve">Čj.: </w:t>
      </w:r>
      <w:r w:rsidRPr="008E2E34">
        <w:rPr>
          <w:rFonts w:ascii="Arial" w:hAnsi="Arial" w:cs="Arial"/>
          <w:sz w:val="18"/>
          <w:szCs w:val="18"/>
        </w:rPr>
        <w:fldChar w:fldCharType="begin"/>
      </w:r>
      <w:r w:rsidRPr="008E2E34">
        <w:rPr>
          <w:rFonts w:ascii="Arial" w:hAnsi="Arial" w:cs="Arial"/>
          <w:sz w:val="18"/>
          <w:szCs w:val="18"/>
        </w:rPr>
        <w:instrText xml:space="preserve"> DOCPROPERTY  KOD.KOD_CJ  \* MERGEFORMAT </w:instrText>
      </w:r>
      <w:r w:rsidRPr="008E2E34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t>UZSVM/BVY/1095/2019-BVYM</w:t>
      </w:r>
      <w:r w:rsidRPr="008E2E34">
        <w:rPr>
          <w:rFonts w:ascii="Arial" w:hAnsi="Arial" w:cs="Arial"/>
          <w:sz w:val="18"/>
          <w:szCs w:val="18"/>
        </w:rPr>
        <w:fldChar w:fldCharType="end"/>
      </w:r>
    </w:p>
    <w:p w:rsidR="006A03E3" w:rsidRPr="008E2E34" w:rsidRDefault="00D741AB" w:rsidP="007A662F">
      <w:pPr>
        <w:pStyle w:val="Bezmezer"/>
        <w:rPr>
          <w:rFonts w:ascii="Arial" w:hAnsi="Arial" w:cs="Arial"/>
          <w:sz w:val="18"/>
          <w:szCs w:val="18"/>
        </w:rPr>
      </w:pPr>
    </w:p>
    <w:p w:rsidR="000132DD" w:rsidRPr="00D97762" w:rsidRDefault="00D741AB" w:rsidP="000132DD">
      <w:pPr>
        <w:pStyle w:val="obec"/>
        <w:tabs>
          <w:tab w:val="left" w:pos="708"/>
        </w:tabs>
        <w:jc w:val="both"/>
        <w:rPr>
          <w:rFonts w:ascii="Arial" w:hAnsi="Arial" w:cs="Arial"/>
          <w:b/>
          <w:sz w:val="22"/>
          <w:szCs w:val="22"/>
        </w:rPr>
      </w:pPr>
      <w:r w:rsidRPr="00D97762">
        <w:rPr>
          <w:rFonts w:ascii="Arial" w:hAnsi="Arial" w:cs="Arial"/>
          <w:b/>
          <w:sz w:val="22"/>
          <w:szCs w:val="22"/>
        </w:rPr>
        <w:t>Česká republika- Úřad pro zastupování státu ve věcech majetkových</w:t>
      </w:r>
    </w:p>
    <w:p w:rsidR="00B8740B" w:rsidRPr="000132DD" w:rsidRDefault="00D741AB" w:rsidP="000132DD">
      <w:pPr>
        <w:pStyle w:val="obec"/>
        <w:tabs>
          <w:tab w:val="left" w:pos="708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D97762">
        <w:rPr>
          <w:rFonts w:ascii="Arial" w:hAnsi="Arial" w:cs="Arial"/>
          <w:sz w:val="22"/>
          <w:szCs w:val="22"/>
        </w:rPr>
        <w:t>se sídlem</w:t>
      </w:r>
      <w:r w:rsidRPr="00D97762">
        <w:rPr>
          <w:rFonts w:ascii="Arial" w:hAnsi="Arial" w:cs="Arial"/>
          <w:color w:val="000000"/>
          <w:sz w:val="22"/>
          <w:szCs w:val="22"/>
        </w:rPr>
        <w:t xml:space="preserve"> Rašínovo nábřeží 390/42, Nové Město, 128 00 Praha 2</w:t>
      </w:r>
    </w:p>
    <w:p w:rsidR="006A03E3" w:rsidRDefault="00D741AB" w:rsidP="006A03E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kterou právně jedná Ing. Martin Hořava, ředitel odboru Odloučené pracoviště Vyškov</w:t>
      </w:r>
    </w:p>
    <w:p w:rsidR="006A03E3" w:rsidRDefault="00D741AB" w:rsidP="006A03E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základě Příkazu generálního ředitele č. 6/2014 v platném znění </w:t>
      </w:r>
    </w:p>
    <w:p w:rsidR="006A03E3" w:rsidRDefault="00D741AB" w:rsidP="006A03E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Územní pracoviště Brno</w:t>
      </w:r>
    </w:p>
    <w:p w:rsidR="006A03E3" w:rsidRDefault="00D741AB" w:rsidP="006A03E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odbor Odloučené pracoviště </w:t>
      </w:r>
      <w:r>
        <w:rPr>
          <w:rFonts w:ascii="Arial" w:hAnsi="Arial" w:cs="Arial"/>
          <w:sz w:val="22"/>
          <w:szCs w:val="22"/>
        </w:rPr>
        <w:t>Vyškov, Masarykovo náměstí 165/16, 682 01 Vyškov</w:t>
      </w:r>
    </w:p>
    <w:p w:rsidR="006A03E3" w:rsidRDefault="00D741AB" w:rsidP="006A03E3">
      <w:p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69797111</w:t>
      </w:r>
    </w:p>
    <w:p w:rsidR="006A03E3" w:rsidRDefault="00D741AB" w:rsidP="006A03E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(dále jen „pronajímatel“)</w:t>
      </w:r>
    </w:p>
    <w:p w:rsidR="006A03E3" w:rsidRDefault="00D741AB" w:rsidP="006A03E3">
      <w:pPr>
        <w:spacing w:before="240"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6A03E3" w:rsidRDefault="00D741AB" w:rsidP="006A03E3">
      <w:pPr>
        <w:pStyle w:val="adresa"/>
        <w:tabs>
          <w:tab w:val="left" w:pos="120"/>
        </w:tabs>
        <w:ind w:left="505" w:hanging="50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SVITAVICE a.s.</w:t>
      </w:r>
    </w:p>
    <w:p w:rsidR="006A03E3" w:rsidRDefault="00D741AB" w:rsidP="000132DD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 Lazinov č.p. 56, 679 62 Lazinov</w:t>
      </w:r>
    </w:p>
    <w:p w:rsidR="006A03E3" w:rsidRDefault="00D741AB" w:rsidP="006A03E3">
      <w:pPr>
        <w:ind w:right="-142"/>
        <w:jc w:val="both"/>
        <w:rPr>
          <w:rFonts w:ascii="Arial" w:hAnsi="Arial" w:cs="Arial"/>
          <w:i/>
          <w:sz w:val="22"/>
          <w:szCs w:val="22"/>
        </w:rPr>
      </w:pPr>
      <w:r w:rsidRPr="00D741AB">
        <w:rPr>
          <w:rFonts w:ascii="Arial" w:hAnsi="Arial" w:cs="Arial"/>
          <w:sz w:val="22"/>
          <w:szCs w:val="22"/>
          <w:highlight w:val="black"/>
        </w:rPr>
        <w:t>kterou zastupuje Donald Haswell, předseda představenstva</w:t>
      </w:r>
    </w:p>
    <w:p w:rsidR="006A03E3" w:rsidRDefault="00D741AB" w:rsidP="006A03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26889919,</w:t>
      </w:r>
    </w:p>
    <w:p w:rsidR="006A03E3" w:rsidRDefault="00D741AB" w:rsidP="006A03E3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zapsána ve veřejném rejstříku </w:t>
      </w:r>
      <w:r>
        <w:rPr>
          <w:rFonts w:ascii="Arial" w:hAnsi="Arial" w:cs="Arial"/>
          <w:sz w:val="22"/>
          <w:szCs w:val="22"/>
        </w:rPr>
        <w:t>právnických osob vedeném Krajským soudem v Brně, oddíl B, vložka 3861,</w:t>
      </w:r>
    </w:p>
    <w:p w:rsidR="006A03E3" w:rsidRPr="00AB2A79" w:rsidRDefault="00D741AB" w:rsidP="006A03E3">
      <w:pPr>
        <w:jc w:val="both"/>
        <w:rPr>
          <w:rFonts w:ascii="Arial" w:hAnsi="Arial" w:cs="Arial"/>
          <w:sz w:val="22"/>
          <w:szCs w:val="22"/>
        </w:rPr>
      </w:pPr>
      <w:r w:rsidRPr="00D741AB">
        <w:rPr>
          <w:rFonts w:ascii="Arial" w:hAnsi="Arial" w:cs="Arial"/>
          <w:sz w:val="22"/>
          <w:szCs w:val="22"/>
          <w:highlight w:val="black"/>
        </w:rPr>
        <w:t xml:space="preserve">bankovní spojení </w:t>
      </w:r>
      <w:r w:rsidRPr="00D741AB">
        <w:rPr>
          <w:rFonts w:ascii="Arial" w:hAnsi="Arial" w:cs="Arial"/>
          <w:sz w:val="22"/>
          <w:szCs w:val="22"/>
          <w:highlight w:val="black"/>
        </w:rPr>
        <w:t>27-8710750267/0100</w:t>
      </w:r>
    </w:p>
    <w:p w:rsidR="006A03E3" w:rsidRDefault="00D741AB" w:rsidP="006A03E3">
      <w:pPr>
        <w:jc w:val="both"/>
        <w:rPr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(dále jen „nájemce“)</w:t>
      </w:r>
    </w:p>
    <w:p w:rsidR="006A03E3" w:rsidRDefault="00D741AB" w:rsidP="006A03E3">
      <w:pPr>
        <w:pStyle w:val="adresa"/>
        <w:tabs>
          <w:tab w:val="left" w:pos="120"/>
        </w:tabs>
        <w:ind w:left="505" w:hanging="505"/>
        <w:rPr>
          <w:rFonts w:ascii="Arial" w:hAnsi="Arial" w:cs="Arial"/>
          <w:b/>
          <w:i/>
          <w:sz w:val="22"/>
          <w:szCs w:val="22"/>
        </w:rPr>
      </w:pPr>
    </w:p>
    <w:p w:rsidR="006A03E3" w:rsidRDefault="00D741AB" w:rsidP="006A03E3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uzavírají podle ustanovení § 2201 a násl. zákona č. 89/2012 Sb., občanský zákoník, v platném znění  ( dále  jen „zákon  č. 89/2</w:t>
      </w:r>
      <w:r>
        <w:rPr>
          <w:rFonts w:ascii="Arial" w:hAnsi="Arial" w:cs="Arial"/>
          <w:sz w:val="22"/>
          <w:szCs w:val="22"/>
        </w:rPr>
        <w:t>012  Sb.“)  a  podle  ustanovení  §  27 zákona  č. 219/2000  Sb., o majetku České republiky a jejím vystupování v právních vztazích, v platném znění (dále jen „zákon č. 219/2000 Sb.“) tuto</w:t>
      </w:r>
    </w:p>
    <w:p w:rsidR="006A03E3" w:rsidRDefault="00D741AB" w:rsidP="006A03E3">
      <w:pPr>
        <w:pStyle w:val="para"/>
        <w:jc w:val="left"/>
        <w:outlineLvl w:val="0"/>
        <w:rPr>
          <w:rFonts w:ascii="Arial" w:hAnsi="Arial" w:cs="Arial"/>
          <w:spacing w:val="60"/>
          <w:sz w:val="28"/>
          <w:szCs w:val="28"/>
        </w:rPr>
      </w:pPr>
    </w:p>
    <w:p w:rsidR="006A03E3" w:rsidRDefault="00D741AB" w:rsidP="006A03E3">
      <w:pPr>
        <w:pStyle w:val="para"/>
        <w:outlineLvl w:val="0"/>
        <w:rPr>
          <w:rFonts w:ascii="Arial" w:hAnsi="Arial" w:cs="Arial"/>
          <w:spacing w:val="60"/>
          <w:sz w:val="28"/>
          <w:szCs w:val="28"/>
        </w:rPr>
      </w:pPr>
      <w:r>
        <w:rPr>
          <w:rFonts w:ascii="Arial" w:hAnsi="Arial" w:cs="Arial"/>
          <w:spacing w:val="60"/>
          <w:sz w:val="28"/>
          <w:szCs w:val="28"/>
        </w:rPr>
        <w:t>SMLOUVU</w:t>
      </w:r>
    </w:p>
    <w:p w:rsidR="006A03E3" w:rsidRDefault="00D741AB" w:rsidP="006A03E3">
      <w:pPr>
        <w:pStyle w:val="para"/>
        <w:rPr>
          <w:rFonts w:ascii="Arial" w:hAnsi="Arial" w:cs="Arial"/>
          <w:spacing w:val="60"/>
          <w:sz w:val="28"/>
          <w:szCs w:val="28"/>
        </w:rPr>
      </w:pPr>
      <w:r>
        <w:rPr>
          <w:rFonts w:ascii="Arial" w:hAnsi="Arial" w:cs="Arial"/>
          <w:spacing w:val="60"/>
          <w:sz w:val="28"/>
          <w:szCs w:val="28"/>
        </w:rPr>
        <w:t>O NÁJMU NEMOVITÉ VĚCI</w:t>
      </w:r>
    </w:p>
    <w:p w:rsidR="006A03E3" w:rsidRDefault="00D741AB" w:rsidP="006A03E3">
      <w:pPr>
        <w:pStyle w:val="para"/>
        <w:spacing w:before="240"/>
        <w:rPr>
          <w:rFonts w:ascii="Arial" w:hAnsi="Arial" w:cs="Arial"/>
          <w:spacing w:val="60"/>
          <w:sz w:val="22"/>
          <w:szCs w:val="28"/>
        </w:rPr>
      </w:pPr>
      <w:r>
        <w:rPr>
          <w:rFonts w:ascii="Arial" w:hAnsi="Arial" w:cs="Arial"/>
          <w:spacing w:val="60"/>
          <w:sz w:val="22"/>
          <w:szCs w:val="28"/>
        </w:rPr>
        <w:t>č. UZSVM/BVY/1095/2019-BVYM</w:t>
      </w:r>
    </w:p>
    <w:p w:rsidR="006A03E3" w:rsidRDefault="00D741AB" w:rsidP="00F40CB8">
      <w:pPr>
        <w:pStyle w:val="para"/>
        <w:tabs>
          <w:tab w:val="center" w:pos="4536"/>
          <w:tab w:val="left" w:pos="5222"/>
        </w:tabs>
        <w:spacing w:before="24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I.</w:t>
      </w:r>
    </w:p>
    <w:p w:rsidR="006A03E3" w:rsidRDefault="00D741AB" w:rsidP="006A03E3">
      <w:pPr>
        <w:pStyle w:val="Textvbloku"/>
        <w:numPr>
          <w:ilvl w:val="0"/>
          <w:numId w:val="1"/>
        </w:numPr>
        <w:tabs>
          <w:tab w:val="num" w:pos="720"/>
        </w:tabs>
        <w:ind w:righ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Česká republika je vlastníkem níže uvedené nemovité věci:</w:t>
      </w:r>
    </w:p>
    <w:p w:rsidR="006A03E3" w:rsidRDefault="00D741AB" w:rsidP="006A03E3">
      <w:pPr>
        <w:pStyle w:val="para"/>
        <w:tabs>
          <w:tab w:val="clear" w:pos="709"/>
          <w:tab w:val="center" w:pos="4536"/>
          <w:tab w:val="left" w:pos="5222"/>
        </w:tabs>
        <w:spacing w:before="60"/>
        <w:jc w:val="both"/>
        <w:rPr>
          <w:rFonts w:ascii="Arial" w:hAnsi="Arial" w:cs="Arial"/>
          <w:b w:val="0"/>
          <w:bCs/>
          <w:i/>
          <w:sz w:val="20"/>
          <w:u w:val="single"/>
        </w:rPr>
      </w:pPr>
    </w:p>
    <w:p w:rsidR="006A03E3" w:rsidRDefault="00D741AB" w:rsidP="006A03E3">
      <w:pPr>
        <w:pStyle w:val="para"/>
        <w:tabs>
          <w:tab w:val="clear" w:pos="709"/>
          <w:tab w:val="center" w:pos="4536"/>
          <w:tab w:val="left" w:pos="5222"/>
        </w:tabs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Pozemek:</w:t>
      </w:r>
    </w:p>
    <w:p w:rsidR="006A03E3" w:rsidRDefault="00D741AB" w:rsidP="006A03E3">
      <w:pPr>
        <w:pStyle w:val="para"/>
        <w:tabs>
          <w:tab w:val="clear" w:pos="709"/>
          <w:tab w:val="center" w:pos="4536"/>
          <w:tab w:val="left" w:pos="5222"/>
        </w:tabs>
        <w:ind w:left="426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 xml:space="preserve">stavební parcela číslo: 34/1, druh pozemku: zastavěná plocha a nádvoří, výměra 1490 </w:t>
      </w:r>
      <w:r>
        <w:rPr>
          <w:rFonts w:ascii="Arial" w:hAnsi="Arial" w:cs="Arial"/>
          <w:b w:val="0"/>
          <w:sz w:val="22"/>
          <w:szCs w:val="22"/>
        </w:rPr>
        <w:t>m</w:t>
      </w:r>
      <w:r>
        <w:rPr>
          <w:rFonts w:ascii="Arial" w:hAnsi="Arial" w:cs="Arial"/>
          <w:b w:val="0"/>
          <w:sz w:val="22"/>
          <w:szCs w:val="22"/>
          <w:vertAlign w:val="superscript"/>
        </w:rPr>
        <w:t>2</w:t>
      </w:r>
      <w:r>
        <w:rPr>
          <w:rFonts w:ascii="Arial" w:hAnsi="Arial" w:cs="Arial"/>
          <w:b w:val="0"/>
          <w:bCs/>
          <w:sz w:val="22"/>
          <w:szCs w:val="22"/>
        </w:rPr>
        <w:t xml:space="preserve"> </w:t>
      </w:r>
    </w:p>
    <w:p w:rsidR="006A03E3" w:rsidRDefault="00D741AB" w:rsidP="006A03E3">
      <w:pPr>
        <w:pStyle w:val="para"/>
        <w:tabs>
          <w:tab w:val="clear" w:pos="709"/>
          <w:tab w:val="center" w:pos="4536"/>
          <w:tab w:val="left" w:pos="5222"/>
        </w:tabs>
        <w:spacing w:line="360" w:lineRule="auto"/>
        <w:ind w:left="426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Na pozemku stojí stavba: Lazinov, č.p. 24, bydlení, LV 297,</w:t>
      </w:r>
    </w:p>
    <w:p w:rsidR="006A03E3" w:rsidRDefault="00D741AB" w:rsidP="006A03E3">
      <w:pPr>
        <w:pStyle w:val="para"/>
        <w:tabs>
          <w:tab w:val="clear" w:pos="709"/>
          <w:tab w:val="center" w:pos="4536"/>
          <w:tab w:val="left" w:pos="5222"/>
        </w:tabs>
        <w:ind w:left="426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sz w:val="22"/>
        </w:rPr>
        <w:t xml:space="preserve">zapsaný na listu vlastnictví č. 60000, pro kat. území </w:t>
      </w:r>
      <w:r>
        <w:rPr>
          <w:rFonts w:ascii="Arial" w:hAnsi="Arial" w:cs="Arial"/>
          <w:b w:val="0"/>
          <w:bCs/>
          <w:sz w:val="22"/>
          <w:szCs w:val="22"/>
        </w:rPr>
        <w:t>Lazinov</w:t>
      </w:r>
      <w:r>
        <w:rPr>
          <w:rFonts w:ascii="Arial" w:hAnsi="Arial" w:cs="Arial"/>
          <w:b w:val="0"/>
          <w:sz w:val="22"/>
        </w:rPr>
        <w:t xml:space="preserve">, obec </w:t>
      </w:r>
      <w:r>
        <w:rPr>
          <w:rFonts w:ascii="Arial" w:hAnsi="Arial" w:cs="Arial"/>
          <w:b w:val="0"/>
          <w:bCs/>
          <w:sz w:val="22"/>
          <w:szCs w:val="22"/>
        </w:rPr>
        <w:t>Lazinov</w:t>
      </w:r>
      <w:r>
        <w:rPr>
          <w:rFonts w:ascii="Arial" w:hAnsi="Arial" w:cs="Arial"/>
          <w:b w:val="0"/>
          <w:sz w:val="22"/>
        </w:rPr>
        <w:t>, v katastru nemovitostí vedeném Katastrálním úřadem pro Jihomoravský kraj, Katastrálním pracovištěm Boskovice.</w:t>
      </w:r>
    </w:p>
    <w:p w:rsidR="006A03E3" w:rsidRDefault="00D741AB" w:rsidP="006A03E3">
      <w:pPr>
        <w:pStyle w:val="para"/>
        <w:tabs>
          <w:tab w:val="clear" w:pos="709"/>
          <w:tab w:val="center" w:pos="4536"/>
          <w:tab w:val="left" w:pos="5222"/>
        </w:tabs>
        <w:ind w:left="426"/>
        <w:jc w:val="both"/>
        <w:outlineLvl w:val="0"/>
        <w:rPr>
          <w:rFonts w:ascii="Arial" w:hAnsi="Arial" w:cs="Arial"/>
          <w:b w:val="0"/>
          <w:sz w:val="22"/>
          <w:szCs w:val="22"/>
        </w:rPr>
      </w:pPr>
    </w:p>
    <w:p w:rsidR="006A03E3" w:rsidRDefault="00D741AB" w:rsidP="006A03E3">
      <w:pPr>
        <w:pStyle w:val="para"/>
        <w:numPr>
          <w:ilvl w:val="0"/>
          <w:numId w:val="2"/>
        </w:numPr>
        <w:tabs>
          <w:tab w:val="clear" w:pos="720"/>
          <w:tab w:val="num" w:pos="426"/>
          <w:tab w:val="center" w:pos="4536"/>
          <w:tab w:val="left" w:pos="5222"/>
        </w:tabs>
        <w:spacing w:before="60"/>
        <w:ind w:left="426" w:hanging="426"/>
        <w:jc w:val="both"/>
        <w:rPr>
          <w:rFonts w:ascii="Arial" w:hAnsi="Arial" w:cs="Arial"/>
          <w:b w:val="0"/>
          <w:bCs/>
          <w:i/>
          <w:sz w:val="22"/>
          <w:szCs w:val="22"/>
          <w:u w:val="single"/>
        </w:rPr>
      </w:pPr>
      <w:r>
        <w:rPr>
          <w:rFonts w:ascii="Arial" w:hAnsi="Arial" w:cs="Arial"/>
          <w:b w:val="0"/>
          <w:sz w:val="22"/>
          <w:szCs w:val="22"/>
        </w:rPr>
        <w:tab/>
        <w:t>Úřad pro zastupování státu ve věcech majetkových je na základě bodu</w:t>
      </w:r>
      <w:r>
        <w:rPr>
          <w:rFonts w:ascii="Arial" w:hAnsi="Arial" w:cs="Arial"/>
          <w:b w:val="0"/>
          <w:sz w:val="22"/>
          <w:szCs w:val="22"/>
        </w:rPr>
        <w:t xml:space="preserve"> 14 Čl. CXVII Části sto sedmnácté zákona č. 320/2002 Sb., o změně a zrušení některých zákonů v souvislosti s ukončením činnosti okresních úřadů, ve znění pozdějších předpisů, příslušný s nemovitou věcí dle odst. 1. hospodařit, a to ve smyslu § 9 zákona č. </w:t>
      </w:r>
      <w:r>
        <w:rPr>
          <w:rFonts w:ascii="Arial" w:hAnsi="Arial" w:cs="Arial"/>
          <w:b w:val="0"/>
          <w:sz w:val="22"/>
          <w:szCs w:val="22"/>
        </w:rPr>
        <w:t xml:space="preserve">219/2000 Sb. </w:t>
      </w:r>
    </w:p>
    <w:p w:rsidR="006A03E3" w:rsidRDefault="00D741AB" w:rsidP="00F40CB8">
      <w:pPr>
        <w:pStyle w:val="para"/>
        <w:tabs>
          <w:tab w:val="center" w:pos="4536"/>
          <w:tab w:val="left" w:pos="5222"/>
        </w:tabs>
        <w:spacing w:before="24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II.</w:t>
      </w:r>
    </w:p>
    <w:p w:rsidR="006A03E3" w:rsidRPr="00B8740B" w:rsidRDefault="00D741AB" w:rsidP="006A03E3">
      <w:pPr>
        <w:pStyle w:val="para"/>
        <w:numPr>
          <w:ilvl w:val="0"/>
          <w:numId w:val="3"/>
        </w:numPr>
        <w:tabs>
          <w:tab w:val="center" w:pos="4536"/>
          <w:tab w:val="left" w:pos="522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Pronajímatel výše uvedenou nemovitou věc podle rozhodnutí o dočasné nepotřebnosti  vydaného podle § 14 odst. 7 zák. č. 219/2000 Sb. dne 1. 4. 2019 pod </w:t>
      </w:r>
      <w:r>
        <w:rPr>
          <w:rFonts w:ascii="Arial" w:hAnsi="Arial" w:cs="Arial"/>
          <w:b w:val="0"/>
          <w:sz w:val="22"/>
          <w:szCs w:val="22"/>
        </w:rPr>
        <w:br/>
        <w:t>č.j. UZSVM/BVY/972/2019-BVYM dočasně nepotřebuje k plnění funkcí státu nebo jiných</w:t>
      </w:r>
      <w:r>
        <w:rPr>
          <w:rFonts w:ascii="Arial" w:hAnsi="Arial" w:cs="Arial"/>
          <w:b w:val="0"/>
          <w:sz w:val="22"/>
          <w:szCs w:val="22"/>
        </w:rPr>
        <w:t xml:space="preserve"> úkolů v rámci své působnosti ve smyslu ustanovení § 27 odst. 1 zákona č. 219/2000 Sb.</w:t>
      </w:r>
    </w:p>
    <w:p w:rsidR="00B8740B" w:rsidRDefault="00D741AB" w:rsidP="00B8740B">
      <w:pPr>
        <w:pStyle w:val="para"/>
        <w:tabs>
          <w:tab w:val="center" w:pos="4536"/>
          <w:tab w:val="left" w:pos="5222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6A03E3" w:rsidRDefault="00D741AB" w:rsidP="006A03E3">
      <w:pPr>
        <w:pStyle w:val="Zkladntext"/>
        <w:widowControl w:val="0"/>
        <w:numPr>
          <w:ilvl w:val="0"/>
          <w:numId w:val="3"/>
        </w:numPr>
        <w:autoSpaceDE/>
        <w:ind w:left="426" w:hanging="426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Pronajímatel se touto smlouvou zavazuje přenechat nájemci nemovitou věc uvedenou v Čl. I. (dále jen </w:t>
      </w:r>
      <w:r>
        <w:rPr>
          <w:rFonts w:ascii="Arial" w:hAnsi="Arial" w:cs="Arial"/>
          <w:b/>
          <w:sz w:val="22"/>
          <w:szCs w:val="22"/>
        </w:rPr>
        <w:t>„pronajímaný majetek“</w:t>
      </w:r>
      <w:r>
        <w:rPr>
          <w:rFonts w:ascii="Arial" w:hAnsi="Arial" w:cs="Arial"/>
          <w:sz w:val="22"/>
          <w:szCs w:val="22"/>
        </w:rPr>
        <w:t>) k dočasnému užívání a nájemce se zavazuje pla</w:t>
      </w:r>
      <w:r>
        <w:rPr>
          <w:rFonts w:ascii="Arial" w:hAnsi="Arial" w:cs="Arial"/>
          <w:sz w:val="22"/>
          <w:szCs w:val="22"/>
        </w:rPr>
        <w:t>tit za to pronajímateli nájemné a užívat pronajímaný majetek jako řádný hospodář k ujednanému účelu.</w:t>
      </w:r>
    </w:p>
    <w:p w:rsidR="006A03E3" w:rsidRDefault="00D741AB" w:rsidP="006A03E3">
      <w:pPr>
        <w:pStyle w:val="Zkladntext"/>
        <w:widowControl w:val="0"/>
        <w:autoSpaceDE/>
        <w:rPr>
          <w:rFonts w:ascii="Arial" w:hAnsi="Arial" w:cs="Arial"/>
          <w:i/>
          <w:sz w:val="22"/>
          <w:szCs w:val="22"/>
        </w:rPr>
      </w:pPr>
    </w:p>
    <w:p w:rsidR="006A03E3" w:rsidRPr="00B31DCE" w:rsidRDefault="00D741AB" w:rsidP="00B31DCE">
      <w:pPr>
        <w:pStyle w:val="Zkladntext"/>
        <w:widowControl w:val="0"/>
        <w:numPr>
          <w:ilvl w:val="0"/>
          <w:numId w:val="3"/>
        </w:numPr>
        <w:autoSpaceDE/>
        <w:ind w:left="426" w:hanging="426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Účelem nájmu je naložení s majetkem státu dočasně nepotřebným k plnění funkcí státu formou pronájmu pronajímaného majetku pro nájemcovu činnost - </w:t>
      </w:r>
      <w:r w:rsidRPr="00B31DCE">
        <w:rPr>
          <w:rFonts w:ascii="Arial" w:hAnsi="Arial" w:cs="Arial"/>
          <w:sz w:val="22"/>
          <w:szCs w:val="22"/>
        </w:rPr>
        <w:t xml:space="preserve">užívání </w:t>
      </w:r>
      <w:r w:rsidRPr="00B31DCE">
        <w:rPr>
          <w:rFonts w:ascii="Arial" w:hAnsi="Arial" w:cs="Arial"/>
          <w:sz w:val="22"/>
          <w:szCs w:val="22"/>
        </w:rPr>
        <w:t xml:space="preserve">stavby č. p. 24, </w:t>
      </w:r>
      <w:r>
        <w:rPr>
          <w:rFonts w:ascii="Arial" w:hAnsi="Arial" w:cs="Arial"/>
          <w:sz w:val="22"/>
          <w:szCs w:val="22"/>
        </w:rPr>
        <w:t xml:space="preserve">způsob využití bydlení, </w:t>
      </w:r>
      <w:r w:rsidRPr="00B31DCE">
        <w:rPr>
          <w:rFonts w:ascii="Arial" w:hAnsi="Arial" w:cs="Arial"/>
          <w:sz w:val="22"/>
          <w:szCs w:val="22"/>
        </w:rPr>
        <w:t>která je ve vlastnictví nájemce</w:t>
      </w:r>
      <w:r>
        <w:rPr>
          <w:rFonts w:ascii="Arial" w:hAnsi="Arial" w:cs="Arial"/>
          <w:sz w:val="22"/>
          <w:szCs w:val="22"/>
        </w:rPr>
        <w:t xml:space="preserve"> a slouží k podnikatelským účelům</w:t>
      </w:r>
      <w:r>
        <w:rPr>
          <w:rFonts w:ascii="Arial" w:hAnsi="Arial" w:cs="Arial"/>
          <w:sz w:val="22"/>
          <w:szCs w:val="22"/>
        </w:rPr>
        <w:t xml:space="preserve"> v souladu s výpisem v</w:t>
      </w:r>
      <w:r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obchodním</w:t>
      </w:r>
      <w:r>
        <w:rPr>
          <w:rFonts w:ascii="Arial" w:hAnsi="Arial" w:cs="Arial"/>
          <w:sz w:val="22"/>
          <w:szCs w:val="22"/>
        </w:rPr>
        <w:t xml:space="preserve"> rejstříku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S</w:t>
      </w:r>
      <w:r>
        <w:rPr>
          <w:rFonts w:ascii="Arial" w:hAnsi="Arial" w:cs="Arial"/>
          <w:sz w:val="22"/>
          <w:szCs w:val="22"/>
        </w:rPr>
        <w:t>tavba stojí na</w:t>
      </w:r>
      <w:r>
        <w:rPr>
          <w:rFonts w:ascii="Arial" w:hAnsi="Arial" w:cs="Arial"/>
          <w:sz w:val="22"/>
          <w:szCs w:val="22"/>
        </w:rPr>
        <w:t xml:space="preserve"> části pronajímaného</w:t>
      </w:r>
      <w:r w:rsidRPr="00B31DCE">
        <w:rPr>
          <w:rFonts w:ascii="Arial" w:hAnsi="Arial" w:cs="Arial"/>
          <w:sz w:val="22"/>
          <w:szCs w:val="22"/>
        </w:rPr>
        <w:t xml:space="preserve"> majetku</w:t>
      </w:r>
      <w:r>
        <w:rPr>
          <w:rFonts w:ascii="Arial" w:hAnsi="Arial" w:cs="Arial"/>
          <w:sz w:val="22"/>
          <w:szCs w:val="22"/>
        </w:rPr>
        <w:t xml:space="preserve"> a navazuje na</w:t>
      </w:r>
      <w:r>
        <w:rPr>
          <w:rFonts w:ascii="Arial" w:hAnsi="Arial" w:cs="Arial"/>
          <w:sz w:val="22"/>
          <w:szCs w:val="22"/>
        </w:rPr>
        <w:t xml:space="preserve"> zbývající část pronajímaného majetku, která</w:t>
      </w:r>
      <w:r>
        <w:rPr>
          <w:rFonts w:ascii="Arial" w:hAnsi="Arial" w:cs="Arial"/>
          <w:sz w:val="22"/>
          <w:szCs w:val="22"/>
        </w:rPr>
        <w:t xml:space="preserve"> s ní tvoří jednotný funkční celek</w:t>
      </w:r>
      <w:r w:rsidRPr="00B31DC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Součástí pronajímaného majetku jsou</w:t>
      </w:r>
      <w:r>
        <w:rPr>
          <w:rFonts w:ascii="Arial" w:hAnsi="Arial" w:cs="Arial"/>
          <w:sz w:val="22"/>
          <w:szCs w:val="22"/>
        </w:rPr>
        <w:t xml:space="preserve"> trvalé porosty.</w:t>
      </w:r>
    </w:p>
    <w:p w:rsidR="006A03E3" w:rsidRDefault="00D741AB" w:rsidP="006A03E3">
      <w:pPr>
        <w:pStyle w:val="Odstavecseseznamem"/>
        <w:rPr>
          <w:rFonts w:ascii="Arial" w:hAnsi="Arial" w:cs="Arial"/>
          <w:sz w:val="22"/>
          <w:szCs w:val="22"/>
        </w:rPr>
      </w:pPr>
    </w:p>
    <w:p w:rsidR="006A03E3" w:rsidRDefault="00D741AB" w:rsidP="006A03E3">
      <w:pPr>
        <w:pStyle w:val="Zkladntext"/>
        <w:widowControl w:val="0"/>
        <w:numPr>
          <w:ilvl w:val="0"/>
          <w:numId w:val="3"/>
        </w:numPr>
        <w:autoSpaceDE/>
        <w:ind w:left="426" w:hanging="426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Nájemce prohlašuje, že je mu stav pronajímaného majetku dobře znám, neboť si jej prohlédl před uzavřením této smlouvy a potvrzuje, že je ve stavu způsobilém k řádnému </w:t>
      </w:r>
      <w:r>
        <w:rPr>
          <w:rFonts w:ascii="Arial" w:hAnsi="Arial" w:cs="Arial"/>
          <w:sz w:val="22"/>
          <w:szCs w:val="22"/>
        </w:rPr>
        <w:t>užívání podle této smlouvy a že jej pronajímatel seznámil se zvláštními pravidly, která je třeba při užívání pronajímaného majetku zachovávat (zejména s návody a technickými normami).</w:t>
      </w:r>
    </w:p>
    <w:p w:rsidR="006A03E3" w:rsidRDefault="00D741AB" w:rsidP="006A03E3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6A03E3" w:rsidRDefault="00D741AB" w:rsidP="006A03E3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Pronajímatel odevzdá nájemci pronajímaný majetek v ujednané době, jinak</w:t>
      </w:r>
      <w:r>
        <w:rPr>
          <w:rFonts w:ascii="Arial" w:hAnsi="Arial" w:cs="Arial"/>
          <w:sz w:val="22"/>
          <w:szCs w:val="22"/>
        </w:rPr>
        <w:t xml:space="preserve"> v den následující poté, co jej o to nájemce požádá. Pronajímatel odevzdá nájemci pronajímaný majetek </w:t>
      </w:r>
      <w:r>
        <w:rPr>
          <w:rFonts w:ascii="Arial" w:hAnsi="Arial" w:cs="Arial"/>
          <w:sz w:val="22"/>
          <w:szCs w:val="22"/>
        </w:rPr>
        <w:br/>
        <w:t>se vším, co je třeba k jeho řádnému užívání.</w:t>
      </w:r>
    </w:p>
    <w:p w:rsidR="006A03E3" w:rsidRDefault="00D741AB" w:rsidP="00F40CB8">
      <w:pPr>
        <w:spacing w:before="240" w:line="360" w:lineRule="auto"/>
        <w:ind w:left="357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2"/>
          <w:szCs w:val="22"/>
        </w:rPr>
        <w:t>Čl. III.</w:t>
      </w:r>
    </w:p>
    <w:p w:rsidR="006A03E3" w:rsidRDefault="00D741AB" w:rsidP="006A03E3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2"/>
          <w:szCs w:val="22"/>
        </w:rPr>
        <w:t xml:space="preserve">Nájemné za pronajatý nemovitý majetek se sjednává ve smyslu § 27 odst. 3 zákona č. 219/2000 Sb. ve </w:t>
      </w:r>
      <w:r>
        <w:rPr>
          <w:rFonts w:ascii="Arial" w:hAnsi="Arial" w:cs="Arial"/>
          <w:sz w:val="22"/>
          <w:szCs w:val="22"/>
        </w:rPr>
        <w:t>výši 26.755,- Kč ročně na základě stanovení nájemného cenovým referentem č.j. UZSVM/B/8734/2019-HMU1 ze dne 14. 2. 2019.</w:t>
      </w:r>
    </w:p>
    <w:p w:rsidR="006A03E3" w:rsidRDefault="00D741AB" w:rsidP="006A03E3">
      <w:pPr>
        <w:jc w:val="both"/>
        <w:rPr>
          <w:rFonts w:ascii="Arial" w:hAnsi="Arial" w:cs="Arial"/>
          <w:sz w:val="22"/>
          <w:szCs w:val="22"/>
        </w:rPr>
      </w:pPr>
    </w:p>
    <w:p w:rsidR="006A03E3" w:rsidRDefault="00D741AB" w:rsidP="006A03E3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2"/>
          <w:szCs w:val="22"/>
        </w:rPr>
        <w:t xml:space="preserve">Nájemné je splatné bezhotovostně na účet pronajímatele č.: 19-45423621/0710, a to vždy </w:t>
      </w:r>
      <w:r>
        <w:rPr>
          <w:rFonts w:ascii="Arial" w:hAnsi="Arial" w:cs="Arial"/>
          <w:sz w:val="22"/>
          <w:szCs w:val="22"/>
        </w:rPr>
        <w:br/>
        <w:t>předem nejpozději do 31. 3. běžného roku.</w:t>
      </w:r>
    </w:p>
    <w:p w:rsidR="006A03E3" w:rsidRDefault="00D741AB" w:rsidP="006A03E3">
      <w:pPr>
        <w:jc w:val="both"/>
        <w:rPr>
          <w:rFonts w:ascii="Arial" w:hAnsi="Arial" w:cs="Arial"/>
          <w:sz w:val="22"/>
          <w:szCs w:val="22"/>
        </w:rPr>
      </w:pPr>
    </w:p>
    <w:p w:rsidR="006A03E3" w:rsidRDefault="00D741AB" w:rsidP="006A03E3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b</w:t>
      </w:r>
      <w:r>
        <w:rPr>
          <w:rFonts w:ascii="Arial" w:hAnsi="Arial" w:cs="Arial"/>
          <w:sz w:val="22"/>
          <w:szCs w:val="22"/>
        </w:rPr>
        <w:t>ezhotovostním platbám nájemného bude nájemce vždy uvádět variabilní symbol 6121900201.</w:t>
      </w:r>
    </w:p>
    <w:p w:rsidR="006A03E3" w:rsidRDefault="00D741AB" w:rsidP="006A03E3">
      <w:pPr>
        <w:rPr>
          <w:rFonts w:ascii="Arial" w:hAnsi="Arial" w:cs="Arial"/>
          <w:sz w:val="22"/>
          <w:szCs w:val="22"/>
        </w:rPr>
      </w:pPr>
    </w:p>
    <w:p w:rsidR="006A03E3" w:rsidRDefault="00D741AB" w:rsidP="006A03E3">
      <w:pPr>
        <w:pStyle w:val="Zkladntext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  <w:t>Zaplacením se podle této smlouvy rozumí připsání příslušné částky na bankovní účet     příjemce platby.</w:t>
      </w:r>
    </w:p>
    <w:p w:rsidR="006A03E3" w:rsidRDefault="00D741AB" w:rsidP="006A03E3">
      <w:pPr>
        <w:pStyle w:val="Zkladntext"/>
        <w:jc w:val="left"/>
        <w:rPr>
          <w:rFonts w:ascii="Arial" w:hAnsi="Arial" w:cs="Arial"/>
          <w:sz w:val="22"/>
          <w:szCs w:val="22"/>
        </w:rPr>
      </w:pPr>
    </w:p>
    <w:p w:rsidR="006A03E3" w:rsidRDefault="00D741AB" w:rsidP="006A03E3">
      <w:pPr>
        <w:numPr>
          <w:ilvl w:val="0"/>
          <w:numId w:val="5"/>
        </w:numPr>
        <w:tabs>
          <w:tab w:val="num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Skončí-li nebo počne-li nájem v průběhu roku, náleží </w:t>
      </w:r>
      <w:r>
        <w:rPr>
          <w:rFonts w:ascii="Arial" w:hAnsi="Arial" w:cs="Arial"/>
          <w:sz w:val="22"/>
          <w:szCs w:val="22"/>
        </w:rPr>
        <w:t>pronajímateli pouze poměrná část ročního nájemného.</w:t>
      </w:r>
    </w:p>
    <w:p w:rsidR="006A03E3" w:rsidRDefault="00D741AB" w:rsidP="006A03E3">
      <w:pPr>
        <w:jc w:val="both"/>
        <w:rPr>
          <w:rFonts w:ascii="Arial" w:hAnsi="Arial" w:cs="Arial"/>
          <w:sz w:val="22"/>
          <w:szCs w:val="22"/>
        </w:rPr>
      </w:pPr>
    </w:p>
    <w:p w:rsidR="006A03E3" w:rsidRDefault="00D741AB" w:rsidP="006A03E3">
      <w:pPr>
        <w:pStyle w:val="Zkladntext"/>
        <w:numPr>
          <w:ilvl w:val="0"/>
          <w:numId w:val="5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Pronajímatel může každoročně s  účinností na období od 1. ledna upravit výši nájemného v závislosti na růstu spotřebitelských cen v předchozím kalendářním roce. Výše nájemného se v takovém případě upraví</w:t>
      </w:r>
      <w:r>
        <w:rPr>
          <w:rFonts w:ascii="Arial" w:hAnsi="Arial" w:cs="Arial"/>
          <w:sz w:val="22"/>
          <w:szCs w:val="22"/>
        </w:rPr>
        <w:t xml:space="preserve"> podle následujícího vzorce:</w:t>
      </w:r>
    </w:p>
    <w:p w:rsidR="006A03E3" w:rsidRDefault="00D741AB" w:rsidP="006A03E3">
      <w:pPr>
        <w:pStyle w:val="Odstavecseseznamem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6A03E3" w:rsidRDefault="00D741AB" w:rsidP="006A03E3">
      <w:pPr>
        <w:pStyle w:val="Odstavecseseznamem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  <w:vertAlign w:val="subscript"/>
        </w:rPr>
        <w:t>(t+1)</w:t>
      </w:r>
      <w:r>
        <w:rPr>
          <w:rFonts w:ascii="Arial" w:hAnsi="Arial" w:cs="Arial"/>
          <w:sz w:val="22"/>
          <w:szCs w:val="22"/>
        </w:rPr>
        <w:t xml:space="preserve">  =  N</w:t>
      </w:r>
      <w:r>
        <w:rPr>
          <w:rFonts w:ascii="Arial" w:hAnsi="Arial" w:cs="Arial"/>
          <w:sz w:val="22"/>
          <w:szCs w:val="22"/>
          <w:vertAlign w:val="subscript"/>
        </w:rPr>
        <w:t>t</w:t>
      </w:r>
      <w:r>
        <w:rPr>
          <w:rFonts w:ascii="Arial" w:hAnsi="Arial" w:cs="Arial"/>
          <w:sz w:val="22"/>
          <w:szCs w:val="22"/>
        </w:rPr>
        <w:t xml:space="preserve"> x (1 + I</w:t>
      </w:r>
      <w:r>
        <w:rPr>
          <w:rFonts w:ascii="Arial" w:hAnsi="Arial" w:cs="Arial"/>
          <w:sz w:val="22"/>
          <w:szCs w:val="22"/>
          <w:vertAlign w:val="subscript"/>
        </w:rPr>
        <w:t>t</w:t>
      </w:r>
      <w:r>
        <w:rPr>
          <w:rFonts w:ascii="Arial" w:hAnsi="Arial" w:cs="Arial"/>
          <w:sz w:val="22"/>
          <w:szCs w:val="22"/>
        </w:rPr>
        <w:t>/100)</w:t>
      </w:r>
    </w:p>
    <w:p w:rsidR="006A03E3" w:rsidRDefault="00D741AB" w:rsidP="006A03E3">
      <w:pPr>
        <w:pStyle w:val="Odstavecseseznamem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kde:</w:t>
      </w:r>
    </w:p>
    <w:p w:rsidR="006A03E3" w:rsidRDefault="00D741AB" w:rsidP="006A03E3">
      <w:pPr>
        <w:pStyle w:val="Odstavecseseznamem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  <w:vertAlign w:val="subscript"/>
        </w:rPr>
        <w:t>(t+1)</w:t>
      </w:r>
      <w:r>
        <w:rPr>
          <w:rFonts w:ascii="Arial" w:hAnsi="Arial" w:cs="Arial"/>
          <w:sz w:val="22"/>
          <w:szCs w:val="22"/>
        </w:rPr>
        <w:tab/>
        <w:t>je výše nájemného v běžném kalendářním roce,</w:t>
      </w:r>
    </w:p>
    <w:p w:rsidR="006A03E3" w:rsidRDefault="00D741AB" w:rsidP="006A03E3">
      <w:pPr>
        <w:pStyle w:val="Odstavecseseznamem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Nt</w:t>
      </w:r>
      <w:r>
        <w:rPr>
          <w:rFonts w:ascii="Arial" w:hAnsi="Arial" w:cs="Arial"/>
          <w:sz w:val="22"/>
          <w:szCs w:val="22"/>
        </w:rPr>
        <w:tab/>
        <w:t xml:space="preserve">         je výše nájemného v předchozím kalendářním roce,</w:t>
      </w:r>
    </w:p>
    <w:p w:rsidR="006A03E3" w:rsidRDefault="00D741AB" w:rsidP="006A03E3">
      <w:pPr>
        <w:pStyle w:val="Zkladntextodsazen"/>
        <w:ind w:left="1418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It</w:t>
      </w:r>
      <w:r>
        <w:rPr>
          <w:rFonts w:ascii="Arial" w:hAnsi="Arial" w:cs="Arial"/>
          <w:sz w:val="22"/>
          <w:szCs w:val="22"/>
        </w:rPr>
        <w:tab/>
        <w:t xml:space="preserve">je průměrný roční index spotřebitelských cen za předchozí kalendářní rok    </w:t>
      </w:r>
      <w:r>
        <w:rPr>
          <w:rFonts w:ascii="Arial" w:hAnsi="Arial" w:cs="Arial"/>
          <w:sz w:val="22"/>
          <w:szCs w:val="22"/>
        </w:rPr>
        <w:t xml:space="preserve"> zveřejněný Českým statistickým úřadem a vyjádřený v procentech.</w:t>
      </w:r>
    </w:p>
    <w:p w:rsidR="006A03E3" w:rsidRDefault="00D741AB" w:rsidP="006A03E3">
      <w:pPr>
        <w:jc w:val="both"/>
        <w:rPr>
          <w:rFonts w:ascii="Arial" w:hAnsi="Arial" w:cs="Arial"/>
          <w:sz w:val="22"/>
          <w:szCs w:val="22"/>
        </w:rPr>
      </w:pPr>
    </w:p>
    <w:p w:rsidR="006A03E3" w:rsidRDefault="00D741AB" w:rsidP="006A03E3">
      <w:pPr>
        <w:ind w:left="284" w:hanging="284"/>
        <w:jc w:val="both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sz w:val="22"/>
          <w:szCs w:val="22"/>
        </w:rPr>
        <w:t xml:space="preserve">    Takto upravenou výši nájemného pronajímatel uplatňuje písemným oznámením nájemci. Písemné oznámení musí být nájemci doručeno nejpozději sedm kalendářních dnů před splatností navýšeného n</w:t>
      </w:r>
      <w:r>
        <w:rPr>
          <w:rFonts w:ascii="Arial" w:hAnsi="Arial" w:cs="Arial"/>
          <w:sz w:val="22"/>
          <w:szCs w:val="22"/>
        </w:rPr>
        <w:t>ájemného. Nájemce se zavazuje takto stanovené nájemné hradit. V případě že pronajímatel navýšení nájemného neprovede v daném roce, může při dalším navýšení nájemného použít kumulovanou míru inflace za dobu od posledního navýšení.</w:t>
      </w:r>
    </w:p>
    <w:p w:rsidR="006A03E3" w:rsidRDefault="00D741AB" w:rsidP="00F40CB8">
      <w:pPr>
        <w:pStyle w:val="para"/>
        <w:tabs>
          <w:tab w:val="center" w:pos="4536"/>
          <w:tab w:val="left" w:pos="5222"/>
        </w:tabs>
        <w:spacing w:before="24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IV.</w:t>
      </w:r>
    </w:p>
    <w:p w:rsidR="006A03E3" w:rsidRDefault="00D741AB" w:rsidP="006A03E3">
      <w:pPr>
        <w:autoSpaceDE w:val="0"/>
        <w:autoSpaceDN w:val="0"/>
        <w:jc w:val="both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sz w:val="22"/>
          <w:szCs w:val="22"/>
        </w:rPr>
        <w:t xml:space="preserve">Nájem se sjednává </w:t>
      </w:r>
      <w:r>
        <w:rPr>
          <w:rFonts w:ascii="Arial" w:hAnsi="Arial" w:cs="Arial"/>
          <w:sz w:val="22"/>
          <w:szCs w:val="22"/>
        </w:rPr>
        <w:t xml:space="preserve">na dobu od 1. 8. 2019 do 31. 7. 2027. </w:t>
      </w:r>
    </w:p>
    <w:p w:rsidR="000132DD" w:rsidRDefault="00D741AB" w:rsidP="000132DD">
      <w:pPr>
        <w:pStyle w:val="para"/>
        <w:tabs>
          <w:tab w:val="center" w:pos="4536"/>
          <w:tab w:val="left" w:pos="5222"/>
        </w:tabs>
        <w:rPr>
          <w:rFonts w:ascii="Arial" w:hAnsi="Arial" w:cs="Arial"/>
          <w:sz w:val="22"/>
          <w:szCs w:val="22"/>
        </w:rPr>
      </w:pPr>
    </w:p>
    <w:p w:rsidR="008F3EBB" w:rsidRDefault="00D741AB" w:rsidP="00EF1742">
      <w:pPr>
        <w:pStyle w:val="para"/>
        <w:tabs>
          <w:tab w:val="center" w:pos="4536"/>
          <w:tab w:val="left" w:pos="5222"/>
        </w:tabs>
        <w:jc w:val="left"/>
        <w:rPr>
          <w:rFonts w:ascii="Arial" w:hAnsi="Arial" w:cs="Arial"/>
          <w:sz w:val="22"/>
          <w:szCs w:val="22"/>
        </w:rPr>
      </w:pPr>
    </w:p>
    <w:p w:rsidR="000132DD" w:rsidRPr="005E677E" w:rsidRDefault="00D741AB" w:rsidP="000132DD">
      <w:pPr>
        <w:pStyle w:val="para"/>
        <w:tabs>
          <w:tab w:val="center" w:pos="4536"/>
          <w:tab w:val="left" w:pos="5222"/>
        </w:tabs>
        <w:rPr>
          <w:rFonts w:ascii="Arial" w:hAnsi="Arial" w:cs="Arial"/>
          <w:sz w:val="22"/>
          <w:szCs w:val="22"/>
        </w:rPr>
      </w:pPr>
      <w:r w:rsidRPr="005E677E">
        <w:rPr>
          <w:rFonts w:ascii="Arial" w:hAnsi="Arial" w:cs="Arial"/>
          <w:sz w:val="22"/>
          <w:szCs w:val="22"/>
        </w:rPr>
        <w:lastRenderedPageBreak/>
        <w:t>Čl. V.</w:t>
      </w:r>
    </w:p>
    <w:p w:rsidR="000132DD" w:rsidRPr="005E677E" w:rsidRDefault="00D741AB" w:rsidP="000132DD">
      <w:pPr>
        <w:pStyle w:val="Zkladntext"/>
        <w:numPr>
          <w:ilvl w:val="0"/>
          <w:numId w:val="10"/>
        </w:numPr>
        <w:spacing w:before="120"/>
        <w:rPr>
          <w:rFonts w:ascii="Arial" w:hAnsi="Arial" w:cs="Arial"/>
          <w:sz w:val="22"/>
          <w:szCs w:val="22"/>
        </w:rPr>
      </w:pPr>
      <w:r w:rsidRPr="005E677E">
        <w:rPr>
          <w:rFonts w:ascii="Arial" w:hAnsi="Arial" w:cs="Arial"/>
          <w:sz w:val="22"/>
          <w:szCs w:val="22"/>
        </w:rPr>
        <w:t xml:space="preserve">Jakékoliv změny na pronajímaném majetku, stavební úpravy, umístění jakékoliv reklamy </w:t>
      </w:r>
      <w:r w:rsidRPr="005E677E">
        <w:rPr>
          <w:rFonts w:ascii="Arial" w:hAnsi="Arial" w:cs="Arial"/>
          <w:sz w:val="22"/>
          <w:szCs w:val="22"/>
        </w:rPr>
        <w:br/>
        <w:t>či informačního zařízení a</w:t>
      </w:r>
      <w:r w:rsidRPr="005E677E">
        <w:rPr>
          <w:rFonts w:ascii="Arial" w:hAnsi="Arial" w:cs="Arial"/>
          <w:sz w:val="22"/>
          <w:szCs w:val="22"/>
        </w:rPr>
        <w:t xml:space="preserve"> terénní úpravy pronajímaného majetku má nájemce právo provádět jen na základě předchozího písemného souhlasu pronajímatele, jehož součástí bude i ujednání smluvních stran o tom, zda mají být úpravy k datu ukončení nájmu odstraněny a ujednání o vzájemném v</w:t>
      </w:r>
      <w:r w:rsidRPr="005E677E">
        <w:rPr>
          <w:rFonts w:ascii="Arial" w:hAnsi="Arial" w:cs="Arial"/>
          <w:sz w:val="22"/>
          <w:szCs w:val="22"/>
        </w:rPr>
        <w:t>yrovnání smluvních stran z důvodu zhodnocení pronajímaného majetku. Po udělení takového písemného souhlasu pak nájemce jakoukoliv změnu provádí na svůj náklad. Bez udělení písemného souhlasu není nájemce oprávněn změny na pronajímaném majetku provést a nem</w:t>
      </w:r>
      <w:r w:rsidRPr="005E677E">
        <w:rPr>
          <w:rFonts w:ascii="Arial" w:hAnsi="Arial" w:cs="Arial"/>
          <w:sz w:val="22"/>
          <w:szCs w:val="22"/>
        </w:rPr>
        <w:t>á nárok na vyrovnání případného zhodnocení pronajímaného majetku.</w:t>
      </w:r>
    </w:p>
    <w:p w:rsidR="000132DD" w:rsidRPr="005E677E" w:rsidRDefault="00D741AB" w:rsidP="000132DD">
      <w:pPr>
        <w:jc w:val="both"/>
        <w:rPr>
          <w:rFonts w:ascii="Arial" w:hAnsi="Arial" w:cs="Arial"/>
          <w:sz w:val="22"/>
          <w:szCs w:val="22"/>
        </w:rPr>
      </w:pPr>
    </w:p>
    <w:p w:rsidR="000132DD" w:rsidRPr="005E677E" w:rsidRDefault="00D741AB" w:rsidP="000132DD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5E677E">
        <w:rPr>
          <w:rFonts w:ascii="Arial" w:hAnsi="Arial" w:cs="Arial"/>
          <w:sz w:val="22"/>
          <w:szCs w:val="22"/>
        </w:rPr>
        <w:t>Provede-li nájemce změnu na pronajímaném majetku bez písemného souhlasu pronajímatele a neuvede-li na výzvu pronajímatele pronajímaný majetek do původního stavu, může pronajímatel nájem vyp</w:t>
      </w:r>
      <w:r w:rsidRPr="005E677E">
        <w:rPr>
          <w:rFonts w:ascii="Arial" w:hAnsi="Arial" w:cs="Arial"/>
          <w:sz w:val="22"/>
          <w:szCs w:val="22"/>
        </w:rPr>
        <w:t>ovědět bez výpovědní doby a požadovat po nájemci i náhradu vynaložených nákladů v souvislosti s uvedením pronajímaného majetku do původního stavu.</w:t>
      </w:r>
    </w:p>
    <w:p w:rsidR="000132DD" w:rsidRDefault="00D741AB" w:rsidP="000132DD">
      <w:pPr>
        <w:pStyle w:val="para"/>
        <w:tabs>
          <w:tab w:val="center" w:pos="4536"/>
          <w:tab w:val="left" w:pos="5222"/>
        </w:tabs>
        <w:jc w:val="left"/>
        <w:rPr>
          <w:rFonts w:ascii="Arial" w:hAnsi="Arial" w:cs="Arial"/>
          <w:sz w:val="22"/>
          <w:szCs w:val="22"/>
        </w:rPr>
      </w:pPr>
    </w:p>
    <w:p w:rsidR="000132DD" w:rsidRDefault="00D741AB" w:rsidP="000132DD">
      <w:pPr>
        <w:pStyle w:val="para"/>
        <w:tabs>
          <w:tab w:val="center" w:pos="4536"/>
          <w:tab w:val="left" w:pos="5222"/>
        </w:tabs>
        <w:rPr>
          <w:rFonts w:ascii="Arial" w:hAnsi="Arial" w:cs="Arial"/>
          <w:sz w:val="22"/>
          <w:szCs w:val="22"/>
        </w:rPr>
      </w:pPr>
      <w:r w:rsidRPr="005E677E">
        <w:rPr>
          <w:rFonts w:ascii="Arial" w:hAnsi="Arial" w:cs="Arial"/>
          <w:sz w:val="22"/>
          <w:szCs w:val="22"/>
        </w:rPr>
        <w:t>Čl. V</w:t>
      </w:r>
      <w:r>
        <w:rPr>
          <w:rFonts w:ascii="Arial" w:hAnsi="Arial" w:cs="Arial"/>
          <w:sz w:val="22"/>
          <w:szCs w:val="22"/>
        </w:rPr>
        <w:t>I</w:t>
      </w:r>
      <w:r w:rsidRPr="005E677E">
        <w:rPr>
          <w:rFonts w:ascii="Arial" w:hAnsi="Arial" w:cs="Arial"/>
          <w:sz w:val="22"/>
          <w:szCs w:val="22"/>
        </w:rPr>
        <w:t>.</w:t>
      </w:r>
    </w:p>
    <w:p w:rsidR="000132DD" w:rsidRDefault="00D741AB" w:rsidP="000132DD">
      <w:pPr>
        <w:pStyle w:val="para"/>
        <w:tabs>
          <w:tab w:val="center" w:pos="4536"/>
          <w:tab w:val="left" w:pos="5222"/>
        </w:tabs>
        <w:rPr>
          <w:rFonts w:ascii="Arial" w:hAnsi="Arial" w:cs="Arial"/>
          <w:sz w:val="22"/>
          <w:szCs w:val="22"/>
        </w:rPr>
      </w:pPr>
    </w:p>
    <w:p w:rsidR="006A03E3" w:rsidRDefault="00D741AB" w:rsidP="006A03E3">
      <w:pPr>
        <w:pStyle w:val="Zkladntext"/>
        <w:numPr>
          <w:ilvl w:val="0"/>
          <w:numId w:val="6"/>
        </w:num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Pronajímatel je povinen umožnit nájemci užívat pronajímaný majetek k ujednanému účelu.</w:t>
      </w:r>
    </w:p>
    <w:p w:rsidR="006A03E3" w:rsidRDefault="00D741AB" w:rsidP="006A03E3">
      <w:pPr>
        <w:pStyle w:val="Zkladntext"/>
        <w:ind w:left="-76"/>
        <w:rPr>
          <w:rFonts w:ascii="Arial" w:hAnsi="Arial" w:cs="Arial"/>
          <w:sz w:val="22"/>
          <w:szCs w:val="22"/>
        </w:rPr>
      </w:pPr>
    </w:p>
    <w:p w:rsidR="006A03E3" w:rsidRDefault="00D741AB" w:rsidP="006A03E3">
      <w:pPr>
        <w:pStyle w:val="Zkladntext"/>
        <w:numPr>
          <w:ilvl w:val="0"/>
          <w:numId w:val="6"/>
        </w:num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Pronajímate</w:t>
      </w:r>
      <w:r>
        <w:rPr>
          <w:rFonts w:ascii="Arial" w:hAnsi="Arial" w:cs="Arial"/>
          <w:sz w:val="22"/>
          <w:szCs w:val="22"/>
        </w:rPr>
        <w:t>l je povinen pronajímaný majetek udržovat v takovém stavu, aby mohl sloužit účelu užívání.</w:t>
      </w:r>
    </w:p>
    <w:p w:rsidR="006A03E3" w:rsidRDefault="00D741AB" w:rsidP="006A03E3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:rsidR="006A03E3" w:rsidRDefault="00D741AB" w:rsidP="006A03E3">
      <w:pPr>
        <w:pStyle w:val="Zkladntext"/>
        <w:numPr>
          <w:ilvl w:val="0"/>
          <w:numId w:val="6"/>
        </w:num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Pronajímatel je povinen zajistit nájemci nerušené užívání pronajímaného majetku po dobu trvání nájmu.</w:t>
      </w:r>
    </w:p>
    <w:p w:rsidR="006A03E3" w:rsidRDefault="00D741AB" w:rsidP="006A03E3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:rsidR="006A03E3" w:rsidRDefault="00D741AB" w:rsidP="006A03E3">
      <w:pPr>
        <w:pStyle w:val="Zkladntext"/>
        <w:numPr>
          <w:ilvl w:val="0"/>
          <w:numId w:val="6"/>
        </w:num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Nájemce je povinen užívat pronajímaný majetek jako řádný hosp</w:t>
      </w:r>
      <w:r>
        <w:rPr>
          <w:rFonts w:ascii="Arial" w:hAnsi="Arial" w:cs="Arial"/>
          <w:sz w:val="22"/>
          <w:szCs w:val="22"/>
        </w:rPr>
        <w:t>odář a pouze k ujednanému účelu (Čl. II. odst. 3.), vycházejícímu z jeho povahy a  stavebního určení tak, aby nedocházelo k jeho poškození nebo opotřebení nad míru přiměřenou poměrům a okolnostem. Pronajímaný majetek nesmí být využíván k výrobě, manipulaci</w:t>
      </w:r>
      <w:r>
        <w:rPr>
          <w:rFonts w:ascii="Arial" w:hAnsi="Arial" w:cs="Arial"/>
          <w:sz w:val="22"/>
          <w:szCs w:val="22"/>
        </w:rPr>
        <w:t xml:space="preserve"> a skladování výbušnin, prudce hořlavých materiálů, jedů, drog a dalším činnostem, které ohrožují nebo negativně působí na životní prostředí (zejména prašností, hlukem nebo exhalacemi). Nájemce nemá právo provozovat jinou činnost nebo změnit způsob nebo po</w:t>
      </w:r>
      <w:r>
        <w:rPr>
          <w:rFonts w:ascii="Arial" w:hAnsi="Arial" w:cs="Arial"/>
          <w:sz w:val="22"/>
          <w:szCs w:val="22"/>
        </w:rPr>
        <w:t>dmínky jejího výkonu, než jak je uvedeno v Čl. II. odst. 3.</w:t>
      </w:r>
    </w:p>
    <w:p w:rsidR="006A03E3" w:rsidRDefault="00D741AB" w:rsidP="006A03E3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:rsidR="006A03E3" w:rsidRDefault="00D741AB" w:rsidP="006A03E3">
      <w:pPr>
        <w:pStyle w:val="Zkladntext"/>
        <w:numPr>
          <w:ilvl w:val="0"/>
          <w:numId w:val="6"/>
        </w:num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Nájemce je povinen oznámit pronajímateli poškození, popř. vadu pronajímaného majetku, kterou zjistil (popř. měl a mohl při řádné péči zjistit) a kterou má pronajímatel odstranit a to bez zbytečné</w:t>
      </w:r>
      <w:r>
        <w:rPr>
          <w:rFonts w:ascii="Arial" w:hAnsi="Arial" w:cs="Arial"/>
          <w:sz w:val="22"/>
          <w:szCs w:val="22"/>
        </w:rPr>
        <w:t>ho odkladu (dle závažnosti vady).</w:t>
      </w:r>
    </w:p>
    <w:p w:rsidR="006A03E3" w:rsidRDefault="00D741AB" w:rsidP="006A03E3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:rsidR="006A03E3" w:rsidRDefault="00D741AB" w:rsidP="006A03E3">
      <w:pPr>
        <w:pStyle w:val="Zkladntext"/>
        <w:numPr>
          <w:ilvl w:val="0"/>
          <w:numId w:val="6"/>
        </w:num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Pronajímatel neodpovídá za vadu, o které v době uzavření nájemní smlouvy strany věděly a která nebrání užívání pronajímaného majetku.</w:t>
      </w:r>
    </w:p>
    <w:p w:rsidR="006A03E3" w:rsidRDefault="00D741AB" w:rsidP="006A03E3">
      <w:pPr>
        <w:pStyle w:val="Odstavecseseznamem"/>
        <w:ind w:left="-76"/>
        <w:jc w:val="both"/>
        <w:rPr>
          <w:rFonts w:ascii="Arial" w:hAnsi="Arial" w:cs="Arial"/>
          <w:sz w:val="22"/>
          <w:szCs w:val="22"/>
        </w:rPr>
      </w:pPr>
    </w:p>
    <w:p w:rsidR="006A03E3" w:rsidRDefault="00D741AB" w:rsidP="006A03E3">
      <w:pPr>
        <w:pStyle w:val="Zkladntext"/>
        <w:numPr>
          <w:ilvl w:val="0"/>
          <w:numId w:val="6"/>
        </w:num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Nájemce může </w:t>
      </w:r>
      <w:r>
        <w:rPr>
          <w:rFonts w:ascii="Arial" w:hAnsi="Arial" w:cs="Arial"/>
          <w:sz w:val="22"/>
          <w:szCs w:val="22"/>
        </w:rPr>
        <w:t xml:space="preserve">zřídit třetí osobě užívací právo (podnájem) jen v případě, vydá-li s tím pronajímatel písemný souhlas. Zřídí-li nájemce třetí osobě podnájem bez souhlasu pronajímatele, jde o hrubé porušení povinností nájemce, které pronajímateli způsobuje vážnější újmu a </w:t>
      </w:r>
      <w:r>
        <w:rPr>
          <w:rFonts w:ascii="Arial" w:hAnsi="Arial" w:cs="Arial"/>
          <w:sz w:val="22"/>
          <w:szCs w:val="22"/>
        </w:rPr>
        <w:t>pronajímatel má právo nájem vypovědět. Výpovědní doba činí 3 měsíce a počne běžet prvním dnem měsíce následujícího po doručení písemné výpovědi.</w:t>
      </w:r>
    </w:p>
    <w:p w:rsidR="006A03E3" w:rsidRDefault="00D741AB" w:rsidP="006A03E3">
      <w:pPr>
        <w:pStyle w:val="Zkladntext"/>
        <w:ind w:left="-76"/>
        <w:rPr>
          <w:rFonts w:ascii="Arial" w:hAnsi="Arial" w:cs="Arial"/>
          <w:b/>
          <w:sz w:val="22"/>
          <w:szCs w:val="22"/>
        </w:rPr>
      </w:pPr>
    </w:p>
    <w:p w:rsidR="006A03E3" w:rsidRDefault="00D741AB" w:rsidP="006A03E3">
      <w:pPr>
        <w:pStyle w:val="Zkladntext"/>
        <w:numPr>
          <w:ilvl w:val="0"/>
          <w:numId w:val="6"/>
        </w:num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Nájemce je povinen umožnit pronajímateli na jeho žádost vstup na pronajímaný majetek, zejména za účelem kontro</w:t>
      </w:r>
      <w:r>
        <w:rPr>
          <w:rFonts w:ascii="Arial" w:hAnsi="Arial" w:cs="Arial"/>
          <w:sz w:val="22"/>
          <w:szCs w:val="22"/>
        </w:rPr>
        <w:t>ly dodržování podmínek této smlouvy, provádění potřebných oprav nebo provádění kontroly instalovaných inženýrských sítí.</w:t>
      </w:r>
    </w:p>
    <w:p w:rsidR="000132DD" w:rsidRDefault="00D741AB" w:rsidP="000132DD">
      <w:pPr>
        <w:pStyle w:val="Odstavecseseznamem"/>
        <w:rPr>
          <w:rFonts w:ascii="Arial" w:hAnsi="Arial" w:cs="Arial"/>
          <w:sz w:val="22"/>
          <w:szCs w:val="22"/>
        </w:rPr>
      </w:pPr>
    </w:p>
    <w:p w:rsidR="000132DD" w:rsidRPr="005E677E" w:rsidRDefault="00D741AB" w:rsidP="000132DD">
      <w:pPr>
        <w:pStyle w:val="Zkladntext"/>
        <w:numPr>
          <w:ilvl w:val="0"/>
          <w:numId w:val="11"/>
        </w:numPr>
        <w:ind w:left="284"/>
        <w:rPr>
          <w:rFonts w:ascii="Arial" w:hAnsi="Arial" w:cs="Arial"/>
          <w:sz w:val="22"/>
          <w:szCs w:val="22"/>
        </w:rPr>
      </w:pPr>
      <w:r w:rsidRPr="005E677E">
        <w:rPr>
          <w:rFonts w:ascii="Arial" w:hAnsi="Arial" w:cs="Arial"/>
          <w:sz w:val="22"/>
          <w:szCs w:val="22"/>
        </w:rPr>
        <w:t>Za organizaci a zajištění požární ochrany, bezpečnosti a ochrany zdraví při práci, ochrany životního prostředí a hygieny v souladu s p</w:t>
      </w:r>
      <w:r w:rsidRPr="005E677E">
        <w:rPr>
          <w:rFonts w:ascii="Arial" w:hAnsi="Arial" w:cs="Arial"/>
          <w:sz w:val="22"/>
          <w:szCs w:val="22"/>
        </w:rPr>
        <w:t xml:space="preserve">latnými předpisy odpovídá v pronajímaném majetku nájemce. Pronajímatel je oprávněn dodržování platných předpisů v pronajímaném majetku kontrolovat. </w:t>
      </w:r>
    </w:p>
    <w:p w:rsidR="000132DD" w:rsidRPr="005E677E" w:rsidRDefault="00D741AB" w:rsidP="000132DD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:rsidR="000132DD" w:rsidRPr="008F3EBB" w:rsidRDefault="00D741AB" w:rsidP="008F3EBB">
      <w:pPr>
        <w:pStyle w:val="Zkladntext"/>
        <w:numPr>
          <w:ilvl w:val="0"/>
          <w:numId w:val="11"/>
        </w:numPr>
        <w:ind w:left="284"/>
        <w:rPr>
          <w:rFonts w:ascii="Arial" w:hAnsi="Arial" w:cs="Arial"/>
          <w:sz w:val="22"/>
          <w:szCs w:val="22"/>
        </w:rPr>
      </w:pPr>
      <w:r w:rsidRPr="005E677E">
        <w:rPr>
          <w:rFonts w:ascii="Arial" w:hAnsi="Arial" w:cs="Arial"/>
          <w:sz w:val="22"/>
          <w:szCs w:val="22"/>
        </w:rPr>
        <w:lastRenderedPageBreak/>
        <w:t xml:space="preserve">Nájemce je povinen hradit náklady spojené s běžnou </w:t>
      </w:r>
      <w:r>
        <w:rPr>
          <w:rFonts w:ascii="Arial" w:hAnsi="Arial" w:cs="Arial"/>
          <w:sz w:val="22"/>
          <w:szCs w:val="22"/>
        </w:rPr>
        <w:t>údržbou pronajímaného majetku (</w:t>
      </w:r>
      <w:r w:rsidRPr="005E677E">
        <w:rPr>
          <w:rFonts w:ascii="Arial" w:hAnsi="Arial" w:cs="Arial"/>
          <w:sz w:val="22"/>
          <w:szCs w:val="22"/>
        </w:rPr>
        <w:t>např. náklady na udržová</w:t>
      </w:r>
      <w:r w:rsidRPr="005E677E">
        <w:rPr>
          <w:rFonts w:ascii="Arial" w:hAnsi="Arial" w:cs="Arial"/>
          <w:sz w:val="22"/>
          <w:szCs w:val="22"/>
        </w:rPr>
        <w:t>ní povrchu pronajímaného pozemku a porostů na něm</w:t>
      </w:r>
      <w:r>
        <w:rPr>
          <w:rFonts w:ascii="Arial" w:hAnsi="Arial" w:cs="Arial"/>
          <w:sz w:val="22"/>
          <w:szCs w:val="22"/>
        </w:rPr>
        <w:t>, jak trvalých, tak i travních)</w:t>
      </w:r>
      <w:r w:rsidRPr="005E677E">
        <w:rPr>
          <w:rFonts w:ascii="Arial" w:hAnsi="Arial" w:cs="Arial"/>
          <w:sz w:val="22"/>
          <w:szCs w:val="22"/>
        </w:rPr>
        <w:t xml:space="preserve"> a také náklady na opravy poškození, které sám způsobil.</w:t>
      </w:r>
    </w:p>
    <w:p w:rsidR="006A03E3" w:rsidRDefault="00D741AB" w:rsidP="00F40CB8">
      <w:pPr>
        <w:pStyle w:val="para"/>
        <w:tabs>
          <w:tab w:val="center" w:pos="4536"/>
          <w:tab w:val="left" w:pos="5222"/>
        </w:tabs>
        <w:spacing w:before="24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VII.</w:t>
      </w:r>
    </w:p>
    <w:p w:rsidR="006A03E3" w:rsidRDefault="00D741AB" w:rsidP="006A03E3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Nájem skončí uplynutím doby, na kterou byl ujednán.</w:t>
      </w:r>
    </w:p>
    <w:p w:rsidR="006A03E3" w:rsidRDefault="00D741AB" w:rsidP="006A03E3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6A03E3" w:rsidRDefault="00D741AB" w:rsidP="006A03E3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Nájem je možné ukončit dohodou smluvních stran.</w:t>
      </w:r>
    </w:p>
    <w:p w:rsidR="006A03E3" w:rsidRDefault="00D741AB" w:rsidP="006A03E3">
      <w:pPr>
        <w:pStyle w:val="Odstavecseseznamem"/>
        <w:ind w:left="284" w:hanging="284"/>
        <w:rPr>
          <w:rFonts w:ascii="Arial" w:hAnsi="Arial" w:cs="Arial"/>
          <w:sz w:val="22"/>
          <w:szCs w:val="22"/>
        </w:rPr>
      </w:pPr>
    </w:p>
    <w:p w:rsidR="006A03E3" w:rsidRDefault="00D741AB" w:rsidP="006A03E3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Nájemní </w:t>
      </w:r>
      <w:r>
        <w:rPr>
          <w:rFonts w:ascii="Arial" w:hAnsi="Arial" w:cs="Arial"/>
          <w:sz w:val="22"/>
          <w:szCs w:val="22"/>
        </w:rPr>
        <w:t>vztah lze ukončit výpovědí bez udání důvodu a rovněž okamžitým ukončením, pokud přestanou být plněny podmínky podle § 27 odst. 1 zákona č. 219/2000 Sb. Výpovědní doba činí tři měsíce a počne běžet prvním dnem měsíce následujícího po doručení písemné výpově</w:t>
      </w:r>
      <w:r>
        <w:rPr>
          <w:rFonts w:ascii="Arial" w:hAnsi="Arial" w:cs="Arial"/>
          <w:sz w:val="22"/>
          <w:szCs w:val="22"/>
        </w:rPr>
        <w:t>di druhé smluvní straně. Okamžité ukončení nájemního vztahu je účinné dnem doručení oznámení nájemci.</w:t>
      </w:r>
    </w:p>
    <w:p w:rsidR="006A03E3" w:rsidRDefault="00D741AB" w:rsidP="006A03E3">
      <w:pPr>
        <w:pStyle w:val="Odstavecseseznamem"/>
        <w:rPr>
          <w:rFonts w:ascii="Arial" w:hAnsi="Arial" w:cs="Arial"/>
          <w:sz w:val="22"/>
          <w:szCs w:val="22"/>
        </w:rPr>
      </w:pPr>
    </w:p>
    <w:p w:rsidR="006A03E3" w:rsidRDefault="00D741AB" w:rsidP="006A03E3">
      <w:pPr>
        <w:pStyle w:val="Zkladntext"/>
        <w:numPr>
          <w:ilvl w:val="0"/>
          <w:numId w:val="7"/>
        </w:numPr>
        <w:tabs>
          <w:tab w:val="left" w:pos="1635"/>
        </w:tabs>
        <w:autoSpaceDE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výslovně dohodly na vyloučení opětovného uzavření nájemní smlouvy podle § 2230 zákona č. 89/2012 Sb., a ujednávají si, že nájem bez ohl</w:t>
      </w:r>
      <w:r>
        <w:rPr>
          <w:rFonts w:ascii="Arial" w:hAnsi="Arial" w:cs="Arial"/>
          <w:sz w:val="22"/>
          <w:szCs w:val="22"/>
        </w:rPr>
        <w:t>edu na aktivitu pronajímatele končí ke sjednanému datu a případné další užívání pronajímaného majetku nájemcem nebude pokládáno za opětovné uzavření nájemní smlouvy. Toto ujednání zároveň pokládají za sdělení o ukončení nájmu dle odst. 2 citovaného ustanov</w:t>
      </w:r>
      <w:r>
        <w:rPr>
          <w:rFonts w:ascii="Arial" w:hAnsi="Arial" w:cs="Arial"/>
          <w:sz w:val="22"/>
          <w:szCs w:val="22"/>
        </w:rPr>
        <w:t xml:space="preserve">ení ke sjednanému datu                 a případné další užívání pronajímaného majetku nájemcem nebude pokládáno za opětovné uzavření nájemní smlouvy. </w:t>
      </w:r>
    </w:p>
    <w:p w:rsidR="006A03E3" w:rsidRDefault="00D741AB" w:rsidP="006A03E3">
      <w:pPr>
        <w:pStyle w:val="Odstavecseseznamem"/>
        <w:rPr>
          <w:rFonts w:ascii="Arial" w:hAnsi="Arial" w:cs="Arial"/>
          <w:sz w:val="22"/>
          <w:szCs w:val="22"/>
        </w:rPr>
      </w:pPr>
    </w:p>
    <w:p w:rsidR="006A03E3" w:rsidRDefault="00D741AB" w:rsidP="006A03E3">
      <w:pPr>
        <w:pStyle w:val="Zkladntext"/>
        <w:numPr>
          <w:ilvl w:val="0"/>
          <w:numId w:val="7"/>
        </w:numPr>
        <w:tabs>
          <w:tab w:val="left" w:pos="1635"/>
        </w:tabs>
        <w:autoSpaceDE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Užívá-li nájemce pronajímaný majetek takovým způsobem, že dochází k opotřebování                nad míru</w:t>
      </w:r>
      <w:r>
        <w:rPr>
          <w:rFonts w:ascii="Arial" w:hAnsi="Arial" w:cs="Arial"/>
          <w:sz w:val="22"/>
          <w:szCs w:val="22"/>
        </w:rPr>
        <w:t xml:space="preserve"> přiměřenou poměrům a okolnostem nebo že hrozí poškození pronajímaného majetku, popř. užívá-li nájemce pronajímaný majetek k jinému, než sjednanému účelu, vyzve ho pronajímatel, aby pronajímaný majetek užíval řádně a v souladu se sjednaným účelem. Pronajím</w:t>
      </w:r>
      <w:r>
        <w:rPr>
          <w:rFonts w:ascii="Arial" w:hAnsi="Arial" w:cs="Arial"/>
          <w:sz w:val="22"/>
          <w:szCs w:val="22"/>
        </w:rPr>
        <w:t>atel současně poskytne nájemci přiměřenou lhůtu k nápravě a upozorní jej na možné následky neuposlechnutí výzvy. Neuposlechne-li nájemce této výzvy, má pronajímatel právo nájem vypovědět bez výpovědní doby. Pokud by ale hrozilo vážné poškození nebo zničení</w:t>
      </w:r>
      <w:r>
        <w:rPr>
          <w:rFonts w:ascii="Arial" w:hAnsi="Arial" w:cs="Arial"/>
          <w:sz w:val="22"/>
          <w:szCs w:val="22"/>
        </w:rPr>
        <w:t xml:space="preserve"> pronajímaného majetku, má pronajímatel právo nájem vypovědět bez výpovědní doby                        i bez předchozího upozornění.</w:t>
      </w:r>
    </w:p>
    <w:p w:rsidR="006A03E3" w:rsidRDefault="00D741AB" w:rsidP="006A03E3">
      <w:pPr>
        <w:pStyle w:val="Odstavecseseznamem"/>
        <w:rPr>
          <w:rFonts w:ascii="Arial" w:hAnsi="Arial" w:cs="Arial"/>
          <w:sz w:val="22"/>
          <w:szCs w:val="22"/>
        </w:rPr>
      </w:pPr>
    </w:p>
    <w:p w:rsidR="006A03E3" w:rsidRDefault="00D741AB" w:rsidP="006A03E3">
      <w:pPr>
        <w:pStyle w:val="Zkladntext"/>
        <w:numPr>
          <w:ilvl w:val="0"/>
          <w:numId w:val="7"/>
        </w:numPr>
        <w:tabs>
          <w:tab w:val="left" w:pos="1635"/>
        </w:tabs>
        <w:autoSpaceDE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Pronajímatel má právo nájem vypovědět v případě hrubého porušení povinností ze strany nájemce. Výpovědní doba činí tři mě</w:t>
      </w:r>
      <w:r>
        <w:rPr>
          <w:rFonts w:ascii="Arial" w:hAnsi="Arial" w:cs="Arial"/>
          <w:sz w:val="22"/>
          <w:szCs w:val="22"/>
        </w:rPr>
        <w:t>síce a počne běžet prvním dnem měsíce následujícího po doručení písemné výpovědi druhé smluvní straně.</w:t>
      </w:r>
    </w:p>
    <w:p w:rsidR="006A03E3" w:rsidRDefault="00D741AB" w:rsidP="006A03E3">
      <w:pPr>
        <w:pStyle w:val="Odstavecseseznamem"/>
        <w:rPr>
          <w:rFonts w:ascii="Arial" w:hAnsi="Arial" w:cs="Arial"/>
          <w:sz w:val="22"/>
          <w:szCs w:val="22"/>
        </w:rPr>
      </w:pPr>
    </w:p>
    <w:p w:rsidR="006A03E3" w:rsidRDefault="00D741AB" w:rsidP="006A03E3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Nájem ujednaný na dobu určitou může každá ze stran vypovědět jen z důvodů, ujednaných v této smlouvě.</w:t>
      </w:r>
    </w:p>
    <w:p w:rsidR="006A03E3" w:rsidRDefault="00D741AB" w:rsidP="006A03E3">
      <w:pPr>
        <w:pStyle w:val="Odstavecseseznamem"/>
        <w:ind w:left="284" w:hanging="284"/>
        <w:rPr>
          <w:rFonts w:ascii="Arial" w:hAnsi="Arial" w:cs="Arial"/>
          <w:i/>
          <w:sz w:val="22"/>
          <w:szCs w:val="22"/>
        </w:rPr>
      </w:pPr>
    </w:p>
    <w:p w:rsidR="006A03E3" w:rsidRDefault="00D741AB" w:rsidP="006A03E3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Je-li nájemce po dobu delší než 3 měsíce v prodle</w:t>
      </w:r>
      <w:r>
        <w:rPr>
          <w:rFonts w:ascii="Arial" w:hAnsi="Arial" w:cs="Arial"/>
          <w:sz w:val="22"/>
          <w:szCs w:val="22"/>
        </w:rPr>
        <w:t>ní s placením nájemného, jedná se o hrubé porušení povinností nájemce vyplývající z této smlouvy a pronajímatel má právo nájem vypovědět. Výpovědní doba činí tři měsíce a počne běžet prvním dnem měsíce následujícího po doručení písemné výpovědi.</w:t>
      </w:r>
    </w:p>
    <w:p w:rsidR="006A03E3" w:rsidRDefault="00D741AB" w:rsidP="00F40CB8">
      <w:pPr>
        <w:pStyle w:val="para"/>
        <w:tabs>
          <w:tab w:val="center" w:pos="4536"/>
          <w:tab w:val="left" w:pos="5222"/>
        </w:tabs>
        <w:spacing w:before="24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VIII.</w:t>
      </w:r>
    </w:p>
    <w:p w:rsidR="006A03E3" w:rsidRDefault="00D741AB" w:rsidP="00F40CB8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Nejpozději v den skončení nájmu, v případě okamžitého ukončení nájemního vztahu (popř. výpovědi bez výpovědní doby) pak nejpozději do 15 dnů po doručení oznámení o okamžitém ukončení (resp. výpovědi), předá nájemce pronajímateli pronajímaný majetek, vykliz</w:t>
      </w:r>
      <w:r>
        <w:rPr>
          <w:rFonts w:ascii="Arial" w:hAnsi="Arial" w:cs="Arial"/>
          <w:sz w:val="22"/>
          <w:szCs w:val="22"/>
        </w:rPr>
        <w:t>ený, resp. uvedený do původního stavu, případně ve stavu, v jakém jej převzal s přihlédnutím k obvyklému opotřebení.</w:t>
      </w:r>
    </w:p>
    <w:p w:rsidR="006A03E3" w:rsidRPr="00F40CB8" w:rsidRDefault="00D741AB" w:rsidP="00F40CB8">
      <w:pPr>
        <w:pStyle w:val="para"/>
        <w:tabs>
          <w:tab w:val="center" w:pos="4536"/>
          <w:tab w:val="left" w:pos="5222"/>
        </w:tabs>
        <w:spacing w:before="24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Čl. </w:t>
      </w:r>
      <w:r w:rsidRPr="00F40CB8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X</w:t>
      </w:r>
      <w:r w:rsidRPr="00F40CB8">
        <w:rPr>
          <w:rFonts w:ascii="Arial" w:hAnsi="Arial" w:cs="Arial"/>
          <w:sz w:val="22"/>
          <w:szCs w:val="22"/>
        </w:rPr>
        <w:t>.</w:t>
      </w:r>
    </w:p>
    <w:p w:rsidR="006A03E3" w:rsidRPr="00F40CB8" w:rsidRDefault="00D741AB" w:rsidP="006A03E3">
      <w:pPr>
        <w:pStyle w:val="vnintext"/>
        <w:numPr>
          <w:ilvl w:val="0"/>
          <w:numId w:val="8"/>
        </w:numPr>
        <w:tabs>
          <w:tab w:val="clear" w:pos="709"/>
          <w:tab w:val="center" w:pos="4536"/>
          <w:tab w:val="left" w:pos="5222"/>
        </w:tabs>
        <w:rPr>
          <w:rFonts w:ascii="Arial" w:hAnsi="Arial" w:cs="Arial"/>
          <w:sz w:val="22"/>
          <w:szCs w:val="22"/>
        </w:rPr>
      </w:pPr>
      <w:r w:rsidRPr="00F40CB8">
        <w:rPr>
          <w:rFonts w:ascii="Arial" w:hAnsi="Arial" w:cs="Arial"/>
          <w:sz w:val="22"/>
          <w:szCs w:val="22"/>
        </w:rPr>
        <w:t xml:space="preserve">Neuhradí-li nájemce splatné nájemné řádně a včas, je pronajímatel oprávněn požadovat úroky z prodlení dle platné právní úpravy po </w:t>
      </w:r>
      <w:r w:rsidRPr="00F40CB8">
        <w:rPr>
          <w:rFonts w:ascii="Arial" w:hAnsi="Arial" w:cs="Arial"/>
          <w:sz w:val="22"/>
          <w:szCs w:val="22"/>
        </w:rPr>
        <w:t>nájemci.</w:t>
      </w:r>
    </w:p>
    <w:p w:rsidR="006A03E3" w:rsidRPr="00F40CB8" w:rsidRDefault="00D741AB" w:rsidP="006A03E3">
      <w:pPr>
        <w:pStyle w:val="vnintext"/>
        <w:tabs>
          <w:tab w:val="clear" w:pos="709"/>
          <w:tab w:val="center" w:pos="4536"/>
          <w:tab w:val="left" w:pos="5222"/>
        </w:tabs>
        <w:ind w:left="284" w:hanging="284"/>
        <w:rPr>
          <w:rFonts w:ascii="Arial" w:hAnsi="Arial" w:cs="Arial"/>
          <w:sz w:val="22"/>
          <w:szCs w:val="22"/>
        </w:rPr>
      </w:pPr>
    </w:p>
    <w:p w:rsidR="006A03E3" w:rsidRPr="00F40CB8" w:rsidRDefault="00D741AB" w:rsidP="006A03E3">
      <w:pPr>
        <w:pStyle w:val="vnintext"/>
        <w:numPr>
          <w:ilvl w:val="0"/>
          <w:numId w:val="8"/>
        </w:numPr>
        <w:tabs>
          <w:tab w:val="clear" w:pos="709"/>
          <w:tab w:val="center" w:pos="4536"/>
          <w:tab w:val="left" w:pos="5222"/>
        </w:tabs>
        <w:rPr>
          <w:rFonts w:ascii="Arial" w:hAnsi="Arial" w:cs="Arial"/>
          <w:sz w:val="22"/>
          <w:szCs w:val="22"/>
        </w:rPr>
      </w:pPr>
      <w:r w:rsidRPr="00F40CB8">
        <w:rPr>
          <w:rFonts w:ascii="Arial" w:hAnsi="Arial" w:cs="Arial"/>
          <w:sz w:val="22"/>
          <w:szCs w:val="22"/>
        </w:rPr>
        <w:t xml:space="preserve">Nepředá-li nájemce při skončení nájmu pronajímaný majetek včas a řádně vyklizený, resp. uvedený do původního stavu, případně ve stavu, v jakém jej převzal s přihlédnutím </w:t>
      </w:r>
      <w:r w:rsidRPr="00F40CB8">
        <w:rPr>
          <w:rFonts w:ascii="Arial" w:hAnsi="Arial" w:cs="Arial"/>
          <w:sz w:val="22"/>
          <w:szCs w:val="22"/>
        </w:rPr>
        <w:lastRenderedPageBreak/>
        <w:t>k obvyklému opotřebení, zaplatí pronajímateli za dobu prodlení smluvní pokut</w:t>
      </w:r>
      <w:r w:rsidRPr="00F40CB8">
        <w:rPr>
          <w:rFonts w:ascii="Arial" w:hAnsi="Arial" w:cs="Arial"/>
          <w:sz w:val="22"/>
          <w:szCs w:val="22"/>
        </w:rPr>
        <w:t xml:space="preserve">u ve výši </w:t>
      </w:r>
      <w:r w:rsidRPr="00F40CB8">
        <w:rPr>
          <w:rFonts w:ascii="Arial" w:hAnsi="Arial" w:cs="Arial"/>
          <w:sz w:val="22"/>
          <w:szCs w:val="22"/>
        </w:rPr>
        <w:br/>
        <w:t>0,05 % ročního nájemného za každý den prodlení. Právo pronajímatele na náhradu škody způsobené porušením povinností nájemce tím není dotčeno.</w:t>
      </w:r>
    </w:p>
    <w:p w:rsidR="006A03E3" w:rsidRDefault="00D741AB" w:rsidP="00F40CB8">
      <w:pPr>
        <w:pStyle w:val="para"/>
        <w:tabs>
          <w:tab w:val="center" w:pos="4536"/>
          <w:tab w:val="left" w:pos="5222"/>
        </w:tabs>
        <w:spacing w:before="24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X.</w:t>
      </w:r>
    </w:p>
    <w:p w:rsidR="006A03E3" w:rsidRDefault="00D741AB" w:rsidP="006A03E3">
      <w:pPr>
        <w:jc w:val="both"/>
        <w:rPr>
          <w:rFonts w:ascii="Arial" w:hAnsi="Arial" w:cs="Arial"/>
          <w:i/>
          <w:iCs/>
          <w:sz w:val="20"/>
          <w:szCs w:val="20"/>
          <w:u w:val="single"/>
        </w:rPr>
      </w:pPr>
      <w:r>
        <w:rPr>
          <w:rFonts w:ascii="Arial" w:hAnsi="Arial" w:cs="Arial"/>
          <w:sz w:val="22"/>
          <w:szCs w:val="22"/>
        </w:rPr>
        <w:t xml:space="preserve">Za užívání pronajímaného majetku nájemcem náleží pronajímateli za dobu od 30. 5. 2019 </w:t>
      </w:r>
      <w:r>
        <w:rPr>
          <w:rFonts w:ascii="Arial" w:hAnsi="Arial" w:cs="Arial"/>
          <w:sz w:val="22"/>
          <w:szCs w:val="22"/>
        </w:rPr>
        <w:br/>
        <w:t>do 31. 7.</w:t>
      </w:r>
      <w:r>
        <w:rPr>
          <w:rFonts w:ascii="Arial" w:hAnsi="Arial" w:cs="Arial"/>
          <w:sz w:val="22"/>
          <w:szCs w:val="22"/>
        </w:rPr>
        <w:t xml:space="preserve"> 2019, náhrada ve výši 26.755,- Kč/rok, a to z titulu bezdůvodného obohacení. Nájemce se zavazuje zaplatit</w:t>
      </w:r>
      <w:r>
        <w:rPr>
          <w:rFonts w:ascii="Arial" w:hAnsi="Arial" w:cs="Arial"/>
          <w:iCs/>
          <w:sz w:val="22"/>
          <w:szCs w:val="22"/>
        </w:rPr>
        <w:t xml:space="preserve"> tuto náhradu s první splátkou nájemného.</w:t>
      </w:r>
    </w:p>
    <w:p w:rsidR="006A03E3" w:rsidRDefault="00D741AB" w:rsidP="006A03E3">
      <w:pPr>
        <w:ind w:left="357"/>
        <w:jc w:val="both"/>
        <w:rPr>
          <w:rFonts w:ascii="Arial" w:hAnsi="Arial" w:cs="Arial"/>
          <w:sz w:val="20"/>
          <w:szCs w:val="20"/>
          <w:u w:val="single"/>
        </w:rPr>
      </w:pPr>
    </w:p>
    <w:p w:rsidR="006A03E3" w:rsidRDefault="00D741AB" w:rsidP="00F40CB8">
      <w:pPr>
        <w:pStyle w:val="Zkladntext"/>
        <w:tabs>
          <w:tab w:val="center" w:pos="4536"/>
          <w:tab w:val="left" w:pos="5222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XI.</w:t>
      </w:r>
    </w:p>
    <w:p w:rsidR="006A03E3" w:rsidRDefault="00D741AB" w:rsidP="006A03E3">
      <w:pPr>
        <w:pStyle w:val="Odstavecseseznamem"/>
        <w:numPr>
          <w:ilvl w:val="0"/>
          <w:numId w:val="9"/>
        </w:numPr>
        <w:shd w:val="clear" w:color="auto" w:fill="FFFFFF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Smlouva je uzavřena a nabývá platnosti okamžikem podpisu poslední smluvní stranou.</w:t>
      </w:r>
    </w:p>
    <w:p w:rsidR="006A03E3" w:rsidRDefault="00D741AB" w:rsidP="006A03E3">
      <w:pPr>
        <w:shd w:val="clear" w:color="auto" w:fill="FFFFFF"/>
        <w:jc w:val="both"/>
        <w:outlineLvl w:val="0"/>
        <w:rPr>
          <w:rFonts w:ascii="Arial" w:hAnsi="Arial" w:cs="Arial"/>
          <w:sz w:val="22"/>
          <w:szCs w:val="22"/>
        </w:rPr>
      </w:pPr>
    </w:p>
    <w:p w:rsidR="006A03E3" w:rsidRDefault="00D741AB" w:rsidP="006A03E3">
      <w:pPr>
        <w:pStyle w:val="Odstavecseseznamem"/>
        <w:numPr>
          <w:ilvl w:val="0"/>
          <w:numId w:val="9"/>
        </w:numPr>
        <w:shd w:val="clear" w:color="auto" w:fill="FFFFFF"/>
        <w:jc w:val="both"/>
        <w:outlineLvl w:val="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Smlouva nabývá </w:t>
      </w:r>
      <w:r>
        <w:rPr>
          <w:rFonts w:ascii="Arial" w:hAnsi="Arial" w:cs="Arial"/>
          <w:sz w:val="22"/>
          <w:szCs w:val="22"/>
        </w:rPr>
        <w:t xml:space="preserve">účinnosti dnem 1. 8. 2019 </w:t>
      </w:r>
      <w:r>
        <w:rPr>
          <w:rFonts w:ascii="Arial" w:hAnsi="Arial" w:cs="Arial"/>
          <w:bCs/>
          <w:iCs/>
          <w:sz w:val="22"/>
          <w:szCs w:val="22"/>
        </w:rPr>
        <w:t xml:space="preserve">za předpokladu, že smlouva byla rovněž uveřejněna </w:t>
      </w:r>
      <w:r>
        <w:rPr>
          <w:rFonts w:ascii="Arial" w:hAnsi="Arial" w:cs="Arial"/>
          <w:sz w:val="22"/>
          <w:szCs w:val="22"/>
        </w:rPr>
        <w:t xml:space="preserve">v registru smluv v souladu se zákonem č. 340/2015 Sb., o zvláštních podmínkách účinnosti některých smluv, uveřejňování těchto smluv a o registru smluv (zákon o registru smluv), ve </w:t>
      </w:r>
      <w:r>
        <w:rPr>
          <w:rFonts w:ascii="Arial" w:hAnsi="Arial" w:cs="Arial"/>
          <w:sz w:val="22"/>
          <w:szCs w:val="22"/>
        </w:rPr>
        <w:t>znění pozdějších předpisů.</w:t>
      </w:r>
    </w:p>
    <w:p w:rsidR="006A03E3" w:rsidRDefault="00D741AB" w:rsidP="006A03E3">
      <w:pPr>
        <w:pStyle w:val="Odstavecseseznamem"/>
        <w:rPr>
          <w:rFonts w:ascii="Arial" w:hAnsi="Arial" w:cs="Arial"/>
          <w:bCs/>
          <w:iCs/>
          <w:sz w:val="22"/>
          <w:szCs w:val="22"/>
        </w:rPr>
      </w:pPr>
    </w:p>
    <w:p w:rsidR="006A03E3" w:rsidRDefault="00D741AB" w:rsidP="006A03E3">
      <w:pPr>
        <w:pStyle w:val="Odstavecseseznamem"/>
        <w:numPr>
          <w:ilvl w:val="0"/>
          <w:numId w:val="9"/>
        </w:numPr>
        <w:shd w:val="clear" w:color="auto" w:fill="FFFFFF"/>
        <w:jc w:val="both"/>
        <w:outlineLvl w:val="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Pronajímatel zašle tuto smlouvu správci registru smluv k uveřejnění bez zbytečného odkladu, nejpozději však do 30 dnů od uzavření smlouvy. Pronajímatel předá nájemci doklad o uveřejnění smlouvy v registru smluv podle § 5 odst. 4</w:t>
      </w:r>
      <w:r>
        <w:rPr>
          <w:rFonts w:ascii="Arial" w:hAnsi="Arial" w:cs="Arial"/>
          <w:sz w:val="22"/>
          <w:szCs w:val="22"/>
        </w:rPr>
        <w:t xml:space="preserve"> zákona č. 340/2015 Sb., o registru smluv, jako potvrzení skutečnosti, že smlouva nabyla účinnosti.</w:t>
      </w:r>
    </w:p>
    <w:p w:rsidR="006A03E3" w:rsidRDefault="00D741AB" w:rsidP="006A03E3">
      <w:pPr>
        <w:pStyle w:val="Odstavecseseznamem"/>
        <w:rPr>
          <w:rFonts w:ascii="Arial" w:hAnsi="Arial" w:cs="Arial"/>
          <w:bCs/>
          <w:iCs/>
          <w:sz w:val="22"/>
          <w:szCs w:val="22"/>
        </w:rPr>
      </w:pPr>
    </w:p>
    <w:p w:rsidR="006A03E3" w:rsidRDefault="00D741AB" w:rsidP="006A03E3">
      <w:pPr>
        <w:pStyle w:val="Odstavecseseznamem"/>
        <w:numPr>
          <w:ilvl w:val="0"/>
          <w:numId w:val="9"/>
        </w:numPr>
        <w:shd w:val="clear" w:color="auto" w:fill="FFFFFF"/>
        <w:jc w:val="both"/>
        <w:outlineLvl w:val="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účely uveřejnění v registru smluv smluvní strany navzájem prohlašují, že smlouva neobsahuje žádné obchodní tajemství.</w:t>
      </w:r>
    </w:p>
    <w:p w:rsidR="006A03E3" w:rsidRDefault="00D741AB" w:rsidP="006A03E3">
      <w:pPr>
        <w:pStyle w:val="Odstavecseseznamem"/>
        <w:rPr>
          <w:rFonts w:ascii="Arial" w:hAnsi="Arial" w:cs="Arial"/>
          <w:bCs/>
          <w:iCs/>
          <w:sz w:val="22"/>
          <w:szCs w:val="22"/>
        </w:rPr>
      </w:pPr>
    </w:p>
    <w:p w:rsidR="006A03E3" w:rsidRDefault="00D741AB" w:rsidP="006A03E3">
      <w:pPr>
        <w:pStyle w:val="Odstavecseseznamem"/>
        <w:numPr>
          <w:ilvl w:val="0"/>
          <w:numId w:val="9"/>
        </w:numPr>
        <w:shd w:val="clear" w:color="auto" w:fill="FFFFFF"/>
        <w:jc w:val="both"/>
        <w:outlineLvl w:val="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berou na vědomí, </w:t>
      </w:r>
      <w:r>
        <w:rPr>
          <w:rFonts w:ascii="Arial" w:hAnsi="Arial" w:cs="Arial"/>
          <w:sz w:val="22"/>
          <w:szCs w:val="22"/>
        </w:rPr>
        <w:t>že jsou svými projevy vázány od okamžiku podpisu této smlouvy.</w:t>
      </w:r>
    </w:p>
    <w:p w:rsidR="006A03E3" w:rsidRDefault="00D741AB" w:rsidP="006A03E3">
      <w:pPr>
        <w:pStyle w:val="Odstavecseseznamem"/>
        <w:rPr>
          <w:rFonts w:ascii="Arial" w:hAnsi="Arial" w:cs="Arial"/>
          <w:bCs/>
          <w:iCs/>
          <w:sz w:val="22"/>
          <w:szCs w:val="22"/>
        </w:rPr>
      </w:pPr>
    </w:p>
    <w:p w:rsidR="006A03E3" w:rsidRDefault="00D741AB" w:rsidP="006A03E3">
      <w:pPr>
        <w:pStyle w:val="Odstavecseseznamem"/>
        <w:numPr>
          <w:ilvl w:val="0"/>
          <w:numId w:val="9"/>
        </w:numPr>
        <w:shd w:val="clear" w:color="auto" w:fill="FFFFFF"/>
        <w:jc w:val="both"/>
        <w:outlineLvl w:val="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se dohodly, že není-li v této smlouvě stanoveno jinak, řídí se práva </w:t>
      </w:r>
      <w:r>
        <w:rPr>
          <w:rFonts w:ascii="Arial" w:hAnsi="Arial" w:cs="Arial"/>
          <w:sz w:val="22"/>
          <w:szCs w:val="22"/>
        </w:rPr>
        <w:br/>
        <w:t>a povinnosti smluvních stran zákonem č. 89/2012 Sb. a zákonem č. 219/2000 Sb.</w:t>
      </w:r>
    </w:p>
    <w:p w:rsidR="006A03E3" w:rsidRDefault="00D741AB" w:rsidP="006A03E3">
      <w:pPr>
        <w:pStyle w:val="Odstavecseseznamem"/>
        <w:rPr>
          <w:rFonts w:ascii="Arial" w:hAnsi="Arial" w:cs="Arial"/>
          <w:bCs/>
          <w:iCs/>
          <w:sz w:val="22"/>
          <w:szCs w:val="22"/>
        </w:rPr>
      </w:pPr>
    </w:p>
    <w:p w:rsidR="006A03E3" w:rsidRDefault="00D741AB" w:rsidP="006A03E3">
      <w:pPr>
        <w:pStyle w:val="Odstavecseseznamem"/>
        <w:numPr>
          <w:ilvl w:val="0"/>
          <w:numId w:val="9"/>
        </w:numPr>
        <w:shd w:val="clear" w:color="auto" w:fill="FFFFFF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dohodly, ž</w:t>
      </w:r>
      <w:r>
        <w:rPr>
          <w:rFonts w:ascii="Arial" w:hAnsi="Arial" w:cs="Arial"/>
          <w:sz w:val="22"/>
          <w:szCs w:val="22"/>
        </w:rPr>
        <w:t>e jakékoli změny a doplňky této smlouvy jsou možné pouze písemnou formou, v podobě oboustranně uzavřených, vzestupně číslovaných dodatků smlouvy. Ustanovení Čl. III. odst. 6. tímto není dotčeno.</w:t>
      </w:r>
    </w:p>
    <w:p w:rsidR="006A03E3" w:rsidRDefault="00D741AB" w:rsidP="006A03E3">
      <w:pPr>
        <w:pStyle w:val="Odstavecseseznamem"/>
        <w:rPr>
          <w:rFonts w:ascii="Arial" w:hAnsi="Arial" w:cs="Arial"/>
          <w:sz w:val="22"/>
          <w:szCs w:val="22"/>
        </w:rPr>
      </w:pPr>
    </w:p>
    <w:p w:rsidR="006A03E3" w:rsidRDefault="00D741AB" w:rsidP="006A03E3">
      <w:pPr>
        <w:pStyle w:val="Odstavecseseznamem"/>
        <w:numPr>
          <w:ilvl w:val="0"/>
          <w:numId w:val="9"/>
        </w:numPr>
        <w:shd w:val="clear" w:color="auto" w:fill="FFFFFF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je vyhotovena ve dvou stejnopisech</w:t>
      </w:r>
      <w:r>
        <w:rPr>
          <w:rFonts w:ascii="Arial" w:hAnsi="Arial" w:cs="Arial"/>
          <w:i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Každá ze sm</w:t>
      </w:r>
      <w:r>
        <w:rPr>
          <w:rFonts w:ascii="Arial" w:hAnsi="Arial" w:cs="Arial"/>
          <w:sz w:val="22"/>
          <w:szCs w:val="22"/>
        </w:rPr>
        <w:t xml:space="preserve">luvních stran obdrží po jednom vyhotovení. </w:t>
      </w:r>
    </w:p>
    <w:p w:rsidR="006A03E3" w:rsidRDefault="00D741AB" w:rsidP="006A03E3">
      <w:pPr>
        <w:pStyle w:val="Odstavecseseznamem"/>
        <w:rPr>
          <w:rFonts w:ascii="Arial" w:hAnsi="Arial" w:cs="Arial"/>
          <w:sz w:val="22"/>
          <w:szCs w:val="22"/>
        </w:rPr>
      </w:pPr>
    </w:p>
    <w:p w:rsidR="006A03E3" w:rsidRDefault="00D741AB" w:rsidP="006A03E3">
      <w:pPr>
        <w:pStyle w:val="Odstavecseseznamem"/>
        <w:numPr>
          <w:ilvl w:val="0"/>
          <w:numId w:val="9"/>
        </w:numPr>
        <w:shd w:val="clear" w:color="auto" w:fill="FFFFFF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prohlašují, že tuto smlouvu uzavřely svobodně a vážně, nikoliv z přinucení nebo omylu. Na důkaz toho připojují své vlastnoruční podpisy.</w:t>
      </w:r>
    </w:p>
    <w:p w:rsidR="006A03E3" w:rsidRDefault="00D741AB" w:rsidP="006A03E3">
      <w:pPr>
        <w:pStyle w:val="Zkladntext"/>
        <w:rPr>
          <w:rFonts w:ascii="Arial" w:hAnsi="Arial" w:cs="Arial"/>
          <w:sz w:val="22"/>
          <w:szCs w:val="22"/>
        </w:rPr>
      </w:pPr>
    </w:p>
    <w:p w:rsidR="006A03E3" w:rsidRDefault="00D741AB" w:rsidP="006A03E3">
      <w:pPr>
        <w:pStyle w:val="Zkladntext"/>
        <w:rPr>
          <w:rFonts w:ascii="Arial" w:hAnsi="Arial" w:cs="Arial"/>
          <w:sz w:val="22"/>
          <w:szCs w:val="22"/>
        </w:rPr>
      </w:pPr>
    </w:p>
    <w:tbl>
      <w:tblPr>
        <w:tblW w:w="9060" w:type="dxa"/>
        <w:tblLook w:val="04A0" w:firstRow="1" w:lastRow="0" w:firstColumn="1" w:lastColumn="0" w:noHBand="0" w:noVBand="1"/>
      </w:tblPr>
      <w:tblGrid>
        <w:gridCol w:w="4430"/>
        <w:gridCol w:w="4630"/>
      </w:tblGrid>
      <w:tr w:rsidR="009951A4" w:rsidTr="006A03E3">
        <w:trPr>
          <w:trHeight w:val="17"/>
        </w:trPr>
        <w:tc>
          <w:tcPr>
            <w:tcW w:w="4430" w:type="dxa"/>
            <w:hideMark/>
          </w:tcPr>
          <w:p w:rsidR="006A03E3" w:rsidRDefault="00D741AB">
            <w:pPr>
              <w:pStyle w:val="vnintext"/>
              <w:spacing w:line="256" w:lineRule="auto"/>
              <w:ind w:firstLine="0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Ve Vyškově dne</w:t>
            </w:r>
          </w:p>
        </w:tc>
        <w:tc>
          <w:tcPr>
            <w:tcW w:w="4630" w:type="dxa"/>
            <w:hideMark/>
          </w:tcPr>
          <w:p w:rsidR="006A03E3" w:rsidRDefault="00D741AB">
            <w:pPr>
              <w:pStyle w:val="vnintext"/>
              <w:spacing w:line="256" w:lineRule="auto"/>
              <w:ind w:firstLine="0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V                                  dne </w:t>
            </w:r>
          </w:p>
        </w:tc>
      </w:tr>
      <w:tr w:rsidR="009951A4" w:rsidTr="006A03E3">
        <w:trPr>
          <w:trHeight w:val="196"/>
        </w:trPr>
        <w:tc>
          <w:tcPr>
            <w:tcW w:w="4430" w:type="dxa"/>
          </w:tcPr>
          <w:p w:rsidR="006A03E3" w:rsidRDefault="00D741AB">
            <w:pPr>
              <w:pStyle w:val="vnintext"/>
              <w:spacing w:line="256" w:lineRule="auto"/>
              <w:ind w:firstLine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6A03E3" w:rsidRDefault="00D741AB">
            <w:pPr>
              <w:pStyle w:val="vnintext"/>
              <w:spacing w:line="256" w:lineRule="auto"/>
              <w:ind w:firstLine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Česká republika - Úřad pro zastupování</w:t>
            </w:r>
          </w:p>
          <w:p w:rsidR="006A03E3" w:rsidRDefault="00D741AB">
            <w:pPr>
              <w:pStyle w:val="vnintext"/>
              <w:spacing w:line="256" w:lineRule="au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státu ve věcech majetkových</w:t>
            </w:r>
          </w:p>
          <w:p w:rsidR="006A03E3" w:rsidRDefault="00D741AB">
            <w:pPr>
              <w:pStyle w:val="vnintext"/>
              <w:spacing w:line="256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40CB8" w:rsidRDefault="00D741AB">
            <w:pPr>
              <w:pStyle w:val="vnintext"/>
              <w:spacing w:line="256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6A03E3" w:rsidRDefault="00D741AB">
            <w:pPr>
              <w:pStyle w:val="vnintext"/>
              <w:spacing w:line="256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6A03E3" w:rsidRDefault="00D741AB">
            <w:pPr>
              <w:pStyle w:val="vnintext"/>
              <w:spacing w:line="256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6A03E3" w:rsidRDefault="00D741AB">
            <w:pPr>
              <w:pStyle w:val="vnintext"/>
              <w:spacing w:line="256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6A03E3" w:rsidRDefault="00D741AB">
            <w:pPr>
              <w:pStyle w:val="vnintext"/>
              <w:spacing w:line="256" w:lineRule="auto"/>
              <w:ind w:firstLine="0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……………………………………………..</w:t>
            </w:r>
          </w:p>
        </w:tc>
        <w:tc>
          <w:tcPr>
            <w:tcW w:w="4630" w:type="dxa"/>
          </w:tcPr>
          <w:p w:rsidR="006A03E3" w:rsidRDefault="00D741AB">
            <w:pPr>
              <w:pStyle w:val="vnintext"/>
              <w:spacing w:line="256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6A03E3" w:rsidRDefault="00D741AB">
            <w:pPr>
              <w:pStyle w:val="vnintext"/>
              <w:spacing w:line="256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6A03E3" w:rsidRDefault="00D741AB">
            <w:pPr>
              <w:pStyle w:val="vnintext"/>
              <w:spacing w:line="256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6A03E3" w:rsidRDefault="00D741AB">
            <w:pPr>
              <w:pStyle w:val="vnintext"/>
              <w:spacing w:line="256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6A03E3" w:rsidRDefault="00D741AB">
            <w:pPr>
              <w:pStyle w:val="vnintext"/>
              <w:spacing w:line="256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40CB8" w:rsidRDefault="00D741AB">
            <w:pPr>
              <w:pStyle w:val="vnintext"/>
              <w:spacing w:line="256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6A03E3" w:rsidRDefault="00D741AB">
            <w:pPr>
              <w:pStyle w:val="vnintext"/>
              <w:spacing w:line="256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6A03E3" w:rsidRDefault="00D741AB">
            <w:pPr>
              <w:pStyle w:val="vnintext"/>
              <w:spacing w:line="256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6A03E3" w:rsidRDefault="00D741AB">
            <w:pPr>
              <w:pStyle w:val="vnintext"/>
              <w:spacing w:line="276" w:lineRule="auto"/>
              <w:ind w:firstLine="0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...……………………………………………..</w:t>
            </w:r>
          </w:p>
          <w:p w:rsidR="006A03E3" w:rsidRDefault="00D741AB">
            <w:pPr>
              <w:pStyle w:val="vnintext"/>
              <w:spacing w:line="256" w:lineRule="auto"/>
              <w:ind w:firstLine="0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9951A4" w:rsidTr="006A03E3">
        <w:trPr>
          <w:trHeight w:val="120"/>
        </w:trPr>
        <w:tc>
          <w:tcPr>
            <w:tcW w:w="4430" w:type="dxa"/>
            <w:hideMark/>
          </w:tcPr>
          <w:p w:rsidR="006A03E3" w:rsidRDefault="00D741AB">
            <w:pPr>
              <w:pStyle w:val="vnintext"/>
              <w:spacing w:line="256" w:lineRule="auto"/>
              <w:ind w:firstLine="0"/>
              <w:jc w:val="center"/>
              <w:rPr>
                <w:rFonts w:ascii="Arial" w:hAnsi="Arial" w:cs="Arial"/>
                <w:sz w:val="22"/>
                <w:lang w:eastAsia="en-US"/>
              </w:rPr>
            </w:pPr>
            <w:r>
              <w:rPr>
                <w:rFonts w:ascii="Arial" w:hAnsi="Arial" w:cs="Arial"/>
                <w:sz w:val="22"/>
                <w:lang w:eastAsia="en-US"/>
              </w:rPr>
              <w:t>Ing. Martin Hořava</w:t>
            </w:r>
          </w:p>
          <w:p w:rsidR="006A03E3" w:rsidRDefault="00D741AB">
            <w:pPr>
              <w:pStyle w:val="vnintext"/>
              <w:spacing w:line="256" w:lineRule="auto"/>
              <w:ind w:firstLine="0"/>
              <w:jc w:val="center"/>
              <w:rPr>
                <w:rFonts w:ascii="Arial" w:hAnsi="Arial" w:cs="Arial"/>
                <w:sz w:val="22"/>
                <w:lang w:eastAsia="en-US"/>
              </w:rPr>
            </w:pPr>
            <w:r>
              <w:rPr>
                <w:rFonts w:ascii="Arial" w:hAnsi="Arial" w:cs="Arial"/>
                <w:sz w:val="22"/>
                <w:lang w:eastAsia="en-US"/>
              </w:rPr>
              <w:t xml:space="preserve">ředitel </w:t>
            </w:r>
          </w:p>
          <w:p w:rsidR="006A03E3" w:rsidRDefault="00D741AB">
            <w:pPr>
              <w:pStyle w:val="vnintext"/>
              <w:spacing w:line="256" w:lineRule="auto"/>
              <w:ind w:firstLine="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sz w:val="22"/>
                <w:lang w:eastAsia="en-US"/>
              </w:rPr>
              <w:t>odboru Odloučené pracoviště Vyškov</w:t>
            </w:r>
            <w:r>
              <w:rPr>
                <w:rFonts w:ascii="Arial" w:hAnsi="Arial" w:cs="Arial"/>
                <w:i/>
                <w:sz w:val="22"/>
                <w:lang w:eastAsia="en-US"/>
              </w:rPr>
              <w:t xml:space="preserve"> </w:t>
            </w:r>
          </w:p>
        </w:tc>
        <w:tc>
          <w:tcPr>
            <w:tcW w:w="4630" w:type="dxa"/>
          </w:tcPr>
          <w:p w:rsidR="006A03E3" w:rsidRDefault="00D741AB">
            <w:pPr>
              <w:pStyle w:val="vnintext"/>
              <w:spacing w:line="256" w:lineRule="auto"/>
              <w:ind w:firstLine="0"/>
              <w:jc w:val="center"/>
              <w:rPr>
                <w:rFonts w:ascii="Arial" w:hAnsi="Arial" w:cs="Arial"/>
                <w:sz w:val="22"/>
                <w:lang w:eastAsia="en-US"/>
              </w:rPr>
            </w:pPr>
            <w:r w:rsidRPr="00D741AB">
              <w:rPr>
                <w:rFonts w:ascii="Arial" w:hAnsi="Arial" w:cs="Arial"/>
                <w:sz w:val="22"/>
                <w:highlight w:val="black"/>
                <w:lang w:eastAsia="en-US"/>
              </w:rPr>
              <w:t>Donald Haswell</w:t>
            </w:r>
          </w:p>
          <w:p w:rsidR="006A03E3" w:rsidRDefault="00D741AB">
            <w:pPr>
              <w:pStyle w:val="vnintext"/>
              <w:spacing w:line="256" w:lineRule="auto"/>
              <w:ind w:firstLine="0"/>
              <w:jc w:val="center"/>
              <w:rPr>
                <w:rFonts w:ascii="Arial" w:hAnsi="Arial" w:cs="Arial"/>
                <w:sz w:val="22"/>
                <w:lang w:eastAsia="en-US"/>
              </w:rPr>
            </w:pPr>
            <w:r>
              <w:rPr>
                <w:rFonts w:ascii="Arial" w:hAnsi="Arial" w:cs="Arial"/>
                <w:sz w:val="22"/>
                <w:lang w:eastAsia="en-US"/>
              </w:rPr>
              <w:t>předseda představenstva</w:t>
            </w:r>
          </w:p>
          <w:p w:rsidR="006A03E3" w:rsidRDefault="00D741AB">
            <w:pPr>
              <w:pStyle w:val="vnintext"/>
              <w:spacing w:line="256" w:lineRule="auto"/>
              <w:ind w:firstLine="0"/>
              <w:jc w:val="center"/>
              <w:rPr>
                <w:rFonts w:ascii="Arial" w:hAnsi="Arial" w:cs="Arial"/>
                <w:sz w:val="22"/>
                <w:lang w:eastAsia="en-US"/>
              </w:rPr>
            </w:pPr>
            <w:r>
              <w:rPr>
                <w:rFonts w:ascii="Arial" w:hAnsi="Arial" w:cs="Arial"/>
                <w:sz w:val="22"/>
                <w:lang w:eastAsia="en-US"/>
              </w:rPr>
              <w:t>SVITAVICE a.s.</w:t>
            </w:r>
          </w:p>
          <w:p w:rsidR="006A03E3" w:rsidRDefault="00D741AB">
            <w:pPr>
              <w:pStyle w:val="vnintext"/>
              <w:spacing w:line="256" w:lineRule="auto"/>
              <w:ind w:firstLine="0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</w:tr>
    </w:tbl>
    <w:p w:rsidR="00E07B64" w:rsidRPr="00A43C1C" w:rsidRDefault="00D741AB" w:rsidP="006B5A0C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E07B64" w:rsidRPr="00A43C1C" w:rsidSect="00345881">
      <w:pgSz w:w="11906" w:h="16838"/>
      <w:pgMar w:top="851" w:right="1134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Kabel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de 128 Notext">
    <w:panose1 w:val="050B0000000000000000"/>
    <w:charset w:val="02"/>
    <w:family w:val="swiss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A1E0E"/>
    <w:multiLevelType w:val="hybridMultilevel"/>
    <w:tmpl w:val="F98E4860"/>
    <w:lvl w:ilvl="0" w:tplc="51024A22">
      <w:start w:val="1"/>
      <w:numFmt w:val="decimal"/>
      <w:lvlText w:val="%1."/>
      <w:lvlJc w:val="left"/>
      <w:pPr>
        <w:ind w:left="360" w:hanging="360"/>
      </w:pPr>
    </w:lvl>
    <w:lvl w:ilvl="1" w:tplc="7A8A695A">
      <w:start w:val="1"/>
      <w:numFmt w:val="lowerLetter"/>
      <w:lvlText w:val="%2."/>
      <w:lvlJc w:val="left"/>
      <w:pPr>
        <w:ind w:left="1080" w:hanging="360"/>
      </w:pPr>
    </w:lvl>
    <w:lvl w:ilvl="2" w:tplc="228A8A7E">
      <w:start w:val="1"/>
      <w:numFmt w:val="lowerRoman"/>
      <w:lvlText w:val="%3."/>
      <w:lvlJc w:val="right"/>
      <w:pPr>
        <w:ind w:left="1800" w:hanging="180"/>
      </w:pPr>
    </w:lvl>
    <w:lvl w:ilvl="3" w:tplc="94063816">
      <w:start w:val="1"/>
      <w:numFmt w:val="decimal"/>
      <w:lvlText w:val="%4."/>
      <w:lvlJc w:val="left"/>
      <w:pPr>
        <w:ind w:left="2520" w:hanging="360"/>
      </w:pPr>
    </w:lvl>
    <w:lvl w:ilvl="4" w:tplc="270407AE">
      <w:start w:val="1"/>
      <w:numFmt w:val="lowerLetter"/>
      <w:lvlText w:val="%5."/>
      <w:lvlJc w:val="left"/>
      <w:pPr>
        <w:ind w:left="3240" w:hanging="360"/>
      </w:pPr>
    </w:lvl>
    <w:lvl w:ilvl="5" w:tplc="FDF089B0">
      <w:start w:val="1"/>
      <w:numFmt w:val="lowerRoman"/>
      <w:lvlText w:val="%6."/>
      <w:lvlJc w:val="right"/>
      <w:pPr>
        <w:ind w:left="3960" w:hanging="180"/>
      </w:pPr>
    </w:lvl>
    <w:lvl w:ilvl="6" w:tplc="AABA4296">
      <w:start w:val="1"/>
      <w:numFmt w:val="decimal"/>
      <w:lvlText w:val="%7."/>
      <w:lvlJc w:val="left"/>
      <w:pPr>
        <w:ind w:left="4680" w:hanging="360"/>
      </w:pPr>
    </w:lvl>
    <w:lvl w:ilvl="7" w:tplc="E862956A">
      <w:start w:val="1"/>
      <w:numFmt w:val="lowerLetter"/>
      <w:lvlText w:val="%8."/>
      <w:lvlJc w:val="left"/>
      <w:pPr>
        <w:ind w:left="5400" w:hanging="360"/>
      </w:pPr>
    </w:lvl>
    <w:lvl w:ilvl="8" w:tplc="7D56B272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AA0AFF"/>
    <w:multiLevelType w:val="hybridMultilevel"/>
    <w:tmpl w:val="68526A58"/>
    <w:lvl w:ilvl="0" w:tplc="7B1201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298B9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48B4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A2BB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2EB3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FC91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E019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D23F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660A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E423DD"/>
    <w:multiLevelType w:val="hybridMultilevel"/>
    <w:tmpl w:val="366E6B50"/>
    <w:lvl w:ilvl="0" w:tplc="C5306D70">
      <w:start w:val="5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FB244B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53AAD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95287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7D810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DD691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1B43A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0B20F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A7A39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184400F"/>
    <w:multiLevelType w:val="hybridMultilevel"/>
    <w:tmpl w:val="01648FD8"/>
    <w:lvl w:ilvl="0" w:tplc="431E569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sz w:val="22"/>
        <w:szCs w:val="22"/>
      </w:rPr>
    </w:lvl>
    <w:lvl w:ilvl="1" w:tplc="6C9C12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E40A4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2FA38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0FC5D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C503E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DE07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86ABE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28208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4200FBC"/>
    <w:multiLevelType w:val="hybridMultilevel"/>
    <w:tmpl w:val="1CD8CA46"/>
    <w:lvl w:ilvl="0" w:tplc="9CE460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C5E55B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12E20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9C05A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1005A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EDC57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8F2FD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688A7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9B43C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5B12B86"/>
    <w:multiLevelType w:val="hybridMultilevel"/>
    <w:tmpl w:val="F9B41198"/>
    <w:lvl w:ilvl="0" w:tplc="2780B77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10643B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3A86A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CE8B6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012B6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6AE50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1FEE7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4838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98C43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EFB073F"/>
    <w:multiLevelType w:val="hybridMultilevel"/>
    <w:tmpl w:val="F132ABA2"/>
    <w:lvl w:ilvl="0" w:tplc="1C1CD718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5A2A6EA2" w:tentative="1">
      <w:start w:val="1"/>
      <w:numFmt w:val="lowerLetter"/>
      <w:lvlText w:val="%2."/>
      <w:lvlJc w:val="left"/>
      <w:pPr>
        <w:ind w:left="1440" w:hanging="360"/>
      </w:pPr>
    </w:lvl>
    <w:lvl w:ilvl="2" w:tplc="A9F6C518" w:tentative="1">
      <w:start w:val="1"/>
      <w:numFmt w:val="lowerRoman"/>
      <w:lvlText w:val="%3."/>
      <w:lvlJc w:val="right"/>
      <w:pPr>
        <w:ind w:left="2160" w:hanging="180"/>
      </w:pPr>
    </w:lvl>
    <w:lvl w:ilvl="3" w:tplc="D5465A3C" w:tentative="1">
      <w:start w:val="1"/>
      <w:numFmt w:val="decimal"/>
      <w:lvlText w:val="%4."/>
      <w:lvlJc w:val="left"/>
      <w:pPr>
        <w:ind w:left="2880" w:hanging="360"/>
      </w:pPr>
    </w:lvl>
    <w:lvl w:ilvl="4" w:tplc="10921314" w:tentative="1">
      <w:start w:val="1"/>
      <w:numFmt w:val="lowerLetter"/>
      <w:lvlText w:val="%5."/>
      <w:lvlJc w:val="left"/>
      <w:pPr>
        <w:ind w:left="3600" w:hanging="360"/>
      </w:pPr>
    </w:lvl>
    <w:lvl w:ilvl="5" w:tplc="250A46F6" w:tentative="1">
      <w:start w:val="1"/>
      <w:numFmt w:val="lowerRoman"/>
      <w:lvlText w:val="%6."/>
      <w:lvlJc w:val="right"/>
      <w:pPr>
        <w:ind w:left="4320" w:hanging="180"/>
      </w:pPr>
    </w:lvl>
    <w:lvl w:ilvl="6" w:tplc="B3F2F3D2" w:tentative="1">
      <w:start w:val="1"/>
      <w:numFmt w:val="decimal"/>
      <w:lvlText w:val="%7."/>
      <w:lvlJc w:val="left"/>
      <w:pPr>
        <w:ind w:left="5040" w:hanging="360"/>
      </w:pPr>
    </w:lvl>
    <w:lvl w:ilvl="7" w:tplc="7B9A2680" w:tentative="1">
      <w:start w:val="1"/>
      <w:numFmt w:val="lowerLetter"/>
      <w:lvlText w:val="%8."/>
      <w:lvlJc w:val="left"/>
      <w:pPr>
        <w:ind w:left="5760" w:hanging="360"/>
      </w:pPr>
    </w:lvl>
    <w:lvl w:ilvl="8" w:tplc="7338C6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9B1003"/>
    <w:multiLevelType w:val="hybridMultilevel"/>
    <w:tmpl w:val="DA2433E0"/>
    <w:lvl w:ilvl="0" w:tplc="B854F6A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4FC41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820C6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3CE2D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C42F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25E33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A2094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70E0C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508F5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95D61F9"/>
    <w:multiLevelType w:val="hybridMultilevel"/>
    <w:tmpl w:val="C108E67C"/>
    <w:lvl w:ilvl="0" w:tplc="A80C6DC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FFA26E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6C2B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8679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DE6B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12AE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CEE2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BC2A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ACF6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4C5EB7"/>
    <w:multiLevelType w:val="hybridMultilevel"/>
    <w:tmpl w:val="DA3AA3E0"/>
    <w:lvl w:ilvl="0" w:tplc="AE0EDA6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57AA6C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34438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97262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7EE17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1FE29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E44B0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16EC0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BBAC1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70DA2AFA"/>
    <w:multiLevelType w:val="hybridMultilevel"/>
    <w:tmpl w:val="6E180CA6"/>
    <w:lvl w:ilvl="0" w:tplc="5364A41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  <w:i w:val="0"/>
      </w:rPr>
    </w:lvl>
    <w:lvl w:ilvl="1" w:tplc="AA9E11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9692F514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8788CDD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1FA08F92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42E0F54C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F27ABDB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B142B628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8EA614FA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1A4"/>
    <w:rsid w:val="009951A4"/>
    <w:rsid w:val="00D7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642328E"/>
  <w15:docId w15:val="{0C6BCBC5-85DB-4172-91B6-E155C82E4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E7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A662F"/>
    <w:pPr>
      <w:spacing w:after="0" w:line="240" w:lineRule="auto"/>
    </w:pPr>
  </w:style>
  <w:style w:type="paragraph" w:styleId="Zkladntext">
    <w:name w:val="Body Text"/>
    <w:basedOn w:val="Normln"/>
    <w:link w:val="ZkladntextChar"/>
    <w:uiPriority w:val="99"/>
    <w:unhideWhenUsed/>
    <w:rsid w:val="006A03E3"/>
    <w:pPr>
      <w:autoSpaceDE w:val="0"/>
      <w:autoSpaceDN w:val="0"/>
      <w:jc w:val="both"/>
    </w:pPr>
    <w:rPr>
      <w:rFonts w:ascii="KabelItcTEE" w:hAnsi="KabelItcTEE"/>
      <w:sz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A03E3"/>
    <w:rPr>
      <w:rFonts w:ascii="KabelItcTEE" w:eastAsia="Times New Roman" w:hAnsi="KabelItcTEE" w:cs="Times New Roman"/>
      <w:sz w:val="20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A03E3"/>
    <w:pPr>
      <w:ind w:left="72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A03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vbloku">
    <w:name w:val="Block Text"/>
    <w:basedOn w:val="Normln"/>
    <w:semiHidden/>
    <w:unhideWhenUsed/>
    <w:rsid w:val="006A03E3"/>
    <w:pPr>
      <w:ind w:left="-540" w:right="-828"/>
      <w:jc w:val="both"/>
    </w:pPr>
  </w:style>
  <w:style w:type="paragraph" w:styleId="Odstavecseseznamem">
    <w:name w:val="List Paragraph"/>
    <w:basedOn w:val="Normln"/>
    <w:uiPriority w:val="34"/>
    <w:qFormat/>
    <w:rsid w:val="006A03E3"/>
    <w:pPr>
      <w:ind w:left="720"/>
      <w:contextualSpacing/>
    </w:pPr>
  </w:style>
  <w:style w:type="paragraph" w:customStyle="1" w:styleId="adresa">
    <w:name w:val="adresa"/>
    <w:basedOn w:val="Normln"/>
    <w:uiPriority w:val="99"/>
    <w:rsid w:val="006A03E3"/>
    <w:pPr>
      <w:tabs>
        <w:tab w:val="left" w:pos="3402"/>
        <w:tab w:val="left" w:pos="6237"/>
      </w:tabs>
      <w:jc w:val="both"/>
    </w:pPr>
    <w:rPr>
      <w:szCs w:val="20"/>
    </w:rPr>
  </w:style>
  <w:style w:type="paragraph" w:customStyle="1" w:styleId="para">
    <w:name w:val="para"/>
    <w:basedOn w:val="Normln"/>
    <w:rsid w:val="006A03E3"/>
    <w:pPr>
      <w:tabs>
        <w:tab w:val="left" w:pos="709"/>
      </w:tabs>
      <w:jc w:val="center"/>
    </w:pPr>
    <w:rPr>
      <w:b/>
      <w:szCs w:val="20"/>
    </w:rPr>
  </w:style>
  <w:style w:type="paragraph" w:customStyle="1" w:styleId="vnintext">
    <w:name w:val="vniřnítext"/>
    <w:basedOn w:val="Normln"/>
    <w:rsid w:val="006A03E3"/>
    <w:pPr>
      <w:tabs>
        <w:tab w:val="left" w:pos="709"/>
      </w:tabs>
      <w:ind w:firstLine="426"/>
      <w:jc w:val="both"/>
    </w:pPr>
    <w:rPr>
      <w:szCs w:val="20"/>
    </w:rPr>
  </w:style>
  <w:style w:type="paragraph" w:customStyle="1" w:styleId="obec">
    <w:name w:val="obec"/>
    <w:basedOn w:val="Normln"/>
    <w:rsid w:val="006A03E3"/>
    <w:pPr>
      <w:tabs>
        <w:tab w:val="left" w:pos="1418"/>
        <w:tab w:val="left" w:pos="4678"/>
        <w:tab w:val="right" w:pos="8931"/>
      </w:tabs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2A7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2A7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2074</Words>
  <Characters>12239</Characters>
  <Application>Microsoft Office Word</Application>
  <DocSecurity>4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ČR- Úřad pro zastupování státu ve věcech majetkových</Company>
  <LinksUpToDate>false</LinksUpToDate>
  <CharactersWithSpaces>14285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smolovar</dc:creator>
  <cp:lastModifiedBy>Macková Hana</cp:lastModifiedBy>
  <cp:revision>2</cp:revision>
  <cp:lastPrinted>2019-05-28T12:06:00Z</cp:lastPrinted>
  <dcterms:created xsi:type="dcterms:W3CDTF">2019-07-17T08:46:00Z</dcterms:created>
  <dcterms:modified xsi:type="dcterms:W3CDTF">2019-07-17T08:46:00Z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.ADRESAT_ADRESA1">
    <vt:lpwstr/>
  </property>
  <property fmtid="{D5CDD505-2E9C-101B-9397-08002B2CF9AE}" pid="3" name="CUSTOM.ADRESAT_ADRESA2">
    <vt:lpwstr/>
  </property>
  <property fmtid="{D5CDD505-2E9C-101B-9397-08002B2CF9AE}" pid="4" name="CUSTOM.ADRESAT_ADRESA3">
    <vt:lpwstr/>
  </property>
  <property fmtid="{D5CDD505-2E9C-101B-9397-08002B2CF9AE}" pid="5" name="CUSTOM.ADRESAT_ADRESA4">
    <vt:lpwstr/>
  </property>
  <property fmtid="{D5CDD505-2E9C-101B-9397-08002B2CF9AE}" pid="6" name="CUSTOM.ADRESAT_ADRESA5">
    <vt:lpwstr/>
  </property>
  <property fmtid="{D5CDD505-2E9C-101B-9397-08002B2CF9AE}" pid="7" name="CUSTOM.ADRESAT_ADRESA6">
    <vt:lpwstr/>
  </property>
  <property fmtid="{D5CDD505-2E9C-101B-9397-08002B2CF9AE}" pid="8" name="CUSTOM.ADRESAT_CISLO_DS">
    <vt:lpwstr/>
  </property>
  <property fmtid="{D5CDD505-2E9C-101B-9397-08002B2CF9AE}" pid="9" name="CUSTOM.ADRESAT_FIRMA">
    <vt:lpwstr/>
  </property>
  <property fmtid="{D5CDD505-2E9C-101B-9397-08002B2CF9AE}" pid="10" name="CUSTOM.ADRESAT_JMENO_TISK">
    <vt:lpwstr/>
  </property>
  <property fmtid="{D5CDD505-2E9C-101B-9397-08002B2CF9AE}" pid="11" name="CUSTOM.ADRESAT_OBEC">
    <vt:lpwstr/>
  </property>
  <property fmtid="{D5CDD505-2E9C-101B-9397-08002B2CF9AE}" pid="12" name="CUSTOM.ADRESAT_OBEC_CAST">
    <vt:lpwstr/>
  </property>
  <property fmtid="{D5CDD505-2E9C-101B-9397-08002B2CF9AE}" pid="13" name="CUSTOM.ADRESAT_PSC">
    <vt:lpwstr/>
  </property>
  <property fmtid="{D5CDD505-2E9C-101B-9397-08002B2CF9AE}" pid="14" name="CUSTOM.ADRESAT_STAT">
    <vt:lpwstr/>
  </property>
  <property fmtid="{D5CDD505-2E9C-101B-9397-08002B2CF9AE}" pid="15" name="CUSTOM.ADRESAT_ULICE">
    <vt:lpwstr/>
  </property>
  <property fmtid="{D5CDD505-2E9C-101B-9397-08002B2CF9AE}" pid="16" name="CUSTOM.ADRESA_ODBOR">
    <vt:lpwstr/>
  </property>
  <property fmtid="{D5CDD505-2E9C-101B-9397-08002B2CF9AE}" pid="17" name="CUSTOM.ADRESA_UP">
    <vt:lpwstr/>
  </property>
  <property fmtid="{D5CDD505-2E9C-101B-9397-08002B2CF9AE}" pid="18" name="CUSTOM.ADRESA_UZSVM">
    <vt:lpwstr>Rašínovo nábřeží 390/42, 128 00 Nové Město, Praha 2</vt:lpwstr>
  </property>
  <property fmtid="{D5CDD505-2E9C-101B-9397-08002B2CF9AE}" pid="19" name="CUSTOM.CISLO_KDF">
    <vt:lpwstr/>
  </property>
  <property fmtid="{D5CDD505-2E9C-101B-9397-08002B2CF9AE}" pid="20" name="CUSTOM.CJ_EXT">
    <vt:lpwstr/>
  </property>
  <property fmtid="{D5CDD505-2E9C-101B-9397-08002B2CF9AE}" pid="21" name="CUSTOM.HLAVNI_UCETNI">
    <vt:lpwstr/>
  </property>
  <property fmtid="{D5CDD505-2E9C-101B-9397-08002B2CF9AE}" pid="22" name="CUSTOM.NAZEV_ODBOR">
    <vt:lpwstr/>
  </property>
  <property fmtid="{D5CDD505-2E9C-101B-9397-08002B2CF9AE}" pid="23" name="CUSTOM.NAZEV_UP">
    <vt:lpwstr/>
  </property>
  <property fmtid="{D5CDD505-2E9C-101B-9397-08002B2CF9AE}" pid="24" name="CUSTOM.NAZEV_UZSVM">
    <vt:lpwstr>Úřad pro zastupování státu ve věcech majetkových</vt:lpwstr>
  </property>
  <property fmtid="{D5CDD505-2E9C-101B-9397-08002B2CF9AE}" pid="25" name="CUSTOM.PRIJAT_DNE">
    <vt:lpwstr>          </vt:lpwstr>
  </property>
  <property fmtid="{D5CDD505-2E9C-101B-9397-08002B2CF9AE}" pid="26" name="CUSTOM.REJSTRIK_CISLO">
    <vt:lpwstr>SKUP/BK/2007/3264</vt:lpwstr>
  </property>
  <property fmtid="{D5CDD505-2E9C-101B-9397-08002B2CF9AE}" pid="27" name="CUSTOM.SKARTACNI_LHUTA">
    <vt:lpwstr/>
  </property>
  <property fmtid="{D5CDD505-2E9C-101B-9397-08002B2CF9AE}" pid="28" name="CUSTOM.SKARTACNI_ZNAK">
    <vt:lpwstr/>
  </property>
  <property fmtid="{D5CDD505-2E9C-101B-9397-08002B2CF9AE}" pid="29" name="CUSTOM.SPIS_CISLO">
    <vt:lpwstr>UZSVM/BBK/249/2006-BBKU</vt:lpwstr>
  </property>
  <property fmtid="{D5CDD505-2E9C-101B-9397-08002B2CF9AE}" pid="30" name="CUSTOM.SPRAVCE_ROZPOCTU">
    <vt:lpwstr/>
  </property>
  <property fmtid="{D5CDD505-2E9C-101B-9397-08002B2CF9AE}" pid="31" name="CUSTOM.UCET1">
    <vt:lpwstr/>
  </property>
  <property fmtid="{D5CDD505-2E9C-101B-9397-08002B2CF9AE}" pid="32" name="CUSTOM.UCET2">
    <vt:lpwstr/>
  </property>
  <property fmtid="{D5CDD505-2E9C-101B-9397-08002B2CF9AE}" pid="33" name="CUSTOM.UCET3">
    <vt:lpwstr/>
  </property>
  <property fmtid="{D5CDD505-2E9C-101B-9397-08002B2CF9AE}" pid="34" name="CUSTOM.UCET4">
    <vt:lpwstr/>
  </property>
  <property fmtid="{D5CDD505-2E9C-101B-9397-08002B2CF9AE}" pid="35" name="CUSTOM.UKLADACI_ZNAK">
    <vt:lpwstr/>
  </property>
  <property fmtid="{D5CDD505-2E9C-101B-9397-08002B2CF9AE}" pid="36" name="CUSTOM.VEC">
    <vt:lpwstr>Návrh smlouvy o nájmu nemovité věci
Pozemek: stavební parc. č. 34/1, zastavěná plocha a nádvoří, na pozemku stojí stavba Lazinov č.p. 24, LV 297
Nájemce: SVITAVICE a.s., IČO: 26889919</vt:lpwstr>
  </property>
  <property fmtid="{D5CDD505-2E9C-101B-9397-08002B2CF9AE}" pid="37" name="CUSTOM.VLASTNIK_CISLO_DS">
    <vt:lpwstr>rq6fs9a</vt:lpwstr>
  </property>
  <property fmtid="{D5CDD505-2E9C-101B-9397-08002B2CF9AE}" pid="38" name="CUSTOM.VLASTNIK_FAX">
    <vt:lpwstr/>
  </property>
  <property fmtid="{D5CDD505-2E9C-101B-9397-08002B2CF9AE}" pid="39" name="CUSTOM.VLASTNIK_FUNKCE">
    <vt:lpwstr>vedoucí oddělení</vt:lpwstr>
  </property>
  <property fmtid="{D5CDD505-2E9C-101B-9397-08002B2CF9AE}" pid="40" name="CUSTOM.VLASTNIK_JMENO">
    <vt:lpwstr>Macková Hana, Ing.</vt:lpwstr>
  </property>
  <property fmtid="{D5CDD505-2E9C-101B-9397-08002B2CF9AE}" pid="41" name="CUSTOM.VLASTNIK_JMENO_TISK">
    <vt:lpwstr/>
  </property>
  <property fmtid="{D5CDD505-2E9C-101B-9397-08002B2CF9AE}" pid="42" name="CUSTOM.VLASTNIK_MAIL">
    <vt:lpwstr>Hana.Mackova@uzsvm.cz</vt:lpwstr>
  </property>
  <property fmtid="{D5CDD505-2E9C-101B-9397-08002B2CF9AE}" pid="43" name="CUSTOM.VLASTNIK_TELEFON">
    <vt:lpwstr>+420 737 281 435</vt:lpwstr>
  </property>
  <property fmtid="{D5CDD505-2E9C-101B-9397-08002B2CF9AE}" pid="44" name="CUSTOM.VYTVOREN_DNE">
    <vt:lpwstr>21.02.2019</vt:lpwstr>
  </property>
  <property fmtid="{D5CDD505-2E9C-101B-9397-08002B2CF9AE}" pid="45" name="KOD.KOD_CJ">
    <vt:lpwstr>UZSVM/BVY/1095/2019-BVYM</vt:lpwstr>
  </property>
  <property fmtid="{D5CDD505-2E9C-101B-9397-08002B2CF9AE}" pid="46" name="KOD.KOD_EVC">
    <vt:lpwstr>1327/BVY/2019-BVYM</vt:lpwstr>
  </property>
  <property fmtid="{D5CDD505-2E9C-101B-9397-08002B2CF9AE}" pid="47" name="KOD.KOD_EVC_BARCODE">
    <vt:lpwstr>µ#1327/BVY/2019-BVYM@N¸</vt:lpwstr>
  </property>
  <property fmtid="{D5CDD505-2E9C-101B-9397-08002B2CF9AE}" pid="48" name="KOD.KOD_IU_CODE">
    <vt:lpwstr>6125</vt:lpwstr>
  </property>
  <property fmtid="{D5CDD505-2E9C-101B-9397-08002B2CF9AE}" pid="49" name="KOD.KOD_IU_SHORT">
    <vt:lpwstr>BVYM</vt:lpwstr>
  </property>
  <property fmtid="{D5CDD505-2E9C-101B-9397-08002B2CF9AE}" pid="50" name="KOD.KOD_IU_TXT">
    <vt:lpwstr>oddělení Hospodaření s majetkem</vt:lpwstr>
  </property>
  <property fmtid="{D5CDD505-2E9C-101B-9397-08002B2CF9AE}" pid="51" name="KOD.OBJECT_GUID">
    <vt:lpwstr>635a09fd-4f10-4eca-8f69-848dc724cc40</vt:lpwstr>
  </property>
  <property fmtid="{D5CDD505-2E9C-101B-9397-08002B2CF9AE}" pid="52" name="KrbDmsIdForm">
    <vt:lpwstr>635a09fd-4f10-4eca-8f69-848dc724cc40</vt:lpwstr>
  </property>
  <property fmtid="{D5CDD505-2E9C-101B-9397-08002B2CF9AE}" pid="53" name="KrbDmsIdTemplate">
    <vt:lpwstr>6eb03fe2-1f40-444f-bd8c-5ee8839077a8</vt:lpwstr>
  </property>
  <property fmtid="{D5CDD505-2E9C-101B-9397-08002B2CF9AE}" pid="54" name="KrbDmsIdTypeForm">
    <vt:lpwstr>a88c7072-e8f4-42ec-a53b-8098bda0b510</vt:lpwstr>
  </property>
  <property fmtid="{D5CDD505-2E9C-101B-9397-08002B2CF9AE}" pid="55" name="KrbDmsMarkTemplate">
    <vt:lpwstr/>
  </property>
</Properties>
</file>