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Aleš Uvíra, ředitel Krajského pozemkového úřadu pro Moravskoslezský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536072" w:rsidRDefault="00F40520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Trušina Radim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1001951622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Moravskoslezský kraj se sídlem v Opavě, Katastrální pracoviště Opava  na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Služovice</w:t>
      </w:r>
      <w:r>
        <w:rPr>
          <w:sz w:val="20"/>
          <w:szCs w:val="20"/>
        </w:rPr>
        <w:tab/>
        <w:t>Služovice</w:t>
      </w:r>
      <w:r>
        <w:rPr>
          <w:sz w:val="20"/>
          <w:szCs w:val="20"/>
        </w:rPr>
        <w:tab/>
        <w:t>41/14</w:t>
      </w:r>
      <w:r>
        <w:rPr>
          <w:sz w:val="20"/>
          <w:szCs w:val="20"/>
        </w:rPr>
        <w:tab/>
        <w:t>orná půda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Služovice</w:t>
      </w:r>
      <w:r>
        <w:rPr>
          <w:sz w:val="20"/>
          <w:szCs w:val="20"/>
        </w:rPr>
        <w:tab/>
        <w:t>Služovice</w:t>
      </w:r>
      <w:r>
        <w:rPr>
          <w:sz w:val="20"/>
          <w:szCs w:val="20"/>
        </w:rPr>
        <w:tab/>
        <w:t>41/21</w:t>
      </w:r>
      <w:r>
        <w:rPr>
          <w:sz w:val="20"/>
          <w:szCs w:val="20"/>
        </w:rPr>
        <w:tab/>
        <w:t>orná půda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073631" w:rsidRDefault="00073631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Služovice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41/14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57 000,00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51 300,00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Služovice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41/21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8 750,00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7 875,00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65 750,00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6 575,00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59 175,00 Kč</w:t>
            </w:r>
          </w:p>
        </w:tc>
      </w:tr>
    </w:tbl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6 575,00 Kč (slovy: šesttisícpětsetsedmdesátpět korun českých) kupující zaplatil prodávajícímu před podpisem této smlouvy formou zálohy na úhradu kupní ceny, zbývající část, to jest částka ve výši 59 175,00 Kč (slovy: padesátdevěttisícjednostosedmdesátpět korun českých) bude uhrazena do </w:t>
      </w:r>
      <w:r w:rsidR="00D96CDE">
        <w:rPr>
          <w:sz w:val="24"/>
          <w:szCs w:val="24"/>
        </w:rPr>
        <w:t>60 dnů ode dne účinnosti této smlouvy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000000" w:rsidRDefault="001677B2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>
        <w:rPr>
          <w:sz w:val="24"/>
          <w:szCs w:val="24"/>
        </w:rPr>
        <w:t>ust.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prodávané pozemky prodávajícímu neprodleně, nejpozději do 30 dnů ode dne odstoupení od smlouvy, nedohodnou - li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 za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lastRenderedPageBreak/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Užívací vztah k prodávaným pozemkům je řešen nájemní smlouvou č. 56N12/22, kterou s PF ČR, nyní Státním pozemkovým úřadem uzavřel Trušina Radim,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 w:rsidP="00F57BFD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 zástavního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originálu. Kupující obdrží 1 stejnopis(y) a ostatní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>
      <w:pPr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560E2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 w:rsidR="00895E04">
        <w:rPr>
          <w:sz w:val="24"/>
          <w:szCs w:val="24"/>
        </w:rPr>
        <w:t>11.8.2016</w:t>
      </w:r>
      <w:bookmarkStart w:id="0" w:name="_GoBack"/>
      <w:bookmarkEnd w:id="0"/>
      <w:r>
        <w:rPr>
          <w:sz w:val="24"/>
          <w:szCs w:val="24"/>
        </w:rPr>
        <w:tab/>
        <w:t>V</w:t>
      </w:r>
      <w:r w:rsidR="00073631">
        <w:rPr>
          <w:sz w:val="24"/>
          <w:szCs w:val="24"/>
        </w:rPr>
        <w:t xml:space="preserve"> Ostravě </w:t>
      </w:r>
      <w:r>
        <w:rPr>
          <w:sz w:val="24"/>
          <w:szCs w:val="24"/>
        </w:rPr>
        <w:t xml:space="preserve"> dne </w:t>
      </w:r>
      <w:r w:rsidR="00F57BFD">
        <w:rPr>
          <w:sz w:val="24"/>
          <w:szCs w:val="24"/>
        </w:rPr>
        <w:t xml:space="preserve"> 11.8.2016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Trušina Radim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</w:p>
    <w:p w:rsidR="00073631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</w:p>
    <w:p w:rsidR="00073631" w:rsidRDefault="00073631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vz. Ing. Bohumil Dolanský</w:t>
      </w:r>
    </w:p>
    <w:p w:rsidR="00F40520" w:rsidRDefault="00073631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2641322, 2642022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 xml:space="preserve">Jana </w:t>
      </w:r>
      <w:r w:rsidR="00073631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ellnerová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F40520" w:rsidRDefault="00F40520">
      <w:pPr>
        <w:widowControl/>
      </w:pPr>
    </w:p>
    <w:sectPr w:rsidR="00F40520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31" w:rsidRDefault="00073631">
      <w:r>
        <w:separator/>
      </w:r>
    </w:p>
  </w:endnote>
  <w:endnote w:type="continuationSeparator" w:id="0">
    <w:p w:rsidR="00073631" w:rsidRDefault="0007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FD" w:rsidRDefault="00F57BF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677B2">
      <w:rPr>
        <w:noProof/>
      </w:rPr>
      <w:t>4</w:t>
    </w:r>
    <w:r>
      <w:fldChar w:fldCharType="end"/>
    </w:r>
  </w:p>
  <w:p w:rsidR="00F57BFD" w:rsidRDefault="00F57B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31" w:rsidRDefault="00073631">
      <w:r>
        <w:separator/>
      </w:r>
    </w:p>
  </w:footnote>
  <w:footnote w:type="continuationSeparator" w:id="0">
    <w:p w:rsidR="00073631" w:rsidRDefault="00073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73631"/>
    <w:rsid w:val="000A639E"/>
    <w:rsid w:val="000D49C6"/>
    <w:rsid w:val="000E3E64"/>
    <w:rsid w:val="0014681B"/>
    <w:rsid w:val="001676B2"/>
    <w:rsid w:val="001677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2D0563"/>
    <w:rsid w:val="00335BCB"/>
    <w:rsid w:val="00374E10"/>
    <w:rsid w:val="00381B12"/>
    <w:rsid w:val="00427526"/>
    <w:rsid w:val="0043604A"/>
    <w:rsid w:val="00454FF0"/>
    <w:rsid w:val="004612CC"/>
    <w:rsid w:val="004B075C"/>
    <w:rsid w:val="00530111"/>
    <w:rsid w:val="00536072"/>
    <w:rsid w:val="00560E2A"/>
    <w:rsid w:val="005713D7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95E04"/>
    <w:rsid w:val="0089721D"/>
    <w:rsid w:val="00A31C3B"/>
    <w:rsid w:val="00AD0CCD"/>
    <w:rsid w:val="00B070B5"/>
    <w:rsid w:val="00B45E6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B4584"/>
    <w:rsid w:val="00EC3E05"/>
    <w:rsid w:val="00F40520"/>
    <w:rsid w:val="00F57BFD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Kellnerova Jana</dc:creator>
  <cp:lastModifiedBy>Kellnerova Jana</cp:lastModifiedBy>
  <cp:revision>2</cp:revision>
  <cp:lastPrinted>2016-08-11T06:50:00Z</cp:lastPrinted>
  <dcterms:created xsi:type="dcterms:W3CDTF">2016-08-11T09:08:00Z</dcterms:created>
  <dcterms:modified xsi:type="dcterms:W3CDTF">2016-08-11T09:08:00Z</dcterms:modified>
</cp:coreProperties>
</file>