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728" w:left="1256" w:right="862" w:bottom="1685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822"/>
        <w:gridCol w:w="7906"/>
      </w:tblGrid>
      <w:tr>
        <w:trPr>
          <w:trHeight w:val="150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DODATEK Č. 1 k SMLOUVĚ O DÍLO Vypracování projektové dokumentace „ III/15215, III/15216 Pálovice průtah“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Číslo smlouvy objednatele: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 338/2018-KSÚSV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Číslo smlouvy zhotovitele:</w:t>
      </w:r>
    </w:p>
    <w:p>
      <w:pPr>
        <w:widowControl w:val="0"/>
        <w:spacing w:after="359" w:line="1" w:lineRule="exact"/>
      </w:pPr>
    </w:p>
    <w:tbl>
      <w:tblPr>
        <w:tblpPr w:leftFromText="0" w:rightFromText="0" w:topFromText="0" w:bottomFromText="0" w:horzAnchor="page" w:tblpX="1296" w:vertAnchor="text" w:tblpY="4060"/>
        <w:jc w:val="left"/>
        <w:tblLayout w:type="fixed"/>
      </w:tblPr>
      <w:tblGrid>
        <w:gridCol w:w="1822"/>
        <w:gridCol w:w="7906"/>
      </w:tblGrid>
      <w:tr>
        <w:trPr>
          <w:tblHeader/>
          <w:trHeight w:val="2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both"/>
      </w:pPr>
      <w:r>
        <mc:AlternateContent>
          <mc:Choice Requires="wps">
            <w:drawing>
              <wp:anchor distT="0" distB="12700" distL="114300" distR="114300" simplePos="0" relativeHeight="12582937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2933700</wp:posOffset>
                </wp:positionV>
                <wp:extent cx="2157730" cy="989965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7730" cy="9899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9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  <w:tab/>
                              <w:t>Kraj Vysočina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„Objednatel“)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63.350000000000001pt;margin-top:231.pt;width:169.90000000000001pt;height:77.950000000000003pt;z-index:-125829375;mso-wrap-distance-left:9.pt;mso-wrap-distance-right:9.pt;mso-wrap-distance-bottom:1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  <w:tab/>
                        <w:t>Kraj Vysočina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„Objednatel“)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dle § 37 odst. 1 písm. c) zákona č. 134/2016 Sb., o zadávání veřejných zakázek, v platném a účinném znění (dále jen „ZZVZ“), vydanými dle § 1751 a násl. OZ.</w:t>
      </w:r>
    </w:p>
    <w:tbl>
      <w:tblPr>
        <w:tblOverlap w:val="never"/>
        <w:jc w:val="center"/>
        <w:tblLayout w:type="fixed"/>
      </w:tblPr>
      <w:tblGrid>
        <w:gridCol w:w="1822"/>
        <w:gridCol w:w="7906"/>
      </w:tblGrid>
      <w:tr>
        <w:trPr>
          <w:trHeight w:val="14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Objednatel: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se sídlem: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1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Janem Míkou, MBA, ředitelem organizace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22"/>
        <w:gridCol w:w="7906"/>
      </w:tblGrid>
      <w:tr>
        <w:trPr>
          <w:trHeight w:val="24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727" w:h="781" w:hSpace="22" w:vSpace="252" w:wrap="notBeside" w:vAnchor="text" w:hAnchor="text" w:x="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727" w:h="781" w:hSpace="22" w:vSpace="252" w:wrap="notBeside" w:vAnchor="text" w:hAnchor="text" w:x="39" w:y="1"/>
              <w:widowControl w:val="0"/>
              <w:shd w:val="clear" w:color="auto" w:fill="auto"/>
              <w:tabs>
                <w:tab w:pos="4380" w:val="left"/>
                <w:tab w:pos="6468" w:val="left"/>
              </w:tabs>
              <w:bidi w:val="0"/>
              <w:spacing w:before="0" w:after="0" w:line="240" w:lineRule="auto"/>
              <w:ind w:left="29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tel.:</w:t>
              <w:tab/>
              <w:t>, e-mail: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olksusv.cz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727" w:h="781" w:hSpace="22" w:vSpace="252" w:wrap="notBeside" w:vAnchor="text" w:hAnchor="text" w:x="39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technických: Bankovní spojení: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727" w:h="781" w:hSpace="22" w:vSpace="252" w:wrap="notBeside" w:vAnchor="text" w:hAnchor="text" w:x="39" w:y="1"/>
              <w:widowControl w:val="0"/>
              <w:shd w:val="clear" w:color="auto" w:fill="auto"/>
              <w:tabs>
                <w:tab w:pos="1595" w:val="left"/>
                <w:tab w:pos="3150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tel.</w:t>
              <w:tab/>
              <w:t>. e-mail: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alksusv.cz</w:t>
            </w:r>
          </w:p>
          <w:p>
            <w:pPr>
              <w:pStyle w:val="Style6"/>
              <w:keepNext w:val="0"/>
              <w:keepLines w:val="0"/>
              <w:framePr w:w="9727" w:h="781" w:hSpace="22" w:vSpace="252" w:wrap="notBeside" w:vAnchor="text" w:hAnchor="text" w:x="3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2"/>
        <w:keepNext w:val="0"/>
        <w:keepLines w:val="0"/>
        <w:framePr w:w="1030" w:h="292" w:hSpace="16" w:wrap="notBeside" w:vAnchor="text" w:hAnchor="text" w:x="17" w:y="7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after="99" w:line="1" w:lineRule="exact"/>
      </w:pPr>
    </w:p>
    <w:p>
      <w:pPr>
        <w:widowControl w:val="0"/>
        <w:spacing w:after="99" w:line="1" w:lineRule="exact"/>
      </w:pPr>
    </w:p>
    <w:tbl>
      <w:tblPr>
        <w:tblOverlap w:val="never"/>
        <w:jc w:val="center"/>
        <w:tblLayout w:type="fixed"/>
      </w:tblPr>
      <w:tblGrid>
        <w:gridCol w:w="1822"/>
        <w:gridCol w:w="7906"/>
      </w:tblGrid>
      <w:tr>
        <w:trPr>
          <w:trHeight w:val="26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VIPA project s.r.o., Projektování dopravních staveb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Cyrilometodějská 43/20, Nové Dvory, 674 01 Třebíč</w:t>
            </w:r>
          </w:p>
        </w:tc>
      </w:tr>
      <w:tr>
        <w:trPr>
          <w:trHeight w:val="2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zapsán v: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živnostenském rejstříku města Třebíč, dne 7.12.2015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Společnost je zapsána v obchodním rejstříku vedeném u Krajského soudu v Brně, oddíl C, vložka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 smluvních: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22"/>
        <w:gridCol w:w="7906"/>
      </w:tblGrid>
      <w:tr>
        <w:trPr>
          <w:trHeight w:val="2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 Účtu;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leader="dot" w:pos="714" w:val="left"/>
                <w:tab w:leader="dot" w:pos="1298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ab/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04637470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CZ04637470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.Zhotovitel")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,Smluvní strany"'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,Smluvní strana“)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7" w:val="left"/>
        </w:tabs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 z důvodu rozšíření předmětu díla ze strany objednatele.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7" w:val="left"/>
        </w:tabs>
        <w:bidi w:val="0"/>
        <w:spacing w:before="0" w:after="0" w:line="37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návaznosti na výše uvedené dochází ke změně termínu tímto způsobem: u akce: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III/15215, HI/15216 Pálovice průtah - část 8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- Technické podmínky PD, a to vždy v příslušné jejich části Lhůty plnění:</w:t>
      </w:r>
    </w:p>
    <w:tbl>
      <w:tblPr>
        <w:tblOverlap w:val="never"/>
        <w:jc w:val="center"/>
        <w:tblLayout w:type="fixed"/>
      </w:tblPr>
      <w:tblGrid>
        <w:gridCol w:w="4928"/>
        <w:gridCol w:w="3740"/>
      </w:tblGrid>
      <w:tr>
        <w:trPr>
          <w:trHeight w:val="10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včetně projednání s dotčenými orgány státní správy a samosprávy - předat do: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dnů od předání konceptu dokumentace</w:t>
            </w:r>
          </w:p>
        </w:tc>
      </w:tr>
      <w:tr>
        <w:trPr>
          <w:trHeight w:val="493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ruší a nahrazuje novým zněním:</w:t>
            </w:r>
          </w:p>
        </w:tc>
      </w:tr>
      <w:tr>
        <w:trPr>
          <w:trHeight w:val="10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včetně projednání s dotčenými orgány státní správy a samosprávy - předat do: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18. 9.2019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23. V této souvislosti se pro tuto akci navyšuje cena za dodatečné práce v Článku 4 odst. 4.1. písm. a) smlouvy o dílo č. 338/2018-KSÚSV takto:</w:t>
      </w:r>
    </w:p>
    <w:tbl>
      <w:tblPr>
        <w:tblOverlap w:val="never"/>
        <w:jc w:val="left"/>
        <w:tblLayout w:type="fixed"/>
      </w:tblPr>
      <w:tblGrid>
        <w:gridCol w:w="5357"/>
        <w:gridCol w:w="2304"/>
      </w:tblGrid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Původní cena díla bez DPH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198.500,00 Kč</w:t>
            </w:r>
          </w:p>
        </w:tc>
      </w:tr>
      <w:tr>
        <w:trPr>
          <w:trHeight w:val="1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Vícepráce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Nove sjednaná cena dle Dodatku č. 1 bez DPH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21 %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10.000,00 Kč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208.500,00 Kč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43.785,00 Kč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Nově sjednaná cena včetně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252.285,00 Kč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2.4.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a v původním znění.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o dílo č. objednatele 338/2018 - KSÚSV uzavřené dne 29. 11. 2018 podle ustanovení § 2586 a násl. OZ a dále Obchodními podmínkami zadavatele pro veřejné zakázky na vypracování projektových dokumentací dle § 37 odst. 1 písm. c) ZZVZ, vydanými dle § 1751 a násl. OZ.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7" w:val="left"/>
        </w:tabs>
        <w:bidi w:val="0"/>
        <w:spacing w:before="0" w:after="2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ve čtyřech stejnopisech, z nichž dva výtisky obdrží objednatel a dva zhotovitel.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2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2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2" w:val="left"/>
        </w:tabs>
        <w:bidi w:val="0"/>
        <w:spacing w:before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2" w:val="left"/>
        </w:tabs>
        <w:bidi w:val="0"/>
        <w:spacing w:before="0" w:after="8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Cenová nabídka na rozšíření projektové dokumentace ze dne 18. 6. 2019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862330" distL="114300" distR="283210" simplePos="0" relativeHeight="125829380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12700</wp:posOffset>
                </wp:positionV>
                <wp:extent cx="491490" cy="180340"/>
                <wp:wrapSquare wrapText="righ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1490" cy="1803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63.799999999999997pt;margin-top:1.pt;width:38.700000000000003pt;height:14.199999999999999pt;z-index:-125829373;mso-wrap-distance-left:9.pt;mso-wrap-distance-right:22.300000000000001pt;mso-wrap-distance-bottom:67.900000000000006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868680" distB="0" distL="114300" distR="114300" simplePos="0" relativeHeight="125829382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881380</wp:posOffset>
                </wp:positionV>
                <wp:extent cx="660400" cy="173990"/>
                <wp:wrapSquare wrapText="righ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040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63.799999999999997pt;margin-top:69.400000000000006pt;width:52.pt;height:13.699999999999999pt;z-index:-125829371;mso-wrap-distance-left:9.pt;mso-wrap-distance-top:68.400000000000006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na rozšíření projektové dokumentace ze dne 18. 6. 2019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4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39700" distB="0" distL="0" distR="0" simplePos="0" relativeHeight="125829384" behindDoc="0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139700</wp:posOffset>
                </wp:positionV>
                <wp:extent cx="2454910" cy="258445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4910" cy="2584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97" w:val="left"/>
                                <w:tab w:leader="dot" w:pos="176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</w:t>
                              <w:tab/>
                              <w:tab/>
                              <w:t>dne: .A.„X.'.....?£ít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63.25pt;margin-top:11.pt;width:193.30000000000001pt;height:20.350000000000001pt;z-index:-125829369;mso-wrap-distance-left:0;mso-wrap-distance-top:11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97" w:val="left"/>
                          <w:tab w:leader="dot" w:pos="176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  <w:tab/>
                        <w:tab/>
                        <w:t>dne: .A.„X.'.....?£ít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5420" distB="0" distL="0" distR="0" simplePos="0" relativeHeight="125829386" behindDoc="0" locked="0" layoutInCell="1" allowOverlap="1">
                <wp:simplePos x="0" y="0"/>
                <wp:positionH relativeFrom="page">
                  <wp:posOffset>4193540</wp:posOffset>
                </wp:positionH>
                <wp:positionV relativeFrom="paragraph">
                  <wp:posOffset>185420</wp:posOffset>
                </wp:positionV>
                <wp:extent cx="1774190" cy="212725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4190" cy="2127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 .....l.r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:...PZ.'..20j.9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30.19999999999999pt;margin-top:14.6pt;width:139.69999999999999pt;height:16.75pt;z-index:-125829367;mso-wrap-distance-left:0;mso-wrap-distance-top:14.6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 .....l.r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,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:...PZ.'..20j.9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28" w:left="1256" w:right="862" w:bottom="1685" w:header="130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00100" distB="17780" distL="0" distR="0" simplePos="0" relativeHeight="125829388" behindDoc="0" locked="0" layoutInCell="1" allowOverlap="1">
                <wp:simplePos x="0" y="0"/>
                <wp:positionH relativeFrom="page">
                  <wp:posOffset>1624330</wp:posOffset>
                </wp:positionH>
                <wp:positionV relativeFrom="paragraph">
                  <wp:posOffset>800100</wp:posOffset>
                </wp:positionV>
                <wp:extent cx="1209040" cy="35687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904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Pavel Vidlák</w:t>
                              <w:br/>
                              <w:t>jednatel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127.90000000000001pt;margin-top:63.pt;width:95.200000000000003pt;height:28.100000000000001pt;z-index:-125829365;mso-wrap-distance-left:0;mso-wrap-distance-top:63.pt;mso-wrap-distance-right:0;mso-wrap-distance-bottom:1.39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Pavel Vidlák</w:t>
                        <w:br/>
                        <w:t>jednatel společnosti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1530" distB="0" distL="0" distR="0" simplePos="0" relativeHeight="125829390" behindDoc="0" locked="0" layoutInCell="1" allowOverlap="1">
                <wp:simplePos x="0" y="0"/>
                <wp:positionH relativeFrom="page">
                  <wp:posOffset>4593590</wp:posOffset>
                </wp:positionH>
                <wp:positionV relativeFrom="paragraph">
                  <wp:posOffset>811530</wp:posOffset>
                </wp:positionV>
                <wp:extent cx="1229995" cy="36322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9995" cy="3632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Mika, MBA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61.69999999999999pt;margin-top:63.899999999999999pt;width:96.849999999999994pt;height:28.600000000000001pt;z-index:-125829363;mso-wrap-distance-left:0;mso-wrap-distance-top:63.8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Mika, MBA</w:t>
                        <w:br/>
                        <w:t>ředitel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9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PROJEKTOVÉ NÁKLADY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Akce: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REKONSTRUKCE SILNICE III/15215 V OBCI PÁLOVICE KM 2,030 - 2,140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101 KOMUNIKACE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Projektová dokumentace ve stupni DUR + DSP bude odevzdána v poctu 6 ks paré + lx digitální odevzdání na CD</w:t>
      </w:r>
    </w:p>
    <w:tbl>
      <w:tblPr>
        <w:tblOverlap w:val="never"/>
        <w:jc w:val="center"/>
        <w:tblLayout w:type="fixed"/>
      </w:tblPr>
      <w:tblGrid>
        <w:gridCol w:w="6768"/>
        <w:gridCol w:w="2016"/>
      </w:tblGrid>
      <w:tr>
        <w:trPr>
          <w:trHeight w:val="6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Cenová kalkulace projektové dokumentace ve stupni DUR + DSP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Vypracování PD SO 101 komunikace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10 000,- Kč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bez DPH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10 000,- Kč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2 100,- Kč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včetně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12 100,- Kč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307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Cenovou nabídku nelze dělit na jednotlivé samostatné části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307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Podmínky pro plnění projektových prací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Investor dodá pro zpracování inženýrskogeologický popřípadě i hydrogeologický průzkum s určením třídy těžitelnosti horniny. Bez dodání průzkumu se při návrhu projektové dokumentace uvažuje střídou rozpojitelnosti max. IV a vodním režimem PIU dle TP 170. V přípaďě požadavků investora dojde k zajištění diagnostického průzkum. Cena průzkumu není součásti cen nabídky. Součástí projektové dokumentace nejsou smlouvy o věcných břemenech, popř. o koupi pozemků. Projektant bude spolupracovat při zajišťování smluv týkajících se majetkoprávních vztahů. Dále není součástí PD zpracování samostatné dokumentace případných přeložek neuvedených v cenové nabídce (vedení NN, vodovod, kanalizace, kabely PVSEK atd). V projektové dokumentaci budou pouze návrhy přeložek zapracovány a koordinovány. Cenová nabídka nezahrnuje zpracování Žádosti o dotační titul ani vyřízení územního a stavebního povolení. V případě zájmu bude cenová nabídka na zpracování dotační části řešená samostatně.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dokončení vzhledem knavíšení objemu prací 18. 9. 2019 Nabídku sestavil za společnost VIPA project s.r.o,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Třebíč, 18.6.2019</w:t>
      </w:r>
    </w:p>
    <w:sectPr>
      <w:footerReference w:type="default" r:id="rId6"/>
      <w:footnotePr>
        <w:pos w:val="pageBottom"/>
        <w:numFmt w:val="decimal"/>
        <w:numRestart w:val="continuous"/>
      </w:footnotePr>
      <w:pgSz w:w="11900" w:h="16840"/>
      <w:pgMar w:top="1654" w:left="1509" w:right="1578" w:bottom="1654" w:header="1226" w:footer="1226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9686925</wp:posOffset>
              </wp:positionV>
              <wp:extent cx="6122035" cy="1168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22035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64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Dodatek č. 1 k SoD č. 338/2018 - KSÚSV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.5pt;margin-top:762.75pt;width:482.05000000000001pt;height:9.1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4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Dodatek č. 1 k SoD č. 338/2018 - KSÚSV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9657080</wp:posOffset>
              </wp:positionV>
              <wp:extent cx="609473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0947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700000000000003pt;margin-top:760.39999999999998pt;width:479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Jiné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Nadpis #1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  <w:spacing w:after="10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10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Nadpis #1"/>
    <w:basedOn w:val="Normal"/>
    <w:link w:val="CharStyle20"/>
    <w:pPr>
      <w:widowControl w:val="0"/>
      <w:shd w:val="clear" w:color="auto" w:fill="FFFFFF"/>
      <w:spacing w:after="7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