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9FB7" w14:textId="77777777" w:rsidR="006B0F90" w:rsidRPr="009B3E7E" w:rsidRDefault="006B0F90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UVA O KOLABORATIVNÍM VÝZKUMU</w:t>
      </w:r>
    </w:p>
    <w:bookmarkEnd w:id="0"/>
    <w:bookmarkEnd w:id="1"/>
    <w:p w14:paraId="186FF192" w14:textId="1F8C13A2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</w:t>
      </w:r>
      <w:r w:rsidR="00EC6C92"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19932976" w14:textId="77777777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kterou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343282CC" w14:textId="77777777" w:rsidR="00711DF8" w:rsidRDefault="00711DF8" w:rsidP="00711DF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10D0AABF" w14:textId="77777777" w:rsidR="00711DF8" w:rsidRDefault="00711DF8" w:rsidP="00711D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2C34995C" w14:textId="77777777" w:rsidR="0043032A" w:rsidRPr="00696C0F" w:rsidRDefault="0043032A" w:rsidP="0043032A">
      <w:pPr>
        <w:pStyle w:val="Default"/>
        <w:spacing w:line="360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5A7AE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5A7AE1">
        <w:rPr>
          <w:rFonts w:cstheme="minorHAnsi"/>
          <w:bCs/>
          <w:sz w:val="22"/>
          <w:szCs w:val="22"/>
        </w:rPr>
        <w:t>IČO: 68407700, DIČ: CZ68407700</w:t>
      </w:r>
    </w:p>
    <w:p w14:paraId="175FC939" w14:textId="1ECF5A38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zastoupeno: </w:t>
      </w:r>
      <w:r>
        <w:rPr>
          <w:bCs/>
          <w:sz w:val="22"/>
          <w:szCs w:val="22"/>
        </w:rPr>
        <w:t>ředitelem</w:t>
      </w:r>
    </w:p>
    <w:p w14:paraId="251A0B66" w14:textId="3484C6F2" w:rsidR="0043032A" w:rsidRPr="009B3E7E" w:rsidRDefault="001C40EA" w:rsidP="004303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73340DA9" w14:textId="73C6342D" w:rsidR="0043032A" w:rsidRPr="009B3E7E" w:rsidRDefault="001C40EA" w:rsidP="004303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číslo účtu:</w:t>
      </w:r>
    </w:p>
    <w:p w14:paraId="2EFD02C8" w14:textId="77777777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</w:t>
      </w:r>
      <w:r>
        <w:rPr>
          <w:bCs/>
          <w:sz w:val="22"/>
          <w:szCs w:val="22"/>
        </w:rPr>
        <w:t xml:space="preserve">hlavní </w:t>
      </w:r>
      <w:r w:rsidRPr="009B3E7E">
        <w:rPr>
          <w:bCs/>
          <w:sz w:val="22"/>
          <w:szCs w:val="22"/>
        </w:rPr>
        <w:t>příjemce“)</w:t>
      </w:r>
    </w:p>
    <w:p w14:paraId="48D57389" w14:textId="204EF146" w:rsidR="008B338A" w:rsidRDefault="0043032A" w:rsidP="0043032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920ED36" w14:textId="77777777" w:rsidR="007C11D0" w:rsidRPr="00F641C7" w:rsidRDefault="007C11D0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41C7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1405091C" w14:textId="4145D3B7" w:rsidR="0043032A" w:rsidRPr="007C11D0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 w:rsidR="00F641C7" w:rsidRPr="007C11D0">
        <w:rPr>
          <w:rFonts w:cstheme="minorHAnsi"/>
          <w:sz w:val="22"/>
          <w:szCs w:val="22"/>
        </w:rPr>
        <w:t>Antonínská 548/1, Brno, 601 90</w:t>
      </w:r>
    </w:p>
    <w:p w14:paraId="203B3E95" w14:textId="4F6D31AF" w:rsidR="0043032A" w:rsidRPr="007C11D0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 w:rsidR="007C11D0" w:rsidRPr="007C11D0">
        <w:rPr>
          <w:rFonts w:cstheme="minorHAnsi"/>
          <w:sz w:val="22"/>
          <w:szCs w:val="22"/>
        </w:rPr>
        <w:t>00216305</w:t>
      </w:r>
    </w:p>
    <w:p w14:paraId="1BDC9194" w14:textId="740DC72F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DIČ:  </w:t>
      </w:r>
      <w:r w:rsidR="007C11D0" w:rsidRPr="007C11D0">
        <w:rPr>
          <w:rFonts w:cstheme="minorHAnsi"/>
          <w:sz w:val="22"/>
          <w:szCs w:val="22"/>
        </w:rPr>
        <w:t>CZ00216305</w:t>
      </w:r>
    </w:p>
    <w:p w14:paraId="77C99E20" w14:textId="15CCAADF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  <w:r w:rsidR="00F641C7">
        <w:rPr>
          <w:bCs/>
          <w:sz w:val="22"/>
          <w:szCs w:val="22"/>
        </w:rPr>
        <w:t>rektorem</w:t>
      </w:r>
    </w:p>
    <w:p w14:paraId="0CC416C8" w14:textId="03052AA6" w:rsidR="0043032A" w:rsidRPr="009B3E7E" w:rsidRDefault="001C40EA" w:rsidP="007C613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</w:p>
    <w:p w14:paraId="59AAB286" w14:textId="4EEE65FA" w:rsidR="0043032A" w:rsidRDefault="001C40EA" w:rsidP="007C613A">
      <w:pPr>
        <w:spacing w:after="0" w:line="360" w:lineRule="auto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 xml:space="preserve">bankovní spojení: </w:t>
      </w:r>
    </w:p>
    <w:p w14:paraId="4C579D17" w14:textId="47C0F0F0" w:rsidR="00F641C7" w:rsidRPr="00F641C7" w:rsidRDefault="00F641C7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41C7">
        <w:rPr>
          <w:rFonts w:asciiTheme="minorHAnsi" w:hAnsiTheme="minorHAnsi" w:cstheme="minorHAnsi"/>
          <w:sz w:val="22"/>
          <w:szCs w:val="22"/>
        </w:rPr>
        <w:t>číslo účtu</w:t>
      </w:r>
      <w:r w:rsidR="001C40EA">
        <w:rPr>
          <w:rFonts w:asciiTheme="minorHAnsi" w:hAnsiTheme="minorHAnsi" w:cstheme="minorHAnsi"/>
          <w:sz w:val="22"/>
          <w:szCs w:val="22"/>
        </w:rPr>
        <w:t>:</w:t>
      </w:r>
    </w:p>
    <w:p w14:paraId="3FBE2337" w14:textId="2951E353" w:rsidR="008B338A" w:rsidRPr="00F641C7" w:rsidRDefault="008B338A" w:rsidP="007C613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F641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F641C7">
        <w:rPr>
          <w:rFonts w:asciiTheme="minorHAnsi" w:hAnsiTheme="minorHAnsi" w:cstheme="minorHAnsi"/>
          <w:bCs/>
          <w:sz w:val="22"/>
          <w:szCs w:val="22"/>
        </w:rPr>
        <w:t>1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2128F9F7" w14:textId="5B40501E" w:rsidR="00E050AB" w:rsidRPr="00F641C7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F641C7">
        <w:rPr>
          <w:rFonts w:cstheme="minorHAnsi"/>
          <w:sz w:val="22"/>
          <w:szCs w:val="22"/>
        </w:rPr>
        <w:t>(společně jen jako „příjemci“)</w:t>
      </w:r>
    </w:p>
    <w:p w14:paraId="131317CD" w14:textId="700EEDF5" w:rsidR="00291DEE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50E7F2AA" w14:textId="34B86AFB" w:rsidR="00A84EC7" w:rsidRDefault="0004478D" w:rsidP="00A84EC7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PREFA KOMPOZITY, a.s.</w:t>
      </w:r>
    </w:p>
    <w:p w14:paraId="6D5552E0" w14:textId="042609FB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04478D">
        <w:rPr>
          <w:bCs/>
          <w:sz w:val="22"/>
          <w:szCs w:val="22"/>
        </w:rPr>
        <w:t>Kulkova 4231/10, 615 00 Brno</w:t>
      </w:r>
    </w:p>
    <w:p w14:paraId="7D594386" w14:textId="5C15858E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04478D">
        <w:rPr>
          <w:bCs/>
          <w:sz w:val="22"/>
          <w:szCs w:val="22"/>
        </w:rPr>
        <w:t>26949881</w:t>
      </w:r>
    </w:p>
    <w:p w14:paraId="64805819" w14:textId="772B7256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</w:t>
      </w:r>
      <w:r w:rsidR="0004478D">
        <w:rPr>
          <w:bCs/>
          <w:sz w:val="22"/>
          <w:szCs w:val="22"/>
        </w:rPr>
        <w:t>26949881</w:t>
      </w:r>
    </w:p>
    <w:p w14:paraId="2AC0B0FE" w14:textId="14734496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zastoupena:</w:t>
      </w:r>
      <w:r w:rsidR="0004478D">
        <w:rPr>
          <w:bCs/>
          <w:sz w:val="22"/>
          <w:szCs w:val="22"/>
        </w:rPr>
        <w:t xml:space="preserve"> předsedou představenstva</w:t>
      </w:r>
    </w:p>
    <w:p w14:paraId="3D52C80E" w14:textId="097A2FFE" w:rsidR="00A84EC7" w:rsidRPr="009B3E7E" w:rsidRDefault="001C40EA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</w:p>
    <w:p w14:paraId="2BD19B60" w14:textId="7280A185" w:rsidR="00A84EC7" w:rsidRDefault="001C40EA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234286FF" w14:textId="450CF386" w:rsidR="00A84EC7" w:rsidRPr="00F641C7" w:rsidRDefault="001C40EA" w:rsidP="00A84E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4A41A54D" w14:textId="0BF717C7" w:rsidR="00A84EC7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>
        <w:rPr>
          <w:bCs/>
          <w:sz w:val="22"/>
          <w:szCs w:val="22"/>
        </w:rPr>
        <w:t xml:space="preserve"> </w:t>
      </w:r>
      <w:r w:rsidR="006867B4">
        <w:rPr>
          <w:bCs/>
          <w:sz w:val="22"/>
          <w:szCs w:val="22"/>
        </w:rPr>
        <w:t>1</w:t>
      </w:r>
      <w:r w:rsidRPr="009B3E7E">
        <w:rPr>
          <w:bCs/>
          <w:sz w:val="22"/>
          <w:szCs w:val="22"/>
        </w:rPr>
        <w:t xml:space="preserve">“) </w:t>
      </w:r>
    </w:p>
    <w:p w14:paraId="3D3D1993" w14:textId="77777777" w:rsidR="00BF1D9F" w:rsidRDefault="00BF1D9F" w:rsidP="007C613A">
      <w:pPr>
        <w:spacing w:after="0" w:line="360" w:lineRule="auto"/>
        <w:rPr>
          <w:sz w:val="22"/>
          <w:szCs w:val="22"/>
        </w:rPr>
      </w:pPr>
    </w:p>
    <w:p w14:paraId="1324C54D" w14:textId="04B1D6D8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16CC65E8" w14:textId="77777777" w:rsidR="006B0F90" w:rsidRPr="009B3E7E" w:rsidRDefault="0002519A" w:rsidP="00BF1D9F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Předmět Smlouvy</w:t>
      </w:r>
    </w:p>
    <w:p w14:paraId="3DDC4600" w14:textId="4F3E6C40" w:rsidR="0043032A" w:rsidRPr="0043032A" w:rsidRDefault="0043032A" w:rsidP="00BF1D9F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</w:t>
      </w:r>
      <w:r w:rsidR="00EC6C92">
        <w:rPr>
          <w:sz w:val="22"/>
          <w:szCs w:val="22"/>
        </w:rPr>
        <w:t>S</w:t>
      </w:r>
      <w:r w:rsidRPr="0043032A">
        <w:rPr>
          <w:sz w:val="22"/>
          <w:szCs w:val="22"/>
        </w:rPr>
        <w:t>mlouvy je vymezení vzájemných práv a povinností smluvních stran při realizaci aktivit dílčího projektu v rámci projektu “Národní centrum kompetence Kybernetika a umělá inteligence“, r.č. TN01000024, podpořeného v rámci programu Národní centra kompetence 1 (dále jen jako „Projekt“) poskytovatele Technologická agentura ČR (dále jen jako „poskytovatel“).</w:t>
      </w:r>
    </w:p>
    <w:p w14:paraId="46763362" w14:textId="737BB32F" w:rsidR="0043032A" w:rsidRPr="0043032A" w:rsidRDefault="0043032A" w:rsidP="00BF1D9F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Dílčí projekt </w:t>
      </w:r>
      <w:r w:rsidR="0004478D" w:rsidRPr="0004478D">
        <w:rPr>
          <w:b/>
          <w:sz w:val="22"/>
          <w:szCs w:val="22"/>
        </w:rPr>
        <w:t>Smart buildings and constructions in smart regions and cities</w:t>
      </w:r>
      <w:r w:rsidR="0004478D">
        <w:rPr>
          <w:sz w:val="22"/>
          <w:szCs w:val="22"/>
        </w:rPr>
        <w:t xml:space="preserve"> </w:t>
      </w:r>
      <w:r w:rsidR="00566854">
        <w:rPr>
          <w:sz w:val="22"/>
          <w:szCs w:val="22"/>
        </w:rPr>
        <w:t xml:space="preserve">(TN01000024/12) </w:t>
      </w:r>
      <w:r w:rsidRPr="0043032A">
        <w:rPr>
          <w:sz w:val="22"/>
          <w:szCs w:val="22"/>
        </w:rPr>
        <w:t>je realizován prostřednictvím spolupráce s podniky formou kolaborativního výzkumu v souladu s čl. 2.2.2. Sdělení Komise 2014/C 198/01, Rámec pro státní podporu výzkumu, vývoje a inovací (dále jen jako Rámec“), dále jen „Dílčí projekt“.</w:t>
      </w:r>
    </w:p>
    <w:p w14:paraId="3F9E1815" w14:textId="2F8BECA7" w:rsidR="0043032A" w:rsidRPr="0043032A" w:rsidRDefault="0043032A" w:rsidP="00BF1D9F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Smluvní strany, společně s dalšími subjekty, uzavřely za účelem úpravy vzájemných práv a povinností při realizaci Projektu Smlouvu o účasti na řešení projektu Národní centrum kompetence Kybernetika a umělá inteligence (dále jen „Smlouva o účasti na řešení projektu“).</w:t>
      </w:r>
    </w:p>
    <w:p w14:paraId="2F0EC388" w14:textId="01192D32" w:rsidR="0043032A" w:rsidRPr="0043032A" w:rsidRDefault="0043032A" w:rsidP="00BF1D9F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České vysoké učení technické v Praze je v rámci Projektu hlavním příjemcem, s nímž poskytovatel uzavře Smlouvu o poskytnutí podpory; odpovídá tak právně a finančně poskytovateli za realizaci Projektu v souladu se Smlouvou o poskytnutí podpory včetně Všeobecných podmínek, dalšími závaznými dokumenty vydanými poskytovatelem v rámci programu Národní centra kompetence 1 (dále také „NCK 1“), jakož i obecně závaznými právními předpisy; z tohoto důvodu se účastní této </w:t>
      </w:r>
      <w:r w:rsidR="002A16B0">
        <w:rPr>
          <w:sz w:val="22"/>
          <w:szCs w:val="22"/>
        </w:rPr>
        <w:t>S</w:t>
      </w:r>
      <w:r w:rsidRPr="0043032A">
        <w:rPr>
          <w:sz w:val="22"/>
          <w:szCs w:val="22"/>
        </w:rPr>
        <w:t>mlouvy jako její smluvní strana, ač se na řešení Dílčího projektu nepodílí.</w:t>
      </w:r>
      <w:r w:rsidR="00E050AB">
        <w:rPr>
          <w:sz w:val="22"/>
          <w:szCs w:val="22"/>
        </w:rPr>
        <w:t xml:space="preserve"> Příjemci</w:t>
      </w:r>
      <w:r w:rsidRPr="0043032A">
        <w:rPr>
          <w:sz w:val="22"/>
          <w:szCs w:val="22"/>
        </w:rPr>
        <w:t xml:space="preserve"> jsou dalšími účastníky Projektu v souladu se Smlouvou o účasti na řešení projektu, a jelikož naplňují status organizace pro výzkum a šíření znalostí (výzkumná organizace) a další podmínky programu NCK 1, v rámci realizace Dílčího projektu jim bude poskytnuta účelová podpora vyplývající ze schváleného rozpočtu Dílčího projektu uvedené</w:t>
      </w:r>
      <w:r w:rsidR="006867B4">
        <w:rPr>
          <w:sz w:val="22"/>
          <w:szCs w:val="22"/>
        </w:rPr>
        <w:t>ho</w:t>
      </w:r>
      <w:r w:rsidRPr="0043032A">
        <w:rPr>
          <w:sz w:val="22"/>
          <w:szCs w:val="22"/>
        </w:rPr>
        <w:t xml:space="preserve"> v dokumentu Závazné parametry řešení projektu, který tvoří nedílnou součást Smlouvy o poskytnutí podpory. Tyto finanční prostředky se zavazuje hlavní příjemce převést ze svého bankovního účtu na bankovní úč</w:t>
      </w:r>
      <w:r w:rsidR="006867B4">
        <w:rPr>
          <w:sz w:val="22"/>
          <w:szCs w:val="22"/>
        </w:rPr>
        <w:t>et</w:t>
      </w:r>
      <w:r w:rsidRPr="0043032A">
        <w:rPr>
          <w:sz w:val="22"/>
          <w:szCs w:val="22"/>
        </w:rPr>
        <w:t xml:space="preserve"> </w:t>
      </w:r>
      <w:r w:rsidR="006867B4">
        <w:rPr>
          <w:sz w:val="22"/>
          <w:szCs w:val="22"/>
        </w:rPr>
        <w:t>příjemce 1</w:t>
      </w:r>
      <w:r w:rsidRPr="0043032A">
        <w:rPr>
          <w:sz w:val="22"/>
          <w:szCs w:val="22"/>
        </w:rPr>
        <w:t xml:space="preserve"> uveden</w:t>
      </w:r>
      <w:r w:rsidR="006867B4">
        <w:rPr>
          <w:sz w:val="22"/>
          <w:szCs w:val="22"/>
        </w:rPr>
        <w:t>ého</w:t>
      </w:r>
      <w:r w:rsidRPr="0043032A">
        <w:rPr>
          <w:sz w:val="22"/>
          <w:szCs w:val="22"/>
        </w:rPr>
        <w:t xml:space="preserve"> ve Smlouvě o účasti na řešení projektu, a to v souladu se zněním čl. 5 Smlouvy o účasti na řešení projektu. </w:t>
      </w:r>
      <w:r w:rsidR="00E050AB">
        <w:rPr>
          <w:sz w:val="22"/>
          <w:szCs w:val="22"/>
        </w:rPr>
        <w:t>Partne</w:t>
      </w:r>
      <w:r w:rsidR="006867B4">
        <w:rPr>
          <w:sz w:val="22"/>
          <w:szCs w:val="22"/>
        </w:rPr>
        <w:t>r</w:t>
      </w:r>
      <w:r w:rsidRPr="0043032A">
        <w:rPr>
          <w:sz w:val="22"/>
          <w:szCs w:val="22"/>
        </w:rPr>
        <w:t xml:space="preserve"> j</w:t>
      </w:r>
      <w:r w:rsidR="006867B4">
        <w:rPr>
          <w:sz w:val="22"/>
          <w:szCs w:val="22"/>
        </w:rPr>
        <w:t>e</w:t>
      </w:r>
      <w:r w:rsidRPr="0043032A">
        <w:rPr>
          <w:sz w:val="22"/>
          <w:szCs w:val="22"/>
        </w:rPr>
        <w:t xml:space="preserve"> dle Smlouvy o účasti na řešení projektu a Zadávací dokumentace programu NCK1 dalším účastník</w:t>
      </w:r>
      <w:r w:rsidR="006867B4">
        <w:rPr>
          <w:sz w:val="22"/>
          <w:szCs w:val="22"/>
        </w:rPr>
        <w:t>em</w:t>
      </w:r>
      <w:r w:rsidRPr="0043032A">
        <w:rPr>
          <w:sz w:val="22"/>
          <w:szCs w:val="22"/>
        </w:rPr>
        <w:t xml:space="preserve"> Projektu typu podnik, kte</w:t>
      </w:r>
      <w:r w:rsidR="006867B4">
        <w:rPr>
          <w:sz w:val="22"/>
          <w:szCs w:val="22"/>
        </w:rPr>
        <w:t>rý</w:t>
      </w:r>
      <w:r w:rsidRPr="0043032A">
        <w:rPr>
          <w:sz w:val="22"/>
          <w:szCs w:val="22"/>
        </w:rPr>
        <w:t xml:space="preserve"> v rámci řešení Dílčího projektu nem</w:t>
      </w:r>
      <w:r w:rsidR="006867B4">
        <w:rPr>
          <w:sz w:val="22"/>
          <w:szCs w:val="22"/>
        </w:rPr>
        <w:t>á</w:t>
      </w:r>
      <w:r w:rsidRPr="0043032A">
        <w:rPr>
          <w:sz w:val="22"/>
          <w:szCs w:val="22"/>
        </w:rPr>
        <w:t xml:space="preserve"> dle podmínek programu NCK 1 nárok na finanční podporu (čl. 3.4.2.3 Zadávací dokumentace NCK 1, č.j.: TACR/1-16/2018). Náklady na spolufinancování projektu hradí další účastník typu podnik z neveřejných zdrojů. Přesná výše spolufinancování, dohodnutá smluvními stranami, vyplývá z rozpočtu Dílčího projektu, který je uvedený v Popisu dílčího projektu (Příloha č. 1). Jednotlivé smluvní strany se vždy zavazují vynaložit na řešení Dílčího projektu náklady v souladu se stanoveným rozpočtem Dílčího projektu.</w:t>
      </w:r>
    </w:p>
    <w:p w14:paraId="64701371" w14:textId="7C1A6424" w:rsidR="0043032A" w:rsidRPr="0043032A" w:rsidRDefault="0043032A" w:rsidP="00BF1D9F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</w:t>
      </w:r>
      <w:r w:rsidR="00EC6C92">
        <w:rPr>
          <w:sz w:val="22"/>
          <w:szCs w:val="22"/>
        </w:rPr>
        <w:t>S</w:t>
      </w:r>
      <w:r w:rsidRPr="0043032A">
        <w:rPr>
          <w:sz w:val="22"/>
          <w:szCs w:val="22"/>
        </w:rPr>
        <w:t xml:space="preserve">mlouvy je dále vymezení podmínek, za kterých se </w:t>
      </w:r>
      <w:r w:rsidR="00E050AB">
        <w:rPr>
          <w:sz w:val="22"/>
          <w:szCs w:val="22"/>
        </w:rPr>
        <w:t>partne</w:t>
      </w:r>
      <w:r w:rsidR="006867B4">
        <w:rPr>
          <w:sz w:val="22"/>
          <w:szCs w:val="22"/>
        </w:rPr>
        <w:t>r</w:t>
      </w:r>
      <w:r w:rsidRPr="0043032A">
        <w:rPr>
          <w:sz w:val="22"/>
          <w:szCs w:val="22"/>
        </w:rPr>
        <w:t xml:space="preserve"> bud</w:t>
      </w:r>
      <w:r w:rsidR="006867B4">
        <w:rPr>
          <w:sz w:val="22"/>
          <w:szCs w:val="22"/>
        </w:rPr>
        <w:t>e</w:t>
      </w:r>
      <w:r w:rsidRPr="0043032A">
        <w:rPr>
          <w:sz w:val="22"/>
          <w:szCs w:val="22"/>
        </w:rPr>
        <w:t xml:space="preserve"> podílet ve formě příspěvku k provádění Dílčího projektu a úprava práv k vzniklým výsledkům a k užití vzniklých výsledků.</w:t>
      </w:r>
    </w:p>
    <w:p w14:paraId="64B733B4" w14:textId="2B34EC90" w:rsidR="00174614" w:rsidRDefault="0043032A" w:rsidP="00BF1D9F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Podrobný popis aktivit Dílčího projektu, včetně příspěvků smluvních stran pro realizaci aktivit Dílčího projektu, je popsán v Příloze č. 1.</w:t>
      </w:r>
    </w:p>
    <w:p w14:paraId="3DB020BF" w14:textId="77777777" w:rsidR="00DC2B9C" w:rsidRPr="00DC2B9C" w:rsidRDefault="00DC2B9C" w:rsidP="00DC2B9C">
      <w:pPr>
        <w:widowControl w:val="0"/>
        <w:ind w:left="142"/>
        <w:rPr>
          <w:sz w:val="22"/>
          <w:szCs w:val="22"/>
        </w:rPr>
      </w:pPr>
    </w:p>
    <w:p w14:paraId="2ECE617B" w14:textId="77777777" w:rsidR="00BF1D9F" w:rsidRDefault="00BF1D9F" w:rsidP="00BF1D9F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>Čl. II</w:t>
      </w:r>
      <w:r>
        <w:rPr>
          <w:sz w:val="22"/>
          <w:szCs w:val="22"/>
        </w:rPr>
        <w:br/>
        <w:t>Formy příspěvku partnerských podniků do kolaborativního výzkumu</w:t>
      </w:r>
    </w:p>
    <w:p w14:paraId="3E7E7E54" w14:textId="77777777" w:rsidR="00BF1D9F" w:rsidRDefault="00BF1D9F" w:rsidP="00711DF8">
      <w:pPr>
        <w:pStyle w:val="Nadpis1"/>
        <w:keepNext w:val="0"/>
        <w:keepLines w:val="0"/>
        <w:widowControl w:val="0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a) Plnění formou úhrady osobních nákladů zaměstnanců partnerského podniku</w:t>
      </w:r>
    </w:p>
    <w:p w14:paraId="15C143C5" w14:textId="77777777" w:rsidR="00BF1D9F" w:rsidRDefault="00BF1D9F" w:rsidP="00BF1D9F">
      <w:pPr>
        <w:pStyle w:val="Odstavecseseznamem"/>
        <w:widowControl w:val="0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V případě, že na základě dohody smluvních stran partnerský podnik poskytne jako příspěvek k provádění dílčího projektu kapacity svých zaměstnanců, započítávají se takto vynaložené osobní náklady jako příspěvek partnera na provádění Projektu. </w:t>
      </w:r>
    </w:p>
    <w:p w14:paraId="32519B95" w14:textId="77777777" w:rsidR="00BF1D9F" w:rsidRDefault="00BF1D9F" w:rsidP="00711DF8">
      <w:pPr>
        <w:pStyle w:val="Default"/>
        <w:widowControl w:val="0"/>
        <w:numPr>
          <w:ilvl w:val="0"/>
          <w:numId w:val="42"/>
        </w:numP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Osobní náklady zahrnují náklady na mzdy, povinné odvody na pojistné na všeobecné zdravotní pojištění a sociální zabezpečení, odměny (max. do výše nepřevyšující maximální součet dvou měsíčních platů za práci na projektu), odměny z dohod o pracovní činnosti či dohod o provedení práce a náhrady za dovolenou a nemoc (u pracovníka s pevně stanoveným pracovním úvazkem v projektu). </w:t>
      </w:r>
    </w:p>
    <w:p w14:paraId="012D1ECE" w14:textId="77777777" w:rsidR="007C613A" w:rsidRPr="009B3E7E" w:rsidRDefault="007C613A" w:rsidP="00BF1D9F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III</w:t>
      </w:r>
      <w:r w:rsidRPr="009B3E7E">
        <w:rPr>
          <w:sz w:val="22"/>
          <w:szCs w:val="22"/>
        </w:rPr>
        <w:br/>
        <w:t xml:space="preserve"> Výsledky Projektu a ochrana informací</w:t>
      </w:r>
    </w:p>
    <w:p w14:paraId="23F16732" w14:textId="77777777" w:rsidR="00F219CF" w:rsidRDefault="007C613A" w:rsidP="00BF1D9F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Smluvní strany, realizující Dílčí projekt, se dohodly na tom, že duševní vlastnictví vzniklé při plnění úkolů (dále jen „duševní vlastnictví“) v rámci Dílčího projektu je vždy majetkem strany, jejíž pracovníci toto duševní vlastnictví vytvořili. Pokud duševní vlastnictví při plnění úkolů v rámci Dílčího projektu prokazatelně vznikne spoluprací pracovníků více stran, pak se stává jejich společným majetkem, a to v takovém podílu, v jakém se na vytvoření duševního vlastnictví podíleli pracovníci každé strany. Na přípravě podání přihlášek k získání průmyslově-právní ochrany a na vedení příslušných řízení zúčastněné strany spolupracují a na nákladech s tím spojených se podílejí v poměru jejich spoluvlastnických podílů. Pokud nelze objektivně určit podíly jednotlivých stran na výsledku, platí, že jsou podíly úměrné podílu uznatelných nákladů spoluvlastníků na Dílčím projektu. </w:t>
      </w:r>
    </w:p>
    <w:p w14:paraId="045D0FA0" w14:textId="7F10A3FB" w:rsidR="007C613A" w:rsidRPr="00F219CF" w:rsidRDefault="007C613A" w:rsidP="00BF1D9F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>Bez ohledu na výše uvedené se smluvní strany, realizující Dílčí projekt, zavazují vyvinout maximální součinnost k tomu, aby dosáhly dohody na využití vytvořených výsledků, zajistily jim adekvátní právní ochranu a komercializaci v souladu s cíli Dílčího projektu, Projektu, jakož i programu NCK 1.</w:t>
      </w:r>
      <w:r w:rsidR="00F219CF" w:rsidRPr="00F219CF">
        <w:rPr>
          <w:rFonts w:eastAsia="Times New Roman" w:cs="Times New Roman"/>
          <w:sz w:val="22"/>
          <w:szCs w:val="22"/>
        </w:rPr>
        <w:t xml:space="preserve"> </w:t>
      </w:r>
    </w:p>
    <w:p w14:paraId="37CFBD51" w14:textId="6AB5940B" w:rsidR="00E050AB" w:rsidRDefault="00E050AB" w:rsidP="00BF1D9F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Každá ze smluvních stran má předkupní právo k podílu ostatních smluvních stran na majetkových právech duševního vlastnictví, vzniklých jako výsledek Dílčího projektu. Má-li převodce těchto práv status výzkumné organizace, musí za převod podílu obdržet, v souladu s čl. 2.2.2. odst. 28 písm. d) Rámce, odměnu nejméně ve výši tržní ceny převáděného podílu, s odečtením hodnoty příspěvků podnik</w:t>
      </w:r>
      <w:r w:rsidR="006867B4">
        <w:rPr>
          <w:rFonts w:eastAsia="Times New Roman" w:cs="Times New Roman"/>
          <w:b w:val="0"/>
          <w:sz w:val="22"/>
          <w:szCs w:val="22"/>
        </w:rPr>
        <w:t>u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– partner</w:t>
      </w:r>
      <w:r w:rsidR="006867B4">
        <w:rPr>
          <w:rFonts w:eastAsia="Times New Roman" w:cs="Times New Roman"/>
          <w:b w:val="0"/>
          <w:sz w:val="22"/>
          <w:szCs w:val="22"/>
        </w:rPr>
        <w:t>a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1, s je</w:t>
      </w:r>
      <w:r w:rsidR="006867B4">
        <w:rPr>
          <w:rFonts w:eastAsia="Times New Roman" w:cs="Times New Roman"/>
          <w:b w:val="0"/>
          <w:sz w:val="22"/>
          <w:szCs w:val="22"/>
        </w:rPr>
        <w:t>hož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přispěním převáděná práva duševního vlastnictví vznikla.   </w:t>
      </w:r>
    </w:p>
    <w:p w14:paraId="71F4E553" w14:textId="52FD4FAC" w:rsidR="00F2584E" w:rsidRPr="00F2584E" w:rsidRDefault="00F2584E" w:rsidP="00F2584E">
      <w:pPr>
        <w:pStyle w:val="Odstavecseseznamem"/>
        <w:numPr>
          <w:ilvl w:val="0"/>
          <w:numId w:val="39"/>
        </w:numPr>
        <w:ind w:left="709" w:hanging="425"/>
        <w:rPr>
          <w:sz w:val="22"/>
          <w:szCs w:val="22"/>
        </w:rPr>
      </w:pPr>
      <w:r w:rsidRPr="00F2584E">
        <w:rPr>
          <w:sz w:val="22"/>
          <w:szCs w:val="22"/>
        </w:rPr>
        <w:t xml:space="preserve">Výsledky ve výlučném vlastnictví smluvních stran je oprávněna samostatně a bezúplatně užívat ta smluvní strana, jíž svědčí právo k výsledku, a to ke všem účelům souvisejícím s předmětem jejího podnikání, resp. s její jinou činností. Výsledky ve společném vlastnictví smluvních stran je oprávněna samostatně užívat každá smluvní strana, jíž svědčí právo k výsledku, a to ke všem účelům souvisejícím s předmětem jejího podnikání, resp. s její jinou činností, přičemž úprava týkající se dělení příjmů z komerčního využití bude předmětem dohody spoluvlastníků daného výsledku Dílčího projektu uzavřené před započetím s takovým využitím výsledku. Další práva a povinnosti, v této smlouvě výslovně neupravená, týkající se výsledků Dílčího projektu/duševního vlastnictví se řídí ustanoveními Smlouvy o účasti na řešení projektu, zejména jejího čl. 8. Jakékoliv budoucí postoupení práv k výsledkům Dílčího projektu a využití výsledků Dílčího projektu bude realizováno tak, aby byla dodržena pravidla vyplývající ze Smlouvy o poskytnutí podpory a závazných podmínek programu NCK 1, z této </w:t>
      </w:r>
      <w:r w:rsidR="002A16B0">
        <w:rPr>
          <w:sz w:val="22"/>
          <w:szCs w:val="22"/>
        </w:rPr>
        <w:t>S</w:t>
      </w:r>
      <w:r w:rsidRPr="00F2584E">
        <w:rPr>
          <w:sz w:val="22"/>
          <w:szCs w:val="22"/>
        </w:rPr>
        <w:t xml:space="preserve">mlouvy, z </w:t>
      </w:r>
      <w:r w:rsidRPr="00F2584E">
        <w:rPr>
          <w:sz w:val="22"/>
          <w:szCs w:val="22"/>
        </w:rPr>
        <w:lastRenderedPageBreak/>
        <w:t xml:space="preserve">ustanovení § 16 zákona č. 130/2002 Sb. a pravidla pro oblast veřejné podpory vyplývající z legislativy Evropské unie. </w:t>
      </w:r>
    </w:p>
    <w:p w14:paraId="38A3D553" w14:textId="5AE665FB" w:rsidR="00F219CF" w:rsidRDefault="00E050AB" w:rsidP="00BF1D9F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Jakékoliv budoucí postoupení práv k výsledkům Dílčího projektu a využití výsledků Dílčího projektu bude realizováno tak, aby byla dodržena pravidla vyplývající ze Smlouvy o poskytnutí podpory a závazných podmínek programu NCK 1, z této </w:t>
      </w:r>
      <w:r w:rsidR="002A16B0">
        <w:rPr>
          <w:rFonts w:eastAsia="Times New Roman" w:cs="Times New Roman"/>
          <w:b w:val="0"/>
          <w:sz w:val="22"/>
          <w:szCs w:val="22"/>
        </w:rPr>
        <w:t>S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mlouvy, z ustanovení § 16 zákona č. 130/2002 Sb. a pravidla pro oblast veřejné podpory vyplývající z legislativy Evropské unie. </w:t>
      </w:r>
    </w:p>
    <w:p w14:paraId="797462F7" w14:textId="003B9FC2" w:rsidR="007C613A" w:rsidRDefault="00E050AB" w:rsidP="00BF1D9F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 xml:space="preserve">Nedohodnou-li se smluvní strany v konkrétním případě jinak, jsou veškeré informace, které získá jedna smluvní strana od druhé smluvní strany v rámci řešení Dílčího projektu či v jiné souvislosti s Dílčím projektem, a které nejsou obecně známé, považovány za důvěrné a smluvní strana, která získala důvěrné informace, je povinna tyto informace uchovat v tajnosti, zajistit, aby k nim neměla přístup třetí strana a dodržovat mlčenlivost. V případě, že některá ze smluvních stran tento závazek mlčenlivosti poruší, je odpovědná smluvním stranám za vzniklou škodu, tedy i za škodu, která stranám vznikla v souvislosti se vzniklými náklady na řešení Dílčího projektu. Toto ustanovení se nevztahuje na informování veřejnosti ohledně Dílčího projektu a jeho výsledků v souladu s pravidly poskytovatele. </w:t>
      </w:r>
    </w:p>
    <w:p w14:paraId="4D74FA80" w14:textId="77777777" w:rsidR="007C613A" w:rsidRPr="009B3E7E" w:rsidRDefault="007C613A" w:rsidP="00BF1D9F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>
        <w:rPr>
          <w:sz w:val="22"/>
          <w:szCs w:val="22"/>
        </w:rPr>
        <w:t>V</w:t>
      </w:r>
      <w:r w:rsidRPr="009B3E7E">
        <w:rPr>
          <w:sz w:val="22"/>
          <w:szCs w:val="22"/>
        </w:rPr>
        <w:br/>
        <w:t>Kontrola průběhu řešení Projektu</w:t>
      </w:r>
    </w:p>
    <w:p w14:paraId="1BBAD2ED" w14:textId="77777777" w:rsidR="007C613A" w:rsidRPr="008F3616" w:rsidRDefault="007C613A" w:rsidP="00BF1D9F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si budou mezi sebou předávat v průběhu řešení Dílčího projektu veškeré relevantní informace o průběhu jeho řešení.</w:t>
      </w:r>
    </w:p>
    <w:p w14:paraId="693A858B" w14:textId="77777777" w:rsidR="007C613A" w:rsidRPr="008F3616" w:rsidRDefault="007C613A" w:rsidP="00BF1D9F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vzájemně se bez zbytečného odkladu informovat o všech skutečnostech, které mohou ohrozit řešení Dílčího projektu.</w:t>
      </w:r>
    </w:p>
    <w:p w14:paraId="05220F39" w14:textId="77777777" w:rsidR="007C613A" w:rsidRPr="008F3616" w:rsidRDefault="007C613A" w:rsidP="00BF1D9F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poskytnout nezbytnou součinnost v případě veřejnoprávní kontroly či jiných auditů dle podmínek poskytovatele a závazných právních předpisů.</w:t>
      </w:r>
    </w:p>
    <w:p w14:paraId="67700B03" w14:textId="535965F4" w:rsidR="006B0F90" w:rsidRPr="009B3E7E" w:rsidRDefault="006035DC" w:rsidP="00BF1D9F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V</w:t>
      </w:r>
      <w:r w:rsidR="00362E99" w:rsidRPr="009B3E7E">
        <w:rPr>
          <w:sz w:val="22"/>
          <w:szCs w:val="22"/>
        </w:rPr>
        <w:br/>
        <w:t xml:space="preserve"> </w:t>
      </w:r>
      <w:r w:rsidR="006B0F90" w:rsidRPr="009B3E7E">
        <w:rPr>
          <w:sz w:val="22"/>
          <w:szCs w:val="22"/>
        </w:rPr>
        <w:t xml:space="preserve">Doba trvání </w:t>
      </w:r>
      <w:r w:rsidR="00362E99" w:rsidRPr="009B3E7E">
        <w:rPr>
          <w:sz w:val="22"/>
          <w:szCs w:val="22"/>
        </w:rPr>
        <w:t>Smlouvy</w:t>
      </w:r>
    </w:p>
    <w:p w14:paraId="3B8E3F44" w14:textId="4C9A3ED1" w:rsidR="008F3616" w:rsidRPr="008F3616" w:rsidRDefault="008F3616" w:rsidP="00BF1D9F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Tato </w:t>
      </w:r>
      <w:r w:rsidR="00EC6C9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mlouva se sjednává na dobu od její účinnosti po konec řešení Dílčího projektu, vyjma ustanovení čl. III, čl. </w:t>
      </w:r>
      <w:r w:rsidR="00F2584E">
        <w:rPr>
          <w:rFonts w:eastAsia="Times New Roman" w:cs="Times New Roman"/>
          <w:b w:val="0"/>
          <w:sz w:val="22"/>
          <w:szCs w:val="22"/>
        </w:rPr>
        <w:t>I</w:t>
      </w:r>
      <w:r w:rsidRPr="008F3616">
        <w:rPr>
          <w:rFonts w:eastAsia="Times New Roman" w:cs="Times New Roman"/>
          <w:b w:val="0"/>
          <w:sz w:val="22"/>
          <w:szCs w:val="22"/>
        </w:rPr>
        <w:t>V</w:t>
      </w:r>
      <w:r w:rsidR="00F2584E">
        <w:rPr>
          <w:rFonts w:eastAsia="Times New Roman" w:cs="Times New Roman"/>
          <w:b w:val="0"/>
          <w:sz w:val="22"/>
          <w:szCs w:val="22"/>
        </w:rPr>
        <w:t xml:space="preserve"> odst. 3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a čl. VI této </w:t>
      </w:r>
      <w:r w:rsidR="00EC6C9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mlouvy, která trvají po dobu neurčitou, pokud strany vzájemnou písemnou dohodou neurčí jinak.</w:t>
      </w:r>
    </w:p>
    <w:p w14:paraId="5B1DF39C" w14:textId="40A92E95" w:rsidR="008F3616" w:rsidRPr="008F3616" w:rsidRDefault="008F3616" w:rsidP="00BF1D9F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Smluvní strany jsou oprávněny za doby trvání této </w:t>
      </w:r>
      <w:r w:rsidR="00EC6C9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od </w:t>
      </w:r>
      <w:r w:rsidR="00EC6C9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odstoupit v případě podstatného porušení povinnosti plynoucí z této </w:t>
      </w:r>
      <w:r w:rsidR="00EC6C9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 jinou smluvní stranou, přičemž u partner</w:t>
      </w:r>
      <w:r w:rsidR="006867B4">
        <w:rPr>
          <w:rFonts w:eastAsia="Times New Roman" w:cs="Times New Roman"/>
          <w:b w:val="0"/>
          <w:sz w:val="22"/>
          <w:szCs w:val="22"/>
        </w:rPr>
        <w:t>a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1 se za podstatné porušení povinnosti plynoucí ze </w:t>
      </w:r>
      <w:r w:rsidR="00EC6C9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 považuje zejména případ, kdy partner porušuje povinnos</w:t>
      </w:r>
      <w:r>
        <w:rPr>
          <w:rFonts w:eastAsia="Times New Roman" w:cs="Times New Roman"/>
          <w:b w:val="0"/>
          <w:sz w:val="22"/>
          <w:szCs w:val="22"/>
        </w:rPr>
        <w:t>ti týkající se poskytování jeho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příspěvku dle podmínek čl. II této </w:t>
      </w:r>
      <w:r w:rsidR="00EC6C9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mlouvy.</w:t>
      </w:r>
    </w:p>
    <w:p w14:paraId="0590F3E6" w14:textId="356CD369" w:rsidR="00BF1D9F" w:rsidRPr="00EC6C92" w:rsidRDefault="008F3616" w:rsidP="0059609A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b w:val="0"/>
        </w:rPr>
      </w:pPr>
      <w:r w:rsidRPr="00EC6C92">
        <w:rPr>
          <w:b w:val="0"/>
          <w:sz w:val="22"/>
          <w:szCs w:val="22"/>
        </w:rPr>
        <w:t xml:space="preserve">Odstoupení od </w:t>
      </w:r>
      <w:r w:rsidR="002A16B0">
        <w:rPr>
          <w:b w:val="0"/>
          <w:sz w:val="22"/>
          <w:szCs w:val="22"/>
        </w:rPr>
        <w:t>S</w:t>
      </w:r>
      <w:r w:rsidRPr="00EC6C92">
        <w:rPr>
          <w:b w:val="0"/>
          <w:sz w:val="22"/>
          <w:szCs w:val="22"/>
        </w:rPr>
        <w:t>mlouvy nabývá účinnosti, jakmile bylo doručeno ostatním smluvním stranám.</w:t>
      </w:r>
    </w:p>
    <w:p w14:paraId="78F90A29" w14:textId="6F3459FB" w:rsidR="00AC062E" w:rsidRPr="009B3E7E" w:rsidRDefault="00AC062E" w:rsidP="00BF1D9F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</w:t>
      </w:r>
      <w:r w:rsidR="00283806" w:rsidRPr="009B3E7E">
        <w:rPr>
          <w:sz w:val="22"/>
          <w:szCs w:val="22"/>
        </w:rPr>
        <w:t xml:space="preserve"> </w:t>
      </w:r>
      <w:r w:rsidR="00213FDA">
        <w:rPr>
          <w:sz w:val="22"/>
          <w:szCs w:val="22"/>
        </w:rPr>
        <w:t>VI</w:t>
      </w:r>
      <w:r w:rsidRPr="009B3E7E">
        <w:rPr>
          <w:sz w:val="22"/>
          <w:szCs w:val="22"/>
        </w:rPr>
        <w:br/>
        <w:t>Spory smluvních stran a právo rozhodné</w:t>
      </w:r>
    </w:p>
    <w:p w14:paraId="0507ADC6" w14:textId="2AF72F59" w:rsidR="00AC062E" w:rsidRDefault="00AC062E" w:rsidP="00BF1D9F">
      <w:pPr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Právní vztahy, skutečnosti, události a spory smluvních stran, vznikající z této </w:t>
      </w:r>
      <w:r w:rsidR="00EC6C92">
        <w:rPr>
          <w:sz w:val="22"/>
          <w:szCs w:val="22"/>
        </w:rPr>
        <w:t>S</w:t>
      </w:r>
      <w:r w:rsidRPr="009B3E7E">
        <w:rPr>
          <w:sz w:val="22"/>
          <w:szCs w:val="22"/>
        </w:rPr>
        <w:t>mlouvy a v souvislosti s ní, budou rozhodovány věcně, místně a funkčně příslušným soudem žalované strany, přičemž právem rozhodným bude právo České republiky.</w:t>
      </w:r>
    </w:p>
    <w:p w14:paraId="3964959F" w14:textId="77777777" w:rsidR="00F2584E" w:rsidRPr="009B3E7E" w:rsidRDefault="00F2584E" w:rsidP="00BF1D9F">
      <w:pPr>
        <w:widowControl w:val="0"/>
        <w:rPr>
          <w:sz w:val="22"/>
          <w:szCs w:val="22"/>
        </w:rPr>
      </w:pPr>
    </w:p>
    <w:p w14:paraId="12A2478B" w14:textId="6BEF516A" w:rsidR="006B0F90" w:rsidRPr="009B3E7E" w:rsidRDefault="0052706F" w:rsidP="00BF1D9F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 xml:space="preserve">Čl. </w:t>
      </w:r>
      <w:r w:rsidR="00213FDA">
        <w:rPr>
          <w:sz w:val="22"/>
          <w:szCs w:val="22"/>
        </w:rPr>
        <w:t>VII</w:t>
      </w:r>
      <w:r w:rsidR="00AC062E"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Závěrečná ustanovení</w:t>
      </w:r>
    </w:p>
    <w:p w14:paraId="769F6554" w14:textId="77777777" w:rsidR="006B0F90" w:rsidRPr="009B3E7E" w:rsidRDefault="006B0F90" w:rsidP="00BF1D9F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 xml:space="preserve">Smluvní vztahy touto Smlouvu výslovně neupravené se řídí příslušnými ustanoveními </w:t>
      </w:r>
      <w:r w:rsidR="00AC062E" w:rsidRPr="009B3E7E">
        <w:rPr>
          <w:sz w:val="22"/>
          <w:szCs w:val="22"/>
        </w:rPr>
        <w:t>zákona</w:t>
      </w:r>
      <w:r w:rsidRPr="009B3E7E">
        <w:rPr>
          <w:sz w:val="22"/>
          <w:szCs w:val="22"/>
        </w:rPr>
        <w:t xml:space="preserve"> č. 89/2012 Sb., občanský zákoník, v platném znění</w:t>
      </w:r>
      <w:r w:rsidR="00AC062E" w:rsidRPr="009B3E7E">
        <w:rPr>
          <w:sz w:val="22"/>
          <w:szCs w:val="22"/>
        </w:rPr>
        <w:t>, zákona č. 130/2002 Sb., o podpoře výzkumu a vývoje z veřejných prostředků a o změně některých souvisejících zákonů (zákon o podpoře výzkumu a vývoje), Rámcem</w:t>
      </w:r>
      <w:r w:rsidRPr="009B3E7E">
        <w:rPr>
          <w:sz w:val="22"/>
          <w:szCs w:val="22"/>
        </w:rPr>
        <w:t xml:space="preserve"> a dalšími příslušnými právními předpisy.</w:t>
      </w:r>
    </w:p>
    <w:p w14:paraId="0F2E2085" w14:textId="1019479F" w:rsidR="008F3616" w:rsidRPr="008F3616" w:rsidRDefault="008F3616" w:rsidP="00BF1D9F">
      <w:pPr>
        <w:pStyle w:val="Odstavecseseznamem"/>
        <w:widowControl w:val="0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8F3616">
        <w:rPr>
          <w:sz w:val="22"/>
          <w:szCs w:val="22"/>
        </w:rPr>
        <w:t xml:space="preserve">Smlouva nabývá platnosti dnem jejího podpisu oprávněnými zástupci smluvních stran a účinnosti jejím uveřejněním v registru smluv podle zákona č. 340/2015 Sb., o registru smluv (dále jen „registr smluv“). Smluvní strany souhlasí s uveřejněním </w:t>
      </w:r>
      <w:r w:rsidR="002A16B0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v registru smluv; pro účely jejího uveřejnění nepovažují smluvní strany nic z obsahu této </w:t>
      </w:r>
      <w:r w:rsidR="002A16B0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ani z metadat k ní se vážících za vyloučené z uveřejnění, vyjma její přílohy č. 1, která uveřejněná nebude. Uveřejnění </w:t>
      </w:r>
      <w:r w:rsidR="002A16B0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v registru smluv provede dle dohody smluvních stran </w:t>
      </w:r>
      <w:r w:rsidR="00261706">
        <w:rPr>
          <w:sz w:val="22"/>
          <w:szCs w:val="22"/>
        </w:rPr>
        <w:t>hlavní příjemce.</w:t>
      </w:r>
    </w:p>
    <w:p w14:paraId="3CF0FF42" w14:textId="77777777" w:rsidR="00261706" w:rsidRDefault="006B0F90" w:rsidP="00BF1D9F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Změny a doplňky této Smlouvy moh</w:t>
      </w:r>
      <w:r w:rsidR="00AC062E" w:rsidRPr="009B3E7E">
        <w:rPr>
          <w:sz w:val="22"/>
          <w:szCs w:val="22"/>
        </w:rPr>
        <w:t>ou být prováděny pouze dohodou s</w:t>
      </w:r>
      <w:r w:rsidRPr="009B3E7E">
        <w:rPr>
          <w:sz w:val="22"/>
          <w:szCs w:val="22"/>
        </w:rPr>
        <w:t>mluvních stran, a to formou písemných číslovaných dodatků k této Smlouvě.</w:t>
      </w:r>
    </w:p>
    <w:p w14:paraId="57630403" w14:textId="6DFAAB15" w:rsidR="006B0F90" w:rsidRPr="00261706" w:rsidRDefault="006B0F90" w:rsidP="00BF1D9F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261706">
        <w:rPr>
          <w:sz w:val="22"/>
          <w:szCs w:val="22"/>
        </w:rPr>
        <w:t>Tato Smlouva je vyhotovena v</w:t>
      </w:r>
      <w:r w:rsidR="00F2584E">
        <w:rPr>
          <w:sz w:val="22"/>
          <w:szCs w:val="22"/>
        </w:rPr>
        <w:t>e</w:t>
      </w:r>
      <w:r w:rsidRPr="00261706">
        <w:rPr>
          <w:sz w:val="22"/>
          <w:szCs w:val="22"/>
        </w:rPr>
        <w:t xml:space="preserve"> </w:t>
      </w:r>
      <w:r w:rsidR="00F2584E">
        <w:rPr>
          <w:sz w:val="22"/>
          <w:szCs w:val="22"/>
        </w:rPr>
        <w:t>4</w:t>
      </w:r>
      <w:r w:rsidR="004544EE" w:rsidRPr="00261706">
        <w:rPr>
          <w:sz w:val="22"/>
          <w:szCs w:val="22"/>
        </w:rPr>
        <w:t xml:space="preserve"> </w:t>
      </w:r>
      <w:r w:rsidRPr="00261706">
        <w:rPr>
          <w:sz w:val="22"/>
          <w:szCs w:val="22"/>
        </w:rPr>
        <w:t>vyhotoveních, z nichž každé má platnost originálu, přičemž</w:t>
      </w:r>
      <w:r w:rsidR="004544EE" w:rsidRPr="00261706">
        <w:rPr>
          <w:sz w:val="22"/>
          <w:szCs w:val="22"/>
        </w:rPr>
        <w:t xml:space="preserve"> </w:t>
      </w:r>
      <w:r w:rsidR="00261706" w:rsidRPr="00261706">
        <w:rPr>
          <w:sz w:val="22"/>
          <w:szCs w:val="22"/>
        </w:rPr>
        <w:t>každá smluvní strana obdrží po jednom vyhotovení</w:t>
      </w:r>
      <w:r w:rsidR="00F2584E">
        <w:rPr>
          <w:sz w:val="22"/>
          <w:szCs w:val="22"/>
        </w:rPr>
        <w:t xml:space="preserve"> s výjimkou VUT, které obdrží dvě vyhotovení</w:t>
      </w:r>
      <w:r w:rsidR="00F2584E" w:rsidRPr="00261706">
        <w:rPr>
          <w:sz w:val="22"/>
          <w:szCs w:val="22"/>
        </w:rPr>
        <w:t>.</w:t>
      </w:r>
    </w:p>
    <w:p w14:paraId="0C9DC248" w14:textId="77777777" w:rsidR="006B0F90" w:rsidRDefault="006B0F90" w:rsidP="00BF1D9F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</w:t>
      </w:r>
    </w:p>
    <w:p w14:paraId="7249B9D6" w14:textId="77777777" w:rsidR="00F219CF" w:rsidRDefault="00F219CF" w:rsidP="00BF1D9F">
      <w:pPr>
        <w:widowControl w:val="0"/>
        <w:rPr>
          <w:sz w:val="22"/>
          <w:szCs w:val="22"/>
        </w:rPr>
      </w:pPr>
    </w:p>
    <w:p w14:paraId="78BECCEB" w14:textId="77777777" w:rsidR="00F219CF" w:rsidRPr="00F219CF" w:rsidRDefault="00F219CF" w:rsidP="00BF1D9F">
      <w:pPr>
        <w:widowControl w:val="0"/>
        <w:rPr>
          <w:sz w:val="22"/>
          <w:szCs w:val="22"/>
        </w:rPr>
      </w:pPr>
    </w:p>
    <w:p w14:paraId="1B32F9CF" w14:textId="77777777" w:rsidR="007F5E4A" w:rsidRPr="009B3E7E" w:rsidRDefault="007F5E4A" w:rsidP="00BF1D9F">
      <w:pPr>
        <w:pStyle w:val="Odstavecseseznamem"/>
        <w:widowControl w:val="0"/>
        <w:ind w:left="406"/>
        <w:rPr>
          <w:sz w:val="22"/>
          <w:szCs w:val="22"/>
        </w:rPr>
      </w:pPr>
    </w:p>
    <w:p w14:paraId="0DA62FC7" w14:textId="77777777" w:rsidR="006B0F90" w:rsidRPr="009B3E7E" w:rsidRDefault="006B0F90" w:rsidP="00BF1D9F">
      <w:pPr>
        <w:widowControl w:val="0"/>
        <w:rPr>
          <w:sz w:val="22"/>
          <w:szCs w:val="22"/>
        </w:rPr>
      </w:pPr>
    </w:p>
    <w:p w14:paraId="1ED0D059" w14:textId="77777777" w:rsidR="007C613A" w:rsidRDefault="00261706" w:rsidP="00BF1D9F">
      <w:pPr>
        <w:widowControl w:val="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F4BEB69" w14:textId="77777777" w:rsidR="007C613A" w:rsidRDefault="007C613A" w:rsidP="00261706">
      <w:pPr>
        <w:rPr>
          <w:sz w:val="22"/>
          <w:szCs w:val="22"/>
        </w:rPr>
      </w:pPr>
    </w:p>
    <w:p w14:paraId="334E8E7E" w14:textId="273ECC49" w:rsidR="00261706" w:rsidRDefault="00261706" w:rsidP="00261706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04478D">
        <w:rPr>
          <w:sz w:val="22"/>
          <w:szCs w:val="22"/>
        </w:rPr>
        <w:t xml:space="preserve">Smart buildings and constructions in smart regions and cities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7777777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C86137E" w14:textId="103B1609" w:rsidR="00F21F7C" w:rsidRDefault="00F21F7C" w:rsidP="00F21F7C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04478D">
        <w:rPr>
          <w:sz w:val="22"/>
          <w:szCs w:val="22"/>
        </w:rPr>
        <w:t xml:space="preserve">Smart buildings and constructions in smart regions and cities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06BD2C39" w14:textId="77777777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  <w:r w:rsidRPr="00D52DEA">
        <w:rPr>
          <w:sz w:val="22"/>
          <w:szCs w:val="22"/>
        </w:rPr>
        <w:tab/>
      </w:r>
    </w:p>
    <w:p w14:paraId="22562B33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5EC4089C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218B34A5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746F6DF6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3BE364DE" w14:textId="58B5E8AA" w:rsidR="00064153" w:rsidRDefault="00064153" w:rsidP="00064153">
      <w:pPr>
        <w:spacing w:after="200" w:line="276" w:lineRule="auto"/>
        <w:jc w:val="left"/>
        <w:rPr>
          <w:sz w:val="22"/>
          <w:szCs w:val="22"/>
        </w:rPr>
      </w:pPr>
      <w:bookmarkStart w:id="2" w:name="_GoBack"/>
      <w:bookmarkEnd w:id="2"/>
      <w:r>
        <w:rPr>
          <w:bCs/>
          <w:sz w:val="22"/>
          <w:szCs w:val="22"/>
        </w:rPr>
        <w:t>rektor VUT v Brně</w:t>
      </w:r>
    </w:p>
    <w:p w14:paraId="3F205AA9" w14:textId="77777777" w:rsidR="009E2CD4" w:rsidRDefault="00261706" w:rsidP="009E2CD4">
      <w:pPr>
        <w:spacing w:after="200" w:line="276" w:lineRule="auto"/>
        <w:jc w:val="left"/>
        <w:rPr>
          <w:sz w:val="22"/>
          <w:szCs w:val="22"/>
        </w:rPr>
      </w:pPr>
      <w:r w:rsidRPr="00D52DEA">
        <w:rPr>
          <w:sz w:val="22"/>
          <w:szCs w:val="22"/>
        </w:rPr>
        <w:t>za příjemce 1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3DB15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00498D4E" w14:textId="77777777" w:rsidR="007C613A" w:rsidRDefault="007C613A" w:rsidP="0068082B">
      <w:pPr>
        <w:rPr>
          <w:sz w:val="22"/>
          <w:szCs w:val="22"/>
        </w:rPr>
      </w:pPr>
    </w:p>
    <w:p w14:paraId="35C9AB42" w14:textId="079C103F" w:rsidR="00F21F7C" w:rsidRDefault="00F21F7C" w:rsidP="00F21F7C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04478D">
        <w:rPr>
          <w:sz w:val="22"/>
          <w:szCs w:val="22"/>
        </w:rPr>
        <w:t xml:space="preserve">Smart buildings and constructions in smart regions and cities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…………………..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1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3C7699FB" w14:textId="6514CD31" w:rsidR="00F219CF" w:rsidRDefault="00F219CF">
      <w:pPr>
        <w:spacing w:after="200" w:line="276" w:lineRule="auto"/>
        <w:jc w:val="left"/>
        <w:rPr>
          <w:sz w:val="22"/>
          <w:szCs w:val="22"/>
        </w:rPr>
      </w:pPr>
    </w:p>
    <w:sectPr w:rsidR="00F219CF" w:rsidSect="00AC0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3C361" w16cid:durableId="1FFB1899"/>
  <w16cid:commentId w16cid:paraId="7FF2AEE2" w16cid:durableId="1FFC7B16"/>
  <w16cid:commentId w16cid:paraId="2E12A632" w16cid:durableId="1FFC7B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4700" w14:textId="77777777" w:rsidR="00784CA3" w:rsidRDefault="00784CA3" w:rsidP="006B0F90">
      <w:r>
        <w:separator/>
      </w:r>
    </w:p>
  </w:endnote>
  <w:endnote w:type="continuationSeparator" w:id="0">
    <w:p w14:paraId="61F50B8F" w14:textId="77777777" w:rsidR="00784CA3" w:rsidRDefault="00784CA3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784CA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3F4B" w14:textId="6032C260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2B67">
      <w:rPr>
        <w:rStyle w:val="slostrnky"/>
        <w:noProof/>
      </w:rPr>
      <w:t>8</w:t>
    </w:r>
    <w:r>
      <w:rPr>
        <w:rStyle w:val="slostrnky"/>
      </w:rPr>
      <w:fldChar w:fldCharType="end"/>
    </w:r>
  </w:p>
  <w:p w14:paraId="2BFC16DC" w14:textId="77777777" w:rsidR="009E5FFE" w:rsidRDefault="00784CA3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3943" w14:textId="77777777" w:rsidR="00892B67" w:rsidRDefault="00892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A4B70" w14:textId="77777777" w:rsidR="00784CA3" w:rsidRDefault="00784CA3" w:rsidP="006B0F90">
      <w:r>
        <w:separator/>
      </w:r>
    </w:p>
  </w:footnote>
  <w:footnote w:type="continuationSeparator" w:id="0">
    <w:p w14:paraId="4AFB8237" w14:textId="77777777" w:rsidR="00784CA3" w:rsidRDefault="00784CA3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D2BC" w14:textId="77777777" w:rsidR="00892B67" w:rsidRDefault="00892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C903D" w14:textId="77777777" w:rsidR="00892B67" w:rsidRDefault="00892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AF580D"/>
    <w:multiLevelType w:val="hybridMultilevel"/>
    <w:tmpl w:val="B01E1710"/>
    <w:lvl w:ilvl="0" w:tplc="45AE853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1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9"/>
  </w:num>
  <w:num w:numId="4">
    <w:abstractNumId w:val="38"/>
  </w:num>
  <w:num w:numId="5">
    <w:abstractNumId w:val="8"/>
  </w:num>
  <w:num w:numId="6">
    <w:abstractNumId w:val="11"/>
  </w:num>
  <w:num w:numId="7">
    <w:abstractNumId w:val="25"/>
  </w:num>
  <w:num w:numId="8">
    <w:abstractNumId w:val="37"/>
  </w:num>
  <w:num w:numId="9">
    <w:abstractNumId w:val="34"/>
  </w:num>
  <w:num w:numId="10">
    <w:abstractNumId w:val="35"/>
  </w:num>
  <w:num w:numId="11">
    <w:abstractNumId w:val="6"/>
  </w:num>
  <w:num w:numId="12">
    <w:abstractNumId w:val="21"/>
  </w:num>
  <w:num w:numId="13">
    <w:abstractNumId w:val="22"/>
  </w:num>
  <w:num w:numId="14">
    <w:abstractNumId w:val="31"/>
  </w:num>
  <w:num w:numId="15">
    <w:abstractNumId w:val="17"/>
  </w:num>
  <w:num w:numId="16">
    <w:abstractNumId w:val="10"/>
  </w:num>
  <w:num w:numId="17">
    <w:abstractNumId w:val="13"/>
  </w:num>
  <w:num w:numId="18">
    <w:abstractNumId w:val="30"/>
  </w:num>
  <w:num w:numId="19">
    <w:abstractNumId w:val="18"/>
  </w:num>
  <w:num w:numId="20">
    <w:abstractNumId w:val="32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8"/>
  </w:num>
  <w:num w:numId="27">
    <w:abstractNumId w:val="24"/>
  </w:num>
  <w:num w:numId="28">
    <w:abstractNumId w:val="16"/>
  </w:num>
  <w:num w:numId="29">
    <w:abstractNumId w:val="2"/>
  </w:num>
  <w:num w:numId="30">
    <w:abstractNumId w:val="9"/>
  </w:num>
  <w:num w:numId="31">
    <w:abstractNumId w:val="27"/>
  </w:num>
  <w:num w:numId="32">
    <w:abstractNumId w:val="41"/>
  </w:num>
  <w:num w:numId="33">
    <w:abstractNumId w:val="33"/>
  </w:num>
  <w:num w:numId="34">
    <w:abstractNumId w:val="39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Wa1AN/VatosAAAA"/>
  </w:docVars>
  <w:rsids>
    <w:rsidRoot w:val="006B0F90"/>
    <w:rsid w:val="000064B0"/>
    <w:rsid w:val="000219E8"/>
    <w:rsid w:val="00024547"/>
    <w:rsid w:val="0002519A"/>
    <w:rsid w:val="0004478D"/>
    <w:rsid w:val="00064153"/>
    <w:rsid w:val="000C5FCC"/>
    <w:rsid w:val="000D274C"/>
    <w:rsid w:val="000E46DB"/>
    <w:rsid w:val="001012F3"/>
    <w:rsid w:val="0010590F"/>
    <w:rsid w:val="00107944"/>
    <w:rsid w:val="00116948"/>
    <w:rsid w:val="00147314"/>
    <w:rsid w:val="00147967"/>
    <w:rsid w:val="00174614"/>
    <w:rsid w:val="00187E49"/>
    <w:rsid w:val="001C40EA"/>
    <w:rsid w:val="001E4E2A"/>
    <w:rsid w:val="001F4958"/>
    <w:rsid w:val="0020472A"/>
    <w:rsid w:val="00211DDC"/>
    <w:rsid w:val="00213FDA"/>
    <w:rsid w:val="002256EF"/>
    <w:rsid w:val="002344C6"/>
    <w:rsid w:val="00247F8B"/>
    <w:rsid w:val="00261706"/>
    <w:rsid w:val="002767F6"/>
    <w:rsid w:val="00283806"/>
    <w:rsid w:val="00291DEE"/>
    <w:rsid w:val="00293C61"/>
    <w:rsid w:val="002A10CD"/>
    <w:rsid w:val="002A16B0"/>
    <w:rsid w:val="002A74F8"/>
    <w:rsid w:val="002C66B1"/>
    <w:rsid w:val="002F2BEA"/>
    <w:rsid w:val="00331E66"/>
    <w:rsid w:val="003371BA"/>
    <w:rsid w:val="00337730"/>
    <w:rsid w:val="003426CA"/>
    <w:rsid w:val="00351697"/>
    <w:rsid w:val="003541A1"/>
    <w:rsid w:val="00362E99"/>
    <w:rsid w:val="00384C12"/>
    <w:rsid w:val="003D5554"/>
    <w:rsid w:val="003F2AB9"/>
    <w:rsid w:val="00415126"/>
    <w:rsid w:val="004167C0"/>
    <w:rsid w:val="0043032A"/>
    <w:rsid w:val="004544EE"/>
    <w:rsid w:val="0047476A"/>
    <w:rsid w:val="00496304"/>
    <w:rsid w:val="004D7BED"/>
    <w:rsid w:val="004E0EF4"/>
    <w:rsid w:val="0052333F"/>
    <w:rsid w:val="00524977"/>
    <w:rsid w:val="0052706F"/>
    <w:rsid w:val="00551424"/>
    <w:rsid w:val="005608B2"/>
    <w:rsid w:val="00561049"/>
    <w:rsid w:val="00566854"/>
    <w:rsid w:val="0059609A"/>
    <w:rsid w:val="005B1836"/>
    <w:rsid w:val="005C7482"/>
    <w:rsid w:val="005D17D8"/>
    <w:rsid w:val="005D2294"/>
    <w:rsid w:val="005D3090"/>
    <w:rsid w:val="005D6DF0"/>
    <w:rsid w:val="005E4618"/>
    <w:rsid w:val="006035DC"/>
    <w:rsid w:val="006340D8"/>
    <w:rsid w:val="0065198D"/>
    <w:rsid w:val="0068082B"/>
    <w:rsid w:val="006867B4"/>
    <w:rsid w:val="006B0F90"/>
    <w:rsid w:val="006C36D6"/>
    <w:rsid w:val="006C3E28"/>
    <w:rsid w:val="006D1F3A"/>
    <w:rsid w:val="00707C46"/>
    <w:rsid w:val="00711DF8"/>
    <w:rsid w:val="007162FD"/>
    <w:rsid w:val="00733265"/>
    <w:rsid w:val="00746992"/>
    <w:rsid w:val="007747D4"/>
    <w:rsid w:val="00784CA3"/>
    <w:rsid w:val="007A3257"/>
    <w:rsid w:val="007B7D5F"/>
    <w:rsid w:val="007C11D0"/>
    <w:rsid w:val="007C306A"/>
    <w:rsid w:val="007C613A"/>
    <w:rsid w:val="007D6D12"/>
    <w:rsid w:val="007E2668"/>
    <w:rsid w:val="007E7567"/>
    <w:rsid w:val="007F5E4A"/>
    <w:rsid w:val="00810028"/>
    <w:rsid w:val="00843AD3"/>
    <w:rsid w:val="008453A7"/>
    <w:rsid w:val="00846E4F"/>
    <w:rsid w:val="00865F31"/>
    <w:rsid w:val="00867CE8"/>
    <w:rsid w:val="0087557A"/>
    <w:rsid w:val="00892B67"/>
    <w:rsid w:val="008936E7"/>
    <w:rsid w:val="008A23B1"/>
    <w:rsid w:val="008A570E"/>
    <w:rsid w:val="008B0F7C"/>
    <w:rsid w:val="008B338A"/>
    <w:rsid w:val="008C65F7"/>
    <w:rsid w:val="008E3972"/>
    <w:rsid w:val="008E6804"/>
    <w:rsid w:val="008F3616"/>
    <w:rsid w:val="008F3FCB"/>
    <w:rsid w:val="00941A7C"/>
    <w:rsid w:val="00944889"/>
    <w:rsid w:val="0094515C"/>
    <w:rsid w:val="00960A9F"/>
    <w:rsid w:val="009869BD"/>
    <w:rsid w:val="0099640B"/>
    <w:rsid w:val="009A3D74"/>
    <w:rsid w:val="009B3E7E"/>
    <w:rsid w:val="009D48AE"/>
    <w:rsid w:val="009E2CD4"/>
    <w:rsid w:val="00A30CD0"/>
    <w:rsid w:val="00A32D8F"/>
    <w:rsid w:val="00A84EC7"/>
    <w:rsid w:val="00A85C34"/>
    <w:rsid w:val="00AA29B7"/>
    <w:rsid w:val="00AC062E"/>
    <w:rsid w:val="00AC605F"/>
    <w:rsid w:val="00AE62DC"/>
    <w:rsid w:val="00B02DF3"/>
    <w:rsid w:val="00B278E5"/>
    <w:rsid w:val="00B453E8"/>
    <w:rsid w:val="00B5073D"/>
    <w:rsid w:val="00B55359"/>
    <w:rsid w:val="00B74F53"/>
    <w:rsid w:val="00BA451E"/>
    <w:rsid w:val="00BB6812"/>
    <w:rsid w:val="00BB77C1"/>
    <w:rsid w:val="00BC5DC0"/>
    <w:rsid w:val="00BE5722"/>
    <w:rsid w:val="00BF1D9F"/>
    <w:rsid w:val="00C12FA4"/>
    <w:rsid w:val="00C24C7D"/>
    <w:rsid w:val="00C75C2D"/>
    <w:rsid w:val="00C82838"/>
    <w:rsid w:val="00C90221"/>
    <w:rsid w:val="00C92097"/>
    <w:rsid w:val="00CB14C5"/>
    <w:rsid w:val="00CC11D6"/>
    <w:rsid w:val="00CE45F8"/>
    <w:rsid w:val="00D02FC0"/>
    <w:rsid w:val="00D252D5"/>
    <w:rsid w:val="00D30859"/>
    <w:rsid w:val="00D329B1"/>
    <w:rsid w:val="00D64623"/>
    <w:rsid w:val="00D70EA3"/>
    <w:rsid w:val="00D710A2"/>
    <w:rsid w:val="00D92890"/>
    <w:rsid w:val="00DC1237"/>
    <w:rsid w:val="00DC2B9C"/>
    <w:rsid w:val="00DD7151"/>
    <w:rsid w:val="00DF30C4"/>
    <w:rsid w:val="00E050AB"/>
    <w:rsid w:val="00E2065D"/>
    <w:rsid w:val="00E53910"/>
    <w:rsid w:val="00E62F58"/>
    <w:rsid w:val="00E67217"/>
    <w:rsid w:val="00E963D4"/>
    <w:rsid w:val="00EC6C92"/>
    <w:rsid w:val="00ED2821"/>
    <w:rsid w:val="00EF7E53"/>
    <w:rsid w:val="00F0051A"/>
    <w:rsid w:val="00F03E5C"/>
    <w:rsid w:val="00F0576B"/>
    <w:rsid w:val="00F219CF"/>
    <w:rsid w:val="00F21F7C"/>
    <w:rsid w:val="00F2584E"/>
    <w:rsid w:val="00F54579"/>
    <w:rsid w:val="00F60C96"/>
    <w:rsid w:val="00F641C7"/>
    <w:rsid w:val="00F67149"/>
    <w:rsid w:val="00F765D7"/>
    <w:rsid w:val="00F830FA"/>
    <w:rsid w:val="00FC62FF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4F0F-7A61-4531-88FF-5631006B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1907</Words>
  <Characters>11253</Characters>
  <Application>Microsoft Office Word</Application>
  <DocSecurity>0</DocSecurity>
  <Lines>93</Lines>
  <Paragraphs>26</Paragraphs>
  <ScaleCrop>false</ScaleCrop>
  <Company/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2019-07-15T13:15:00Z</dcterms:created>
  <dcterms:modified xsi:type="dcterms:W3CDTF">2019-07-15T13:15:00Z</dcterms:modified>
</cp:coreProperties>
</file>