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77777777" w:rsidR="006B0F90" w:rsidRPr="009B3E7E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UVA O KOLABORATIVNÍM VÝZKUMU</w:t>
      </w:r>
    </w:p>
    <w:bookmarkEnd w:id="0"/>
    <w:bookmarkEnd w:id="1"/>
    <w:p w14:paraId="186FF192" w14:textId="77777777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„smlouva“),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2D35464E" w14:textId="77777777" w:rsidR="00D027D7" w:rsidRDefault="00D027D7" w:rsidP="00D027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2811BF77" w14:textId="77777777" w:rsidR="00D548DD" w:rsidRDefault="00D548DD" w:rsidP="00D548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4BEAFBE4" w14:textId="77777777" w:rsidR="00D548DD" w:rsidRDefault="00D548DD" w:rsidP="00D548DD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10CE347F" w14:textId="77777777" w:rsidR="00D548DD" w:rsidRDefault="00D548DD" w:rsidP="00D548DD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IČO: 68407700, DIČ: CZ68407700</w:t>
      </w:r>
    </w:p>
    <w:p w14:paraId="51C0975F" w14:textId="587E737C" w:rsidR="00D548DD" w:rsidRDefault="00730F9A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zastoupeno:</w:t>
      </w:r>
      <w:r w:rsidR="00D548DD">
        <w:rPr>
          <w:bCs/>
          <w:sz w:val="22"/>
          <w:szCs w:val="22"/>
        </w:rPr>
        <w:t xml:space="preserve"> ředitelem</w:t>
      </w:r>
    </w:p>
    <w:p w14:paraId="647BE9EE" w14:textId="0E5F35C7" w:rsidR="00D548DD" w:rsidRDefault="00D548DD" w:rsidP="00D548DD">
      <w:pPr>
        <w:rPr>
          <w:rFonts w:cstheme="minorHAnsi"/>
          <w:color w:val="333333"/>
          <w:sz w:val="22"/>
          <w:szCs w:val="22"/>
        </w:rPr>
      </w:pPr>
      <w:r>
        <w:rPr>
          <w:bCs/>
          <w:sz w:val="22"/>
          <w:szCs w:val="22"/>
        </w:rPr>
        <w:t>kontaktní osoba</w:t>
      </w:r>
      <w:r w:rsidR="00730F9A">
        <w:rPr>
          <w:rFonts w:cstheme="minorHAnsi"/>
          <w:bCs/>
          <w:sz w:val="22"/>
          <w:szCs w:val="22"/>
        </w:rPr>
        <w:t>:</w:t>
      </w:r>
    </w:p>
    <w:p w14:paraId="00CA482D" w14:textId="6F1DEFD5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6B3F8B5C" w14:textId="185EFC81" w:rsidR="00D548DD" w:rsidRDefault="00730F9A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7FD23E48" w14:textId="77777777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(dále jen jako „hlavní příjemce“)</w:t>
      </w:r>
    </w:p>
    <w:p w14:paraId="2166B147" w14:textId="77777777" w:rsidR="00D027D7" w:rsidRPr="009B3E7E" w:rsidRDefault="00D027D7" w:rsidP="0043032A">
      <w:pPr>
        <w:rPr>
          <w:bCs/>
          <w:sz w:val="22"/>
          <w:szCs w:val="22"/>
        </w:rPr>
      </w:pP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9BAE8F8" w14:textId="77777777" w:rsidR="00DB3CEA" w:rsidRDefault="00DB3CEA" w:rsidP="00DB3CE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CertiCon a.s.</w:t>
      </w:r>
    </w:p>
    <w:p w14:paraId="72885A51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Evropská 2758/11, 160 00 Praha 6</w:t>
      </w:r>
    </w:p>
    <w:p w14:paraId="73FDC8AA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25083341</w:t>
      </w:r>
    </w:p>
    <w:p w14:paraId="6A0809AE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CZ25083341</w:t>
      </w:r>
    </w:p>
    <w:p w14:paraId="51685604" w14:textId="1057E55A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zastoupena:</w:t>
      </w:r>
      <w:r>
        <w:rPr>
          <w:bCs/>
          <w:sz w:val="22"/>
          <w:szCs w:val="22"/>
        </w:rPr>
        <w:t xml:space="preserve"> místopředsedou představenstva </w:t>
      </w:r>
    </w:p>
    <w:p w14:paraId="27406C6B" w14:textId="7EAB1D4F" w:rsidR="00536534" w:rsidRDefault="00730F9A" w:rsidP="00DB3CEA">
      <w:pPr>
        <w:spacing w:after="0" w:line="360" w:lineRule="auto"/>
      </w:pPr>
      <w:r>
        <w:rPr>
          <w:bCs/>
          <w:sz w:val="22"/>
          <w:szCs w:val="22"/>
        </w:rPr>
        <w:t>kontaktní osoba:</w:t>
      </w:r>
    </w:p>
    <w:p w14:paraId="0A50FD9A" w14:textId="0CCBD5EF" w:rsidR="00DB3CEA" w:rsidRDefault="00730F9A" w:rsidP="00DB3CE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1C631C78" w14:textId="2CA3D5B7" w:rsidR="00DB3CEA" w:rsidRDefault="00730F9A" w:rsidP="00DB3CE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bookmarkStart w:id="2" w:name="_GoBack"/>
      <w:bookmarkEnd w:id="2"/>
    </w:p>
    <w:p w14:paraId="7212C6C4" w14:textId="672F4B28" w:rsidR="002C72BB" w:rsidRPr="00DB3CEA" w:rsidRDefault="008B338A" w:rsidP="00DB3C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3CEA">
        <w:rPr>
          <w:rFonts w:asciiTheme="minorHAnsi" w:hAnsiTheme="minorHAnsi" w:cstheme="minorHAnsi"/>
          <w:bCs/>
          <w:sz w:val="22"/>
          <w:szCs w:val="22"/>
        </w:rPr>
        <w:t xml:space="preserve">(dále jen jako „partner“) </w:t>
      </w:r>
    </w:p>
    <w:p w14:paraId="18217D05" w14:textId="77777777" w:rsidR="004F4CDF" w:rsidRDefault="004F4CDF" w:rsidP="007C613A">
      <w:pPr>
        <w:spacing w:after="0" w:line="360" w:lineRule="auto"/>
        <w:rPr>
          <w:sz w:val="22"/>
          <w:szCs w:val="22"/>
        </w:rPr>
      </w:pPr>
    </w:p>
    <w:p w14:paraId="1324C54D" w14:textId="10D6B66F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1325647" w14:textId="7EE476AC" w:rsidR="002C72BB" w:rsidRDefault="002C72BB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CC65E8" w14:textId="77777777" w:rsidR="006B0F90" w:rsidRPr="009B3E7E" w:rsidRDefault="0002519A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699F0304" w:rsidR="0043032A" w:rsidRPr="0043032A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Předmětem této smlouvy je vymezení vzájemných práv a povinností smluvních stran při realizaci aktivit dílčího projektu v rámci projektu “Národní centrum kompetence Kybernetika a umělá inteligence“, r.č. TN01000024, podpořeného v rámci programu Národní centra kompetence 1 (dále jen jako „Projekt“) poskytovatele Technologická agentura ČR (dále jen jako „poskytovatel“).</w:t>
      </w:r>
    </w:p>
    <w:p w14:paraId="46763362" w14:textId="25224B8F" w:rsidR="0043032A" w:rsidRPr="0043032A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</w:t>
      </w:r>
      <w:r w:rsidRPr="00441405">
        <w:rPr>
          <w:sz w:val="22"/>
          <w:szCs w:val="22"/>
        </w:rPr>
        <w:t xml:space="preserve">projekt </w:t>
      </w:r>
      <w:r w:rsidR="00275038">
        <w:rPr>
          <w:b/>
          <w:sz w:val="22"/>
          <w:szCs w:val="22"/>
        </w:rPr>
        <w:t>Big data, security and data integrity</w:t>
      </w:r>
      <w:r w:rsidR="00DB3CEA">
        <w:rPr>
          <w:b/>
          <w:sz w:val="22"/>
          <w:szCs w:val="22"/>
        </w:rPr>
        <w:t xml:space="preserve"> in urbanism</w:t>
      </w:r>
      <w:r w:rsidR="00F52486">
        <w:t xml:space="preserve"> </w:t>
      </w:r>
      <w:r w:rsidR="00E23DC4" w:rsidRPr="001C231D">
        <w:rPr>
          <w:sz w:val="22"/>
          <w:szCs w:val="22"/>
        </w:rPr>
        <w:t>(TN01000024/</w:t>
      </w:r>
      <w:r w:rsidR="00F95F59" w:rsidRPr="001C231D">
        <w:rPr>
          <w:sz w:val="22"/>
          <w:szCs w:val="22"/>
        </w:rPr>
        <w:t>17)</w:t>
      </w:r>
      <w:r w:rsidR="00F95F59">
        <w:t xml:space="preserve"> </w:t>
      </w:r>
      <w:r w:rsidRPr="0043032A">
        <w:rPr>
          <w:sz w:val="22"/>
          <w:szCs w:val="22"/>
        </w:rPr>
        <w:t>je realizován pros</w:t>
      </w:r>
      <w:r w:rsidR="007D766D">
        <w:rPr>
          <w:sz w:val="22"/>
          <w:szCs w:val="22"/>
        </w:rPr>
        <w:t>třednictvím spolupráce s podnikem</w:t>
      </w:r>
      <w:r w:rsidRPr="0043032A">
        <w:rPr>
          <w:sz w:val="22"/>
          <w:szCs w:val="22"/>
        </w:rPr>
        <w:t xml:space="preserve"> formou kolaborativního výzkumu v souladu s čl. 2.2.2. Sdělení Komise 2014/C 198/01, Rámec pro státní podporu výzkumu, vývoje a inovací (dále jen jako Rámec“), dále jen „Dílčí projekt“.</w:t>
      </w:r>
    </w:p>
    <w:p w14:paraId="3F9E1815" w14:textId="2F8BECA7" w:rsidR="0043032A" w:rsidRPr="0043032A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14:paraId="2F0EC388" w14:textId="3D2CB42F" w:rsidR="0043032A" w:rsidRPr="0043032A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</w:t>
      </w:r>
      <w:r w:rsidR="001C231D">
        <w:rPr>
          <w:sz w:val="22"/>
          <w:szCs w:val="22"/>
        </w:rPr>
        <w:t xml:space="preserve">. </w:t>
      </w:r>
      <w:r w:rsidR="00E050AB">
        <w:rPr>
          <w:sz w:val="22"/>
          <w:szCs w:val="22"/>
        </w:rPr>
        <w:t>Partne</w:t>
      </w:r>
      <w:r w:rsidR="00CA4349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j</w:t>
      </w:r>
      <w:r w:rsidR="00CA4349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dle Smlouvy o účasti na řešení projektu a Zadávací dokumentace programu NCK</w:t>
      </w:r>
      <w:r w:rsidR="00CA4349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1 dalším účastník</w:t>
      </w:r>
      <w:r w:rsidR="00CA4349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Projektu typu podnik, kte</w:t>
      </w:r>
      <w:r w:rsidR="00CA4349">
        <w:rPr>
          <w:sz w:val="22"/>
          <w:szCs w:val="22"/>
        </w:rPr>
        <w:t>rý</w:t>
      </w:r>
      <w:r w:rsidRPr="0043032A">
        <w:rPr>
          <w:sz w:val="22"/>
          <w:szCs w:val="22"/>
        </w:rPr>
        <w:t xml:space="preserve"> v rámci řešení Dílčího projektu nem</w:t>
      </w:r>
      <w:r w:rsidR="00CA4349">
        <w:rPr>
          <w:sz w:val="22"/>
          <w:szCs w:val="22"/>
        </w:rPr>
        <w:t>á</w:t>
      </w:r>
      <w:r w:rsidRPr="0043032A">
        <w:rPr>
          <w:sz w:val="22"/>
          <w:szCs w:val="22"/>
        </w:rPr>
        <w:t xml:space="preserve"> dle podmínek programu NCK 1 nárok na finanční podporu (čl. 3.4.2.3 Zadávací dokumentace NCK 1, č.j.: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 vždy zavazují vynaložit na řešení Dílčího projektu náklady v souladu se stanoveným rozpočtem Dílčího projektu.</w:t>
      </w:r>
    </w:p>
    <w:p w14:paraId="64701371" w14:textId="64CC7E50" w:rsidR="0043032A" w:rsidRPr="0043032A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smlouvy je dále vymezení podmínek, za kterých se </w:t>
      </w:r>
      <w:r w:rsidR="008C332C">
        <w:rPr>
          <w:sz w:val="22"/>
          <w:szCs w:val="22"/>
        </w:rPr>
        <w:t>partner bude</w:t>
      </w:r>
      <w:r w:rsidRPr="0043032A">
        <w:rPr>
          <w:sz w:val="22"/>
          <w:szCs w:val="22"/>
        </w:rPr>
        <w:t xml:space="preserve"> podílet ve formě příspěvku k provádění Dílčího projektu a úprava práv k vzniklým výsledkům a k užití vzniklých výsledků.</w:t>
      </w:r>
    </w:p>
    <w:p w14:paraId="64B733B4" w14:textId="2B34EC90" w:rsidR="00174614" w:rsidRDefault="0043032A" w:rsidP="002C72BB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1084613C" w14:textId="419304FA" w:rsidR="002C72BB" w:rsidRDefault="002C72BB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032BDEB" w14:textId="77777777" w:rsidR="002C72BB" w:rsidRPr="0043032A" w:rsidRDefault="002C72BB" w:rsidP="002C72BB">
      <w:pPr>
        <w:pStyle w:val="Odstavecseseznamem"/>
        <w:widowControl w:val="0"/>
        <w:ind w:left="567"/>
        <w:rPr>
          <w:sz w:val="22"/>
          <w:szCs w:val="22"/>
        </w:rPr>
      </w:pPr>
    </w:p>
    <w:p w14:paraId="2B95C96C" w14:textId="256687F9" w:rsidR="002C72BB" w:rsidRDefault="002C72BB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>Form</w:t>
      </w:r>
      <w:r w:rsidR="007D766D">
        <w:rPr>
          <w:sz w:val="22"/>
          <w:szCs w:val="22"/>
        </w:rPr>
        <w:t>y příspěvku partnerského podniku</w:t>
      </w:r>
      <w:r>
        <w:rPr>
          <w:sz w:val="22"/>
          <w:szCs w:val="22"/>
        </w:rPr>
        <w:t xml:space="preserve"> do kolaborativního výzkumu</w:t>
      </w:r>
    </w:p>
    <w:p w14:paraId="2C5D0C6D" w14:textId="77777777" w:rsidR="002C72BB" w:rsidRDefault="002C72BB" w:rsidP="002C72BB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14:paraId="08B2836C" w14:textId="77777777" w:rsidR="002C72BB" w:rsidRDefault="002C72BB" w:rsidP="002C72BB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dílčího projektu kapacity svých zaměstnanců, započítávají se takto vynaložené osobní náklady jako příspěvek partnera na provádění Projektu. </w:t>
      </w:r>
    </w:p>
    <w:p w14:paraId="43688733" w14:textId="77777777" w:rsidR="002C72BB" w:rsidRDefault="002C72BB" w:rsidP="002C72BB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1C177583" w14:textId="77777777" w:rsidR="002C72BB" w:rsidRDefault="002C72BB" w:rsidP="002C72BB">
      <w:pPr>
        <w:pStyle w:val="Nadpis1"/>
        <w:keepNext w:val="0"/>
        <w:keepLines w:val="0"/>
        <w:widowControl w:val="0"/>
        <w:jc w:val="le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rFonts w:cstheme="minorHAnsi"/>
          <w:sz w:val="22"/>
          <w:szCs w:val="22"/>
        </w:rPr>
        <w:t>Plnění formou úhrady ostatních přímých a nepřímých nákladů partnerského podniku</w:t>
      </w:r>
    </w:p>
    <w:p w14:paraId="4B03EF17" w14:textId="77777777" w:rsidR="002C72BB" w:rsidRDefault="002C72BB" w:rsidP="002C72BB">
      <w:pPr>
        <w:pStyle w:val="Default"/>
        <w:widowControl w:val="0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že na základě dohody smluvních stran partnerský podnik vynaloží další provozní náklady vzniklé v přímé souvislosti s řešením projektu, kterými jsou materiál, služby a drobný hmotný a nehmotný majetek, započítávají se takto vynaložené přímé náklady jako příspěvek partnera na provádění Projektu. </w:t>
      </w:r>
    </w:p>
    <w:p w14:paraId="70F830A6" w14:textId="77777777" w:rsidR="002C72BB" w:rsidRDefault="002C72BB" w:rsidP="002C72BB">
      <w:pPr>
        <w:pStyle w:val="Defaul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Nepřímé náklady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jsou náklady vzniklé v přímé souvislosti s řešením projektu a jsou vykazovány v souladu se Všeobecnými podmínky TAČR metodou </w:t>
      </w:r>
      <w:r>
        <w:rPr>
          <w:rFonts w:asciiTheme="minorHAnsi" w:hAnsiTheme="minorHAnsi" w:cstheme="minorHAnsi"/>
          <w:bCs/>
          <w:sz w:val="22"/>
          <w:szCs w:val="22"/>
        </w:rPr>
        <w:t>„full cost“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>
        <w:rPr>
          <w:rFonts w:asciiTheme="minorHAnsi" w:hAnsiTheme="minorHAnsi" w:cstheme="minorHAnsi"/>
          <w:bCs/>
          <w:sz w:val="22"/>
          <w:szCs w:val="22"/>
        </w:rPr>
        <w:t>flat rate“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2D1ECE" w14:textId="77777777" w:rsidR="007C613A" w:rsidRPr="009B3E7E" w:rsidRDefault="007C613A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Projektu a ochrana informací</w:t>
      </w:r>
    </w:p>
    <w:p w14:paraId="6CAD21E5" w14:textId="77777777" w:rsidR="00F52486" w:rsidRDefault="007C613A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(dále jen „duševní vlastnictví“) v rámci Dílčího projektu je vždy majetkem strany, jejíž pracovníci toto duševní vlastnictví vytvořili. Pokud duševní vlastnictví při plnění úkolů v rámci Dílčího projektu prokazatelně vznikne spoluprací pracovníků více stran, pak se stává jejich společným majetkem, a to v takovém podílu, v jakém se na vytvoření duševního vlastnictví podíleli pracovníci každé 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stran na výsledku, platí, že jsou podíly úměrné podílu uznatelných nákladů spoluvlastníků na Dílčím projektu. </w:t>
      </w:r>
    </w:p>
    <w:p w14:paraId="045D0FA0" w14:textId="48FA30F2" w:rsidR="007C613A" w:rsidRPr="00F52486" w:rsidRDefault="007C613A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52486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52486">
        <w:rPr>
          <w:rFonts w:eastAsia="Times New Roman" w:cs="Times New Roman"/>
          <w:sz w:val="22"/>
          <w:szCs w:val="22"/>
        </w:rPr>
        <w:t xml:space="preserve"> </w:t>
      </w:r>
    </w:p>
    <w:p w14:paraId="66C5112A" w14:textId="489D9FF6" w:rsidR="00F52486" w:rsidRPr="00F52486" w:rsidRDefault="00E050AB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vzniklých jako výsledek Dílčího projektu. Má-li převodce těchto práv status výzkumné organizace, musí za převod podílu obdržet, v souladu s čl. 2.2.2. odst. 28 písm. d) Rámce, odměnu nejméně ve výši tržní ceny převáděného podílu, s odečtením hodn</w:t>
      </w:r>
      <w:r w:rsidR="00BA71DE">
        <w:rPr>
          <w:rFonts w:eastAsia="Times New Roman" w:cs="Times New Roman"/>
          <w:b w:val="0"/>
          <w:sz w:val="22"/>
          <w:szCs w:val="22"/>
        </w:rPr>
        <w:t>oty příspěvku podniku - partnera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s jejichž přispěním převáděná práva duševního vlastnictví vznikla.   </w:t>
      </w:r>
    </w:p>
    <w:p w14:paraId="5C9F6D66" w14:textId="439DE7D2" w:rsidR="00E050AB" w:rsidRPr="008F3616" w:rsidRDefault="00E050AB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lastRenderedPageBreak/>
        <w:t xml:space="preserve">Výsledky ve výlučném či společném vlastnictví smluvních stran je oprávněna samostatně a bezúplatně užívat každá smluvní strana, jíž svědčí právo k výsledku, a to ke všem účelům souvisejícím s předmětem jejího podnikání, resp. s její jinou činností. Úprava týkající se dělení příjmů z komerčního využití bude předmětem dohody spoluvlastníků daného výsledku Dílčího projektu uzavřené před započetím s takovým využitím výsledku. Další práva a povinnosti, v této smlouvě výslovně neupravená, týkající se výsledků Dílčího projektu/duševního vlastnictví se řídí ustanoveními Smlouvy o účasti na řešení projektu, zejména jejího čl. 8. </w:t>
      </w:r>
    </w:p>
    <w:p w14:paraId="38A3D553" w14:textId="77777777" w:rsidR="00F219CF" w:rsidRDefault="00E050AB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smlouvy, z ustanovení § 16 zákona č. 130/2002 Sb. a pravidla pro oblast veřejné podpory vyplývající z legislativy Evropské unie. </w:t>
      </w:r>
    </w:p>
    <w:p w14:paraId="797462F7" w14:textId="003B9FC2" w:rsidR="007C613A" w:rsidRDefault="00E050AB" w:rsidP="002C72BB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77777777" w:rsidR="007C613A" w:rsidRPr="009B3E7E" w:rsidRDefault="007C613A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>Kontrola průběhu řešení Projektu</w:t>
      </w:r>
    </w:p>
    <w:p w14:paraId="1BBAD2ED" w14:textId="77777777" w:rsidR="007C613A" w:rsidRPr="008F3616" w:rsidRDefault="007C613A" w:rsidP="002C72BB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2C72BB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Default="007C613A" w:rsidP="002C72BB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12851E97" w:rsidR="008F3616" w:rsidRPr="008F3616" w:rsidRDefault="008F3616" w:rsidP="002C72BB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smlouva se sjednává na dobu od její účinnosti po konec řešení Dílčího projektu, vyjma ustanovení čl. III, čl. </w:t>
      </w:r>
      <w:r w:rsidR="00A07806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A07806">
        <w:rPr>
          <w:rFonts w:eastAsia="Times New Roman" w:cs="Times New Roman"/>
          <w:b w:val="0"/>
          <w:sz w:val="22"/>
          <w:szCs w:val="22"/>
        </w:rPr>
        <w:t xml:space="preserve"> odst.</w:t>
      </w:r>
      <w:r w:rsidR="00C50BC3">
        <w:rPr>
          <w:rFonts w:eastAsia="Times New Roman" w:cs="Times New Roman"/>
          <w:b w:val="0"/>
          <w:sz w:val="22"/>
          <w:szCs w:val="22"/>
        </w:rPr>
        <w:t xml:space="preserve"> </w:t>
      </w:r>
      <w:r w:rsidR="00A07806">
        <w:rPr>
          <w:rFonts w:eastAsia="Times New Roman" w:cs="Times New Roman"/>
          <w:b w:val="0"/>
          <w:sz w:val="22"/>
          <w:szCs w:val="22"/>
        </w:rPr>
        <w:t>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smlouvy, která trvají po dobu neurčitou, pokud strany vzájemnou písemnou dohodou neurčí jinak.</w:t>
      </w:r>
    </w:p>
    <w:p w14:paraId="5B1DF39C" w14:textId="74AB45B4" w:rsidR="008F3616" w:rsidRPr="008F3616" w:rsidRDefault="008F3616" w:rsidP="002C72BB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oprávněny za doby trvání této smlouvy od smlouvy odstoupit v případě podstatného porušení povinnosti plynoucí z této smlouvy jinou smlu</w:t>
      </w:r>
      <w:r w:rsidR="00BA71DE">
        <w:rPr>
          <w:rFonts w:eastAsia="Times New Roman" w:cs="Times New Roman"/>
          <w:b w:val="0"/>
          <w:sz w:val="22"/>
          <w:szCs w:val="22"/>
        </w:rPr>
        <w:t xml:space="preserve">vní stranou, přičemž u partnera </w:t>
      </w:r>
      <w:r w:rsidRPr="008F3616">
        <w:rPr>
          <w:rFonts w:eastAsia="Times New Roman" w:cs="Times New Roman"/>
          <w:b w:val="0"/>
          <w:sz w:val="22"/>
          <w:szCs w:val="22"/>
        </w:rPr>
        <w:t>se za podstatné porušení povinnosti plynoucí ze smlouvy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smlouvy.</w:t>
      </w:r>
    </w:p>
    <w:p w14:paraId="271794B2" w14:textId="77777777" w:rsidR="008F3616" w:rsidRDefault="008F3616" w:rsidP="002C72BB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Odstoupení od smlouvy nabývá účinnosti, jakmile bylo doručeno ostatním smluvním stranám.</w:t>
      </w:r>
    </w:p>
    <w:p w14:paraId="75ACA4B4" w14:textId="7B378067" w:rsidR="002C72BB" w:rsidRDefault="002C72BB">
      <w:pPr>
        <w:spacing w:after="200" w:line="276" w:lineRule="auto"/>
        <w:jc w:val="left"/>
      </w:pPr>
      <w:r>
        <w:br w:type="page"/>
      </w:r>
    </w:p>
    <w:p w14:paraId="78F90A29" w14:textId="6F3459FB" w:rsidR="00AC062E" w:rsidRPr="009B3E7E" w:rsidRDefault="00AC062E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77777777" w:rsidR="00AC062E" w:rsidRPr="009B3E7E" w:rsidRDefault="00AC062E" w:rsidP="002C72BB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Právní vztahy, skutečnosti, události a spory smluvních stran, vznikající z této smlouvy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2C72BB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77777777" w:rsidR="006B0F90" w:rsidRPr="009B3E7E" w:rsidRDefault="006B0F90" w:rsidP="002C72BB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 a vývoje 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6B5FC3E" w:rsidR="008F3616" w:rsidRPr="008F3616" w:rsidRDefault="008F3616" w:rsidP="002C72BB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smlouvy v registru smluv; pro účely jejího uveřejnění nepovažují smluvní strany nic z obsahu této smlouvy ani z metadat k ní se vážících za vyloučené z uveřejnění, vyjma její přílohy č. 1, která uveřejněná nebude. Uveřejnění smlouvy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2C72BB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313ADD3F" w:rsidR="006B0F90" w:rsidRPr="00261706" w:rsidRDefault="006B0F90" w:rsidP="002C72BB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>Tato Smlouva je vyhotovena v</w:t>
      </w:r>
      <w:r w:rsidR="00441405">
        <w:rPr>
          <w:sz w:val="22"/>
          <w:szCs w:val="22"/>
        </w:rPr>
        <w:t>e</w:t>
      </w:r>
      <w:r w:rsidRPr="00261706">
        <w:rPr>
          <w:sz w:val="22"/>
          <w:szCs w:val="22"/>
        </w:rPr>
        <w:t xml:space="preserve"> </w:t>
      </w:r>
      <w:r w:rsidR="00F52486">
        <w:rPr>
          <w:sz w:val="22"/>
          <w:szCs w:val="22"/>
        </w:rPr>
        <w:t>2</w:t>
      </w:r>
      <w:r w:rsidR="004544EE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vyhotovení.</w:t>
      </w:r>
    </w:p>
    <w:p w14:paraId="0C9DC248" w14:textId="77777777" w:rsidR="006B0F90" w:rsidRDefault="006B0F90" w:rsidP="002C72BB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2C72BB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2C72BB">
      <w:pPr>
        <w:widowControl w:val="0"/>
        <w:rPr>
          <w:sz w:val="22"/>
          <w:szCs w:val="22"/>
        </w:rPr>
      </w:pPr>
    </w:p>
    <w:p w14:paraId="1B32F9CF" w14:textId="77777777" w:rsidR="007F5E4A" w:rsidRPr="009B3E7E" w:rsidRDefault="007F5E4A" w:rsidP="002C72BB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2C72BB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2C72BB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0FAF98CE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235126" w:rsidRPr="00235126">
        <w:rPr>
          <w:sz w:val="22"/>
          <w:szCs w:val="22"/>
        </w:rPr>
        <w:t>Big data, security and data integrity</w:t>
      </w:r>
      <w:r w:rsidR="00DB3CEA">
        <w:rPr>
          <w:sz w:val="22"/>
          <w:szCs w:val="22"/>
        </w:rPr>
        <w:t xml:space="preserve"> in urbanism</w:t>
      </w:r>
      <w:r w:rsidR="00235126" w:rsidRPr="00235126">
        <w:rPr>
          <w:sz w:val="22"/>
          <w:szCs w:val="22"/>
        </w:rP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610B330C" w14:textId="251213FF" w:rsidR="00F219CF" w:rsidRDefault="00F219CF" w:rsidP="00F219CF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235126" w:rsidRPr="00235126">
        <w:rPr>
          <w:sz w:val="22"/>
          <w:szCs w:val="22"/>
        </w:rPr>
        <w:t>Big data, security and data integrity</w:t>
      </w:r>
      <w:r w:rsidR="00DB3CEA">
        <w:rPr>
          <w:sz w:val="22"/>
          <w:szCs w:val="22"/>
        </w:rPr>
        <w:t xml:space="preserve"> in urbanism</w:t>
      </w:r>
      <w:r w:rsidR="00235126" w:rsidRPr="00235126">
        <w:rPr>
          <w:sz w:val="22"/>
          <w:szCs w:val="22"/>
        </w:rP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10C4226A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 w:rsidR="00235126">
        <w:rPr>
          <w:sz w:val="22"/>
          <w:szCs w:val="22"/>
        </w:rPr>
        <w:t>partnera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29F12609" w:rsidR="007C613A" w:rsidRDefault="007C613A" w:rsidP="00441405">
      <w:pPr>
        <w:spacing w:after="200" w:line="276" w:lineRule="auto"/>
        <w:jc w:val="left"/>
        <w:rPr>
          <w:sz w:val="22"/>
          <w:szCs w:val="22"/>
        </w:rPr>
      </w:pPr>
    </w:p>
    <w:sectPr w:rsidR="007C613A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6E4C" w14:textId="77777777" w:rsidR="004C15B7" w:rsidRDefault="004C15B7" w:rsidP="006B0F90">
      <w:r>
        <w:separator/>
      </w:r>
    </w:p>
  </w:endnote>
  <w:endnote w:type="continuationSeparator" w:id="0">
    <w:p w14:paraId="04A37971" w14:textId="77777777" w:rsidR="004C15B7" w:rsidRDefault="004C15B7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4C15B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4307B7C6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3618">
      <w:rPr>
        <w:rStyle w:val="slostrnky"/>
        <w:noProof/>
      </w:rPr>
      <w:t>7</w:t>
    </w:r>
    <w:r>
      <w:rPr>
        <w:rStyle w:val="slostrnky"/>
      </w:rPr>
      <w:fldChar w:fldCharType="end"/>
    </w:r>
  </w:p>
  <w:p w14:paraId="2BFC16DC" w14:textId="77777777" w:rsidR="009E5FFE" w:rsidRDefault="004C15B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2422" w14:textId="77777777" w:rsidR="009A3618" w:rsidRDefault="009A36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4DC5" w14:textId="77777777" w:rsidR="004C15B7" w:rsidRDefault="004C15B7" w:rsidP="006B0F90">
      <w:r>
        <w:separator/>
      </w:r>
    </w:p>
  </w:footnote>
  <w:footnote w:type="continuationSeparator" w:id="0">
    <w:p w14:paraId="2B76B88B" w14:textId="77777777" w:rsidR="004C15B7" w:rsidRDefault="004C15B7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DA607" w14:textId="77777777" w:rsidR="009A3618" w:rsidRDefault="009A36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56AC" w14:textId="77777777" w:rsidR="009A3618" w:rsidRDefault="009A36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519A"/>
    <w:rsid w:val="000566E4"/>
    <w:rsid w:val="000D274C"/>
    <w:rsid w:val="000E46DB"/>
    <w:rsid w:val="000F20A8"/>
    <w:rsid w:val="001012F3"/>
    <w:rsid w:val="00107944"/>
    <w:rsid w:val="00144130"/>
    <w:rsid w:val="00147314"/>
    <w:rsid w:val="00147967"/>
    <w:rsid w:val="00160746"/>
    <w:rsid w:val="00174614"/>
    <w:rsid w:val="001C231D"/>
    <w:rsid w:val="001D5F46"/>
    <w:rsid w:val="001E4E2A"/>
    <w:rsid w:val="001F4958"/>
    <w:rsid w:val="001F6247"/>
    <w:rsid w:val="00211DDC"/>
    <w:rsid w:val="00213FDA"/>
    <w:rsid w:val="002256EF"/>
    <w:rsid w:val="00235126"/>
    <w:rsid w:val="002421EB"/>
    <w:rsid w:val="00247F8B"/>
    <w:rsid w:val="00261706"/>
    <w:rsid w:val="00262B1C"/>
    <w:rsid w:val="00275038"/>
    <w:rsid w:val="002767F6"/>
    <w:rsid w:val="00283806"/>
    <w:rsid w:val="00286F23"/>
    <w:rsid w:val="00291DEE"/>
    <w:rsid w:val="00293C61"/>
    <w:rsid w:val="002A74F8"/>
    <w:rsid w:val="002C66B1"/>
    <w:rsid w:val="002C72BB"/>
    <w:rsid w:val="002F2BEA"/>
    <w:rsid w:val="003371BA"/>
    <w:rsid w:val="003426CA"/>
    <w:rsid w:val="00351697"/>
    <w:rsid w:val="00362E99"/>
    <w:rsid w:val="00384C12"/>
    <w:rsid w:val="003D5554"/>
    <w:rsid w:val="003F2AB9"/>
    <w:rsid w:val="00415126"/>
    <w:rsid w:val="004167C0"/>
    <w:rsid w:val="0043032A"/>
    <w:rsid w:val="00441405"/>
    <w:rsid w:val="004544EE"/>
    <w:rsid w:val="0047476A"/>
    <w:rsid w:val="00496304"/>
    <w:rsid w:val="004C15B7"/>
    <w:rsid w:val="004D7BED"/>
    <w:rsid w:val="004E0EF4"/>
    <w:rsid w:val="004F4CDF"/>
    <w:rsid w:val="0052333F"/>
    <w:rsid w:val="00524977"/>
    <w:rsid w:val="0052706F"/>
    <w:rsid w:val="00536534"/>
    <w:rsid w:val="00551424"/>
    <w:rsid w:val="00561049"/>
    <w:rsid w:val="005B1836"/>
    <w:rsid w:val="005C35EC"/>
    <w:rsid w:val="005D17D8"/>
    <w:rsid w:val="005D3090"/>
    <w:rsid w:val="005D6DF0"/>
    <w:rsid w:val="005E4618"/>
    <w:rsid w:val="006035DC"/>
    <w:rsid w:val="006340D8"/>
    <w:rsid w:val="0065198D"/>
    <w:rsid w:val="0068082B"/>
    <w:rsid w:val="006B0F90"/>
    <w:rsid w:val="006B1CA0"/>
    <w:rsid w:val="006C36D6"/>
    <w:rsid w:val="006C3E28"/>
    <w:rsid w:val="006D1F3A"/>
    <w:rsid w:val="007078F3"/>
    <w:rsid w:val="00707C46"/>
    <w:rsid w:val="007162FD"/>
    <w:rsid w:val="00730F9A"/>
    <w:rsid w:val="00733265"/>
    <w:rsid w:val="007365FC"/>
    <w:rsid w:val="00746992"/>
    <w:rsid w:val="007747D4"/>
    <w:rsid w:val="007924ED"/>
    <w:rsid w:val="007A3257"/>
    <w:rsid w:val="007B7D5F"/>
    <w:rsid w:val="007C0366"/>
    <w:rsid w:val="007C11D0"/>
    <w:rsid w:val="007C306A"/>
    <w:rsid w:val="007C613A"/>
    <w:rsid w:val="007D6D12"/>
    <w:rsid w:val="007D766D"/>
    <w:rsid w:val="007E2668"/>
    <w:rsid w:val="007E7567"/>
    <w:rsid w:val="007F5B23"/>
    <w:rsid w:val="007F5E4A"/>
    <w:rsid w:val="00810028"/>
    <w:rsid w:val="00843AD3"/>
    <w:rsid w:val="008453A7"/>
    <w:rsid w:val="00846E4F"/>
    <w:rsid w:val="00855B5F"/>
    <w:rsid w:val="00865F31"/>
    <w:rsid w:val="00867CE8"/>
    <w:rsid w:val="008936E7"/>
    <w:rsid w:val="008A570E"/>
    <w:rsid w:val="008B0F7C"/>
    <w:rsid w:val="008B338A"/>
    <w:rsid w:val="008C332C"/>
    <w:rsid w:val="008C65F7"/>
    <w:rsid w:val="008E3972"/>
    <w:rsid w:val="008E6804"/>
    <w:rsid w:val="008F3616"/>
    <w:rsid w:val="008F3FCB"/>
    <w:rsid w:val="008F7141"/>
    <w:rsid w:val="00941A7C"/>
    <w:rsid w:val="0094515C"/>
    <w:rsid w:val="00960A9F"/>
    <w:rsid w:val="009869BD"/>
    <w:rsid w:val="0099640B"/>
    <w:rsid w:val="009A3618"/>
    <w:rsid w:val="009A3D74"/>
    <w:rsid w:val="009B3E7E"/>
    <w:rsid w:val="009E2CD4"/>
    <w:rsid w:val="00A07806"/>
    <w:rsid w:val="00A30CD0"/>
    <w:rsid w:val="00A32D8F"/>
    <w:rsid w:val="00A84EC7"/>
    <w:rsid w:val="00A85252"/>
    <w:rsid w:val="00A85C34"/>
    <w:rsid w:val="00AA29B7"/>
    <w:rsid w:val="00AC062E"/>
    <w:rsid w:val="00AC605F"/>
    <w:rsid w:val="00AD40DC"/>
    <w:rsid w:val="00B02DF3"/>
    <w:rsid w:val="00B453E8"/>
    <w:rsid w:val="00B5073D"/>
    <w:rsid w:val="00B55359"/>
    <w:rsid w:val="00B74F53"/>
    <w:rsid w:val="00BA451E"/>
    <w:rsid w:val="00BA71DE"/>
    <w:rsid w:val="00BB6812"/>
    <w:rsid w:val="00BC5DC0"/>
    <w:rsid w:val="00C12FA4"/>
    <w:rsid w:val="00C24C7D"/>
    <w:rsid w:val="00C50BC3"/>
    <w:rsid w:val="00C75C2D"/>
    <w:rsid w:val="00C92097"/>
    <w:rsid w:val="00CA4349"/>
    <w:rsid w:val="00CB14C5"/>
    <w:rsid w:val="00D027D7"/>
    <w:rsid w:val="00D02FC0"/>
    <w:rsid w:val="00D31A55"/>
    <w:rsid w:val="00D548DD"/>
    <w:rsid w:val="00D64623"/>
    <w:rsid w:val="00D710A2"/>
    <w:rsid w:val="00DB3CEA"/>
    <w:rsid w:val="00DC1237"/>
    <w:rsid w:val="00DD7151"/>
    <w:rsid w:val="00DF30C4"/>
    <w:rsid w:val="00E050AB"/>
    <w:rsid w:val="00E2065D"/>
    <w:rsid w:val="00E23DC4"/>
    <w:rsid w:val="00E53910"/>
    <w:rsid w:val="00E62F58"/>
    <w:rsid w:val="00E67217"/>
    <w:rsid w:val="00ED2821"/>
    <w:rsid w:val="00ED5714"/>
    <w:rsid w:val="00EF7E53"/>
    <w:rsid w:val="00F0576B"/>
    <w:rsid w:val="00F219CF"/>
    <w:rsid w:val="00F52486"/>
    <w:rsid w:val="00F54579"/>
    <w:rsid w:val="00F60C96"/>
    <w:rsid w:val="00F641C7"/>
    <w:rsid w:val="00F67149"/>
    <w:rsid w:val="00F830FA"/>
    <w:rsid w:val="00F95F59"/>
    <w:rsid w:val="00FC62FF"/>
    <w:rsid w:val="00FE49B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65E9-FA2F-443B-9E2E-65FCCE4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1690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2019-07-15T12:32:00Z</dcterms:created>
  <dcterms:modified xsi:type="dcterms:W3CDTF">2019-07-15T12:32:00Z</dcterms:modified>
</cp:coreProperties>
</file>