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1578" w:left="1049" w:right="609" w:bottom="1574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922"/>
        <w:gridCol w:w="8190"/>
      </w:tblGrid>
      <w:tr>
        <w:trPr>
          <w:trHeight w:val="132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auto"/>
              <w:ind w:left="0" w:right="0" w:firstLine="82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DODATEK Č. 1 k SMLOUVĚ O DÍLO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Vypracování projektové dokumentace „III/41020 Lovčovice - most ev. č. 41020-1“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25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objednatele: 21/2019/PD/D2/VZMR/TR/sl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zhotovitele:</w:t>
      </w:r>
    </w:p>
    <w:p>
      <w:pPr>
        <w:widowControl w:val="0"/>
        <w:spacing w:after="35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59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4203700</wp:posOffset>
                </wp:positionV>
                <wp:extent cx="6421120" cy="72009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21120" cy="72009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922"/>
                              <w:gridCol w:w="8190"/>
                            </w:tblGrid>
                            <w:tr>
                              <w:trPr>
                                <w:tblHeader/>
                                <w:trHeight w:val="857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Zhotovitel: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57" w:lineRule="auto"/>
                                    <w:ind w:left="0" w:right="0" w:firstLine="16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Ing. Jan Šedivý</w:t>
                                  </w:r>
                                </w:p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57" w:lineRule="auto"/>
                                    <w:ind w:left="160" w:right="0" w:firstLine="2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fyzická osoba podnikající dle živnostenského zákona nezapsaná v obchodním rejstříku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se sídlem: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60" w:right="0" w:firstLine="2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Bratrská 1091/14, Lipník nad Bečvou I-Město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5.049999999999997pt;margin-top:331.pt;width:505.60000000000002pt;height:56.700000000000003pt;z-index:-125829375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922"/>
                        <w:gridCol w:w="8190"/>
                      </w:tblGrid>
                      <w:tr>
                        <w:trPr>
                          <w:tblHeader/>
                          <w:trHeight w:val="857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16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 Šedivý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160" w:right="0" w:firstLine="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fyzická osoba podnikající dle živnostenského zákona nezapsaná v obchodním rejstříku</w:t>
                            </w:r>
                          </w:p>
                        </w:tc>
                      </w:tr>
                      <w:tr>
                        <w:trPr>
                          <w:trHeight w:val="277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" w:right="0" w:firstLine="2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Bratrská 1091/14, Lipník nad Bečvou I-Město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vypracování projektových dokumentací dle § 37 odst. 1 písm. c) zákona č. 134/2016 Sb., o zadávání veřejných zakázek, v platném a účinném znění (dále jen „ZZVZ“), vydanými dle § 1751 a násl. OZ.</w:t>
      </w:r>
    </w:p>
    <w:tbl>
      <w:tblPr>
        <w:tblOverlap w:val="never"/>
        <w:jc w:val="center"/>
        <w:tblLayout w:type="fixed"/>
      </w:tblPr>
      <w:tblGrid>
        <w:gridCol w:w="1922"/>
        <w:gridCol w:w="8190"/>
      </w:tblGrid>
      <w:tr>
        <w:trPr>
          <w:trHeight w:val="12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Objednatel: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Článek 1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27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tabs>
          <w:tab w:pos="2099" w:val="left"/>
        </w:tabs>
        <w:bidi w:val="0"/>
        <w:spacing w:before="0" w:after="0" w:line="240" w:lineRule="auto"/>
        <w:ind w:left="22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Janem Míkou, MBA, ředitelem organizace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objednatele ve věcech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22"/>
        <w:gridCol w:w="8190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2376" w:val="left"/>
              </w:tabs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„</w:t>
              <w:tab/>
              <w:t>ředitel organizace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22"/>
        <w:gridCol w:w="8190"/>
      </w:tblGrid>
      <w:tr>
        <w:trPr>
          <w:trHeight w:val="5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4181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  <w:tab/>
              <w:t>'</w:t>
            </w:r>
          </w:p>
        </w:tc>
      </w:tr>
      <w:tr>
        <w:trPr>
          <w:trHeight w:val="5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Telefon: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Fax: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4340" w:val="left"/>
                <w:tab w:pos="5484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  <w:tab/>
              <w:t>\č.k-</w:t>
              <w:tab/>
              <w:t>_JL--—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617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^Objednateli)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751 31 Lipník nad Bečvou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zapsán v živnostenském rejstříku vedeném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ŽÚ Městský úřad Lipník n. Bečvou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zhotovitele ve věcech smluvních: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technických: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690245" distL="118745" distR="114300" simplePos="0" relativeHeight="125829380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165100</wp:posOffset>
                </wp:positionV>
                <wp:extent cx="6421120" cy="21018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21120" cy="21018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922"/>
                              <w:gridCol w:w="8190"/>
                            </w:tblGrid>
                            <w:tr>
                              <w:trPr>
                                <w:tblHeader/>
                                <w:trHeight w:val="331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47187441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5.049999999999997pt;margin-top:13.pt;width:505.60000000000002pt;height:16.550000000000001pt;z-index:-125829373;mso-wrap-distance-left:9.3499999999999996pt;mso-wrap-distance-right:9.pt;mso-wrap-distance-bottom:54.350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922"/>
                        <w:gridCol w:w="8190"/>
                      </w:tblGrid>
                      <w:tr>
                        <w:trPr>
                          <w:tblHeader/>
                          <w:trHeight w:val="331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47187441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340995</wp:posOffset>
                </wp:positionV>
                <wp:extent cx="1433195" cy="72453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3195" cy="724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(dále jen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,Zhotovitel")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4.700000000000003pt;margin-top:26.850000000000001pt;width:112.84999999999999pt;height:57.049999999999997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(dále jen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,Zhotovitel")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účtu: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„Smluvnístrany“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„Smluvnístrana“)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9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tomto Dodatku č. 1 z důvodu sloučení DÚR a DSP.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5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této souvislosti se pro tuto akci v Článku 6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Placení a fakturace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odst. 6.1.1. a 6.1.2. smlouvy o dílo č. 21/2019/PD/D2/VZMR/TR/sl upraven tímto způsobem: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9" w:val="left"/>
        </w:tabs>
        <w:bidi w:val="0"/>
        <w:spacing w:before="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Předáním kompletní projektové dokumentace ve stupni pro vydání územního rozhodnutí (DÚR) a zajištěním pravomocného územního rozhodnutí (ÚR), včetně všech požadovaných příloh, dokladů, odsouhlasené objednatelem bez výhrad ve formě a v počtu sjednaném v této smlouvě; strany se dohodly, že objednatel zaplatí cenu za tuto část díla na základě daňového dokladu vystaveného zhotovitelem ve lhůtě splatnosti 30 dnů od doručení.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9" w:val="left"/>
        </w:tabs>
        <w:bidi w:val="0"/>
        <w:spacing w:before="0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Předáním kompletní dokumentace pro stavební povolení (DSP), včetně všech požadovaných příloh, dokladů a vyjádření, odsouhlasené objednatelem bez výhrad ve formě a v počtu sjednaném v této smlouvě; strany se dohodly, že objednatel zaplatí cenu za tuto část díla na základě daňového dokladu vystaveného zhotovitelem ve lhůtě splatnosti 30 dnů od doručení, a to do výše 80 % celkové ceny této části díla, a 20 % z celkové ceny této části díla bez DPH uhradí objednatel zhotoviteli do 14 dnů po zajištění pravomocného stavebního povolení (SP) pro projektovanou stavbu. Tato pozastávka může být započtena v případě náhrady škody související s odstraňováním vad projektové dokumentace nebo v případě smluvní pokuty sjednané ve smlouvě o dílo.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89" w:val="left"/>
        </w:tabs>
        <w:bidi w:val="0"/>
        <w:spacing w:before="0" w:after="480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Předáním kompletní dokumentace pro vydání společného povolení stavby (DÚSP), včetně všech požadovaných příloh, dokladů a vyjádření, odsouhlasené objednatelem bez výhrad ve formě a v počtu sjednaném v této smlouvě; strany se dohodly, že objednatel zaplatí cenu za tuto část díla na základě daňového dokladu vystaveného zhotovitelem ve lhůtě splatnosti 30 dnů od doručení, a to do výše 80 % celkové ceny této části díla, a 20 % z celkové ceny této části díla bez DPH uhradí objednatel zhotoviteli do 14 dnů po zajištění pravomocného společného povolení (SP), kterým se stavba umísťuje a povoluje, pro projektovanou stavbu. Tato pozastávka může být započtena v případě náhrady škody související s odstraňováním vad projektové dokumentace nebo v případě smluvní pokuty sjednané ve smlouvě o dílo.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1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7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pokuty odst. 7.2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úpraven tímto způsobem: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1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je povinen zaplatit objednateli smluvní pokutu za prodlení s termínem odevzdání konceptu DÚR, dokumentace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DÚR,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včetně všech požadovaných příloh, dokladů, odsouhlasené objednatelem bez výhrad ve formě a v počtu sjednaném v této smlouvě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 prodlení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0,2 %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ceny díla včetně DPH uvedené v čl. 4 této smlouvy, a to za každý započatý den prodlení.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68" w:val="left"/>
        </w:tabs>
        <w:bidi w:val="0"/>
        <w:spacing w:before="0" w:line="257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zaplatit objednateli smluvní pokutu za prodlení s termínem odevzdání konceptu DSP, dokumentace DSP, včetně všech požadovaných příloh, dokladů a vyjádření, odsouhlasené objednatelem bez výhrad ve formě a v počtu sjednaném v této smlouvě ve výši 0,2 % z ceny díla včetně DPH uvedené v čl. 4 této smlouvy, a to za každý započatý den prodlení.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420" w:right="0" w:hanging="4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7.2.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je povinen zaplatit objednateli smluvní pokutu za prodlení s termínem odevzdání konceptu DÚSP, dokumentace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DÚSP,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včetně všech požadovaných příloh, dokladů a vyjádření, odsouhlasené objednatelem bez výhrad ve formě a v počtu sjednaném v této smlouvě ve výši 0,2 % z ceny díla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včetně DPH uvedené v čl. 4 této smlouvy, a to za každý započatý den prodlení.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Příloze č. 4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Kalkulaci projekčních prací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pol. č. 3 a 4 bude upravena tímto způsobem: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Pol. č. 2 - Vypracování projektové dokumentace pro územní rozhodnutí (DÚR) v rozsahu dle technických podmínek v zadávací dokumentaci včetně zajištění pravomocného územního rozhodnutí Cena v Kč bez DPH 100 000.00 Kč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Pol. č. 3 - Vypracování projektové dokumentace pro stavební povolení (DSP) v rozsahu dle technických podmínek v zadávací dokumentaci včetně zajištění pravomocného stavebního povolení - Cena v Kč bez DPH 91 000.00 Kč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6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8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Pol. č. 2 - Vypracování projektové dokumentace pro územní a stavební povolení (DÚSP) v rozsahu dle technických podmínek v zadávací dokumentaci včetně zajištění pravomocného společného povolení, kterým se stavba umísťuje a povoluje - Cena v Kč bez DPH 191 000.00 Kč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3" w:val="left"/>
        </w:tabs>
        <w:bidi w:val="0"/>
        <w:spacing w:before="0" w:after="120" w:line="240" w:lineRule="auto"/>
        <w:ind w:left="9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návaznosti na prodloužení řešeného úseku dochází i k prodloužení termínů tímto způsobem: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20" w:val="left"/>
        </w:tabs>
        <w:bidi w:val="0"/>
        <w:spacing w:before="0" w:after="0" w:line="240" w:lineRule="auto"/>
        <w:ind w:left="9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Příloze č. 3 - Technické podmínky PD, a to vždy v příslušné jejich části Lhůty plnění:</w:t>
      </w:r>
    </w:p>
    <w:tbl>
      <w:tblPr>
        <w:tblOverlap w:val="never"/>
        <w:jc w:val="center"/>
        <w:tblLayout w:type="fixed"/>
      </w:tblPr>
      <w:tblGrid>
        <w:gridCol w:w="5105"/>
        <w:gridCol w:w="5101"/>
      </w:tblGrid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DÚR (koncept)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90 dnů od nabytí účinnosti smlouvy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DÚR (čistopis, včetně IČ a projednání s DOSS, odsouhlasená objednatelem)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45 dnů od předání konceptu DÚR</w:t>
            </w:r>
          </w:p>
        </w:tc>
      </w:tr>
      <w:tr>
        <w:trPr>
          <w:trHeight w:val="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územní rozhodnutí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15 dnů od předání podkladů majetkoprávní přípravy k ÚŘ zadavatelem</w:t>
            </w:r>
          </w:p>
        </w:tc>
      </w:tr>
      <w:tr>
        <w:trPr>
          <w:trHeight w:val="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DSP (koncept)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60 dnů od podání žádosti o ÚR</w:t>
            </w:r>
          </w:p>
        </w:tc>
      </w:tr>
      <w:tr>
        <w:trPr>
          <w:trHeight w:val="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DSP (čistopis, včetně IČ a projednání s DOSS, odsouhlasená objednatelem)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60 dnů od předání konceptu DSP</w:t>
            </w:r>
          </w:p>
        </w:tc>
      </w:tr>
      <w:tr>
        <w:trPr>
          <w:trHeight w:val="6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stavební povolení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15 dnů od předání podkladů majetkoprávní přípravy k SŘ zadavatelem</w:t>
            </w:r>
          </w:p>
        </w:tc>
      </w:tr>
    </w:tbl>
    <w:p>
      <w:pPr>
        <w:widowControl w:val="0"/>
        <w:spacing w:after="79" w:line="1" w:lineRule="exact"/>
      </w:pPr>
    </w:p>
    <w:p>
      <w:pPr>
        <w:widowControl w:val="0"/>
        <w:spacing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zněním:</w:t>
      </w:r>
    </w:p>
    <w:tbl>
      <w:tblPr>
        <w:tblOverlap w:val="never"/>
        <w:jc w:val="center"/>
        <w:tblLayout w:type="fixed"/>
      </w:tblPr>
      <w:tblGrid>
        <w:gridCol w:w="5105"/>
        <w:gridCol w:w="5105"/>
      </w:tblGrid>
      <w:tr>
        <w:trPr>
          <w:trHeight w:val="4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DÚSP (koncept)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195 dnů od nabytí účinnosti smlouvy</w:t>
            </w:r>
          </w:p>
        </w:tc>
      </w:tr>
      <w:tr>
        <w:trPr>
          <w:trHeight w:val="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DÚSP (čistopis, včetně IČ a projednání s DOSS, odsouhlasená objednatelem)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60 dnů od předání konceptu DÚSP</w:t>
            </w:r>
          </w:p>
        </w:tc>
      </w:tr>
      <w:tr>
        <w:trPr>
          <w:trHeight w:val="6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sloučené územní rozhodnutí a stavební povolení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15 dnů od předání podkladů majetkoprávní přípravy k ÚSR zadavatelem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ujednání nedotčené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Dodatkem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zůstávají v platnosti a v původním znění.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1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98" w:val="left"/>
        </w:tabs>
        <w:bidi w:val="0"/>
        <w:spacing w:before="0" w:after="120" w:line="257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78" w:left="1049" w:right="609" w:bottom="157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nedílnou součástí Smlouvy o dílo č. objednatele 2 l/2019/PD/D2/VZMR/TR/sl uzavřené dne 8. 3. 2019 podle ustanovení § 2586 a násl. OZ a dále Obchodními podmínkami zadavatele 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698" w:val="left"/>
        </w:tabs>
        <w:bidi w:val="0"/>
        <w:spacing w:before="0" w:after="12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veřejné zakázky na vypracování projektových dokumentací dle § 37 odst. 1 písm. c) ZZVZ, vydanými dle § 1751 anásI.OZ.</w:t>
      </w:r>
    </w:p>
    <w:p>
      <w:pPr>
        <w:pStyle w:val="Style1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96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ve čtyřech stejnopisech, z nichž dva výtisky obdrží objednatel a 2 zhotovitel.</w:t>
      </w:r>
    </w:p>
    <w:p>
      <w:pPr>
        <w:pStyle w:val="Style1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96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1 nabývá platnosti dnem podpisu a účinnosti dnem uveřejnění v informačním systému veřejné správy - Registru smluv.</w:t>
      </w:r>
    </w:p>
    <w:p>
      <w:pPr>
        <w:pStyle w:val="Style1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96" w:val="left"/>
        </w:tabs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1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96" w:val="left"/>
        </w:tabs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1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1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96" w:val="left"/>
        </w:tabs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Zápis ze vstupního výrobního výboru ze dne 12. 6. 2019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35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</w:t>
        <w:tab/>
        <w:t>Zápis ze vstupního výrobního výboru ze dne 12. 6. 2019</w:t>
      </w:r>
    </w:p>
    <w:p>
      <w:pPr>
        <w:widowControl w:val="0"/>
        <w:spacing w:line="1" w:lineRule="exact"/>
        <w:sectPr>
          <w:headerReference w:type="default" r:id="rId7"/>
          <w:footerReference w:type="default" r:id="rId8"/>
          <w:headerReference w:type="even" r:id="rId9"/>
          <w:footerReference w:type="even" r:id="rId10"/>
          <w:headerReference w:type="first" r:id="rId11"/>
          <w:footerReference w:type="first" r:id="rId12"/>
          <w:footnotePr>
            <w:pos w:val="pageBottom"/>
            <w:numFmt w:val="decimal"/>
            <w:numRestart w:val="continuous"/>
          </w:footnotePr>
          <w:pgSz w:w="11900" w:h="16840"/>
          <w:pgMar w:top="1578" w:left="1049" w:right="609" w:bottom="1574" w:header="0" w:footer="3" w:gutter="0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423545" distB="0" distL="0" distR="0" simplePos="0" relativeHeight="125829382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423545</wp:posOffset>
                </wp:positionV>
                <wp:extent cx="1700530" cy="692785"/>
                <wp:wrapTopAndBottom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0530" cy="692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Olomouci dne: 3. 7. 2019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56.600000000000001pt;margin-top:33.350000000000001pt;width:133.90000000000001pt;height:54.549999999999997pt;z-index:-125829371;mso-wrap-distance-left:0;mso-wrap-distance-top:33.3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Olomouci dne: 3. 7. 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9100" distB="502920" distL="0" distR="0" simplePos="0" relativeHeight="125829384" behindDoc="0" locked="0" layoutInCell="1" allowOverlap="1">
                <wp:simplePos x="0" y="0"/>
                <wp:positionH relativeFrom="page">
                  <wp:posOffset>3777615</wp:posOffset>
                </wp:positionH>
                <wp:positionV relativeFrom="paragraph">
                  <wp:posOffset>419100</wp:posOffset>
                </wp:positionV>
                <wp:extent cx="731520" cy="194310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1520" cy="19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297.44999999999999pt;margin-top:33.pt;width:57.600000000000001pt;height:15.300000000000001pt;z-index:-125829369;mso-wrap-distance-left:0;mso-wrap-distance-top:33.pt;mso-wrap-distance-right:0;mso-wrap-distance-bottom:39.60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22020" distB="6985" distL="0" distR="0" simplePos="0" relativeHeight="125829386" behindDoc="0" locked="0" layoutInCell="1" allowOverlap="1">
                <wp:simplePos x="0" y="0"/>
                <wp:positionH relativeFrom="page">
                  <wp:posOffset>3782060</wp:posOffset>
                </wp:positionH>
                <wp:positionV relativeFrom="paragraph">
                  <wp:posOffset>922020</wp:posOffset>
                </wp:positionV>
                <wp:extent cx="887095" cy="187325"/>
                <wp:wrapTopAndBottom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7095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297.80000000000001pt;margin-top:72.599999999999994pt;width:69.849999999999994pt;height:14.75pt;z-index:-125829367;mso-wrap-distance-left:0;mso-wrap-distance-top:72.599999999999994pt;mso-wrap-distance-right:0;mso-wrap-distance-bottom:0.55000000000000004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05180" distB="105410" distL="0" distR="0" simplePos="0" relativeHeight="125829388" behindDoc="0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805180</wp:posOffset>
                </wp:positionV>
                <wp:extent cx="754380" cy="205740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4380" cy="2057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1 1 07. 7019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375.75pt;margin-top:63.399999999999999pt;width:59.399999999999999pt;height:16.199999999999999pt;z-index:-125829365;mso-wrap-distance-left:0;mso-wrap-distance-top:63.399999999999999pt;mso-wrap-distance-right:0;mso-wrap-distance-bottom:8.3000000000000007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1 1 07. 7019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3" w:after="4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67" w:left="0" w:right="0" w:bottom="217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1731645</wp:posOffset>
                </wp:positionH>
                <wp:positionV relativeFrom="paragraph">
                  <wp:posOffset>12700</wp:posOffset>
                </wp:positionV>
                <wp:extent cx="960120" cy="374650"/>
                <wp:wrapSquare wrapText="right"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 Šedivý</w:t>
                              <w:br/>
                              <w:t>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136.34999999999999pt;margin-top:1.pt;width:75.599999999999994pt;height:29.5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Jan Šedivý</w:t>
                        <w:br/>
                        <w:t>jednatel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Jan Mika, MBA</w:t>
        <w:br/>
        <w:t>ředitel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111/41020 Lovčovice - most ev. č. 41020-1</w:t>
      </w:r>
      <w:bookmarkEnd w:id="0"/>
      <w:bookmarkEnd w:id="1"/>
    </w:p>
    <w:p>
      <w:pPr>
        <w:pStyle w:val="Style2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Zápis ze vstupního výrobního výboru konaného dne 12. 6. 2019</w:t>
      </w:r>
      <w:bookmarkEnd w:id="2"/>
      <w:bookmarkEnd w:id="3"/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konání: Krajská správa a údržba silnic Vysočiny, Kosovská 16, 586 01 Jihlava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pos="1350" w:val="left"/>
        </w:tabs>
        <w:bidi w:val="0"/>
        <w:spacing w:before="0" w:after="5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Přítomní:</w:t>
        <w:tab/>
        <w:t>dle prezenční listiny</w:t>
      </w:r>
    </w:p>
    <w:p>
      <w:pPr>
        <w:pStyle w:val="Style2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9" w:val="left"/>
        </w:tabs>
        <w:bidi w:val="0"/>
        <w:spacing w:before="0" w:after="0"/>
        <w:ind w:left="72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most bude na základě závěrů diagnostického průzkumu nahrazen novým mostním objektem. Předmětem projekčních prací je tedy návrh nového mostního objektu včetně navázání na stávající vozovku.</w:t>
      </w:r>
    </w:p>
    <w:p>
      <w:pPr>
        <w:pStyle w:val="Style2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9" w:val="left"/>
        </w:tabs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 informoval objednatele o pracích provedených v rámci projektu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byl zjištěn průběh inženýrských sítí-v místě mostu se žádné nenachází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3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(kromě betonové trouby DN 300 u lovČovické opěry, jedná se patrně o vyústění kanalizace znejbližšího domu, při stavbě nového mostu bude zachováno, nebude kolidovat s navrhovaným řešením)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bylo provedeno geodetické zaměření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byl proveden inženýrskogeologický průzkum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byly zjištěny návrhové průtoky vodního toku pod mostem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 bylo provedeno posouzení vlivu mostu na odtokové poměry (hydrotechnický výpočet) přímo správcem toku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■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Povodí Moravy s. p.</w:t>
      </w:r>
    </w:p>
    <w:p>
      <w:pPr>
        <w:pStyle w:val="Style2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9" w:val="left"/>
        </w:tabs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 a objednatel si odsouhlasili řešení nového mostu: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otevřený monolitický železobetovový polorámový most se světlostí otvoru 5,0 m a spodní hranou mostovky v úrovni cca 482,75 m n. m. - vychází s hydrotechnického posouzení (požadavek správce toku na převedení Q100)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 nový most bude mít nízké opěry (minimalizace výkopových prací) založeno na velkoprůměrových pilotách (průměr a počet dle statického výpočtu - předpokládaný průměr 750 mm) opřených o skalní podloží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■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hloubka cca 10 m pod úrovní stávajícího terénu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s ohledem na malou možnou stavební výšku (aby nemusela být zvedána niveleta) navržena dvojvrstvá vozovka tl. 80 mm pro TDZ IV střední dle ČSN 73 6242 - skladba:</w:t>
      </w:r>
    </w:p>
    <w:p>
      <w:pPr>
        <w:pStyle w:val="Style2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078" w:val="left"/>
        </w:tabs>
        <w:bidi w:val="0"/>
        <w:spacing w:before="0" w:after="0" w:line="346" w:lineRule="auto"/>
        <w:ind w:left="17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obrusná vrstva ACO 11 + tl. 40 mm</w:t>
      </w:r>
    </w:p>
    <w:p>
      <w:pPr>
        <w:pStyle w:val="Style2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078" w:val="left"/>
        </w:tabs>
        <w:bidi w:val="0"/>
        <w:spacing w:before="0" w:after="0" w:line="346" w:lineRule="auto"/>
        <w:ind w:left="17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ochranná vrtva MA IV tl. 40 mm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záchytné bezpečností zařízení - zábradlí (most na území obce)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šířka mezí obrubníky 6,5 m, šířka mezi zábradlím 7,5 m, plynulé šířkové navázání na přilehlou komunikaci (šířka směrem do obce cca 5,5 m mezi obrubníky, šířka zpevněného povrchu komunikace směrem z obce cca 4,3 - 4,5 m)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v římsách nebudou ponechány rezervní chráničky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odvodnění mostu - skluzy před a za mostem a 2 odvodňovače na mostě (1 na každé straně)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60" w:line="252" w:lineRule="auto"/>
        <w:ind w:left="1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zpevnění koryta pod mostem a kolem křídel kamennou dlažbou do betonu s přesahem přes obrys mostu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s ohledem na výšku mostu nad terénem nebude zřízeno revizní schodiště</w:t>
      </w:r>
    </w:p>
    <w:p>
      <w:pPr>
        <w:pStyle w:val="Style2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9" w:val="left"/>
        </w:tabs>
        <w:bidi w:val="0"/>
        <w:spacing w:before="0" w:after="0"/>
        <w:ind w:left="0" w:right="0" w:firstLine="34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67" w:left="1129" w:right="841" w:bottom="217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 bude probíhat pouze na pozemcích Kraje Vysočina a obce Lovčovice</w:t>
      </w:r>
    </w:p>
    <w:p>
      <w:pPr>
        <w:pStyle w:val="Style2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99" w:val="left"/>
        </w:tabs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řešení dopravy po dobu výstavby: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výstavba nového mostu bude probíhat při úplné uzavírce silnice 111/41020 v místě mostu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objížďky budou navrženy po silnicích II. a III. třídy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38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projektant osloví Krajský úřad Kraje Vysočina, Odbor dopravy a silničního hospodářství, Oddělení dopravní obslužnosti kvůli možnostem organizace autobusové dopravy po dobu uzavírky</w:t>
      </w:r>
    </w:p>
    <w:p>
      <w:pPr>
        <w:pStyle w:val="Style2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99" w:val="left"/>
        </w:tabs>
        <w:bidi w:val="0"/>
        <w:spacing w:before="0" w:after="0"/>
        <w:ind w:left="700" w:right="0" w:hanging="340"/>
        <w:jc w:val="both"/>
        <w:sectPr>
          <w:headerReference w:type="default" r:id="rId13"/>
          <w:footerReference w:type="default" r:id="rId14"/>
          <w:headerReference w:type="even" r:id="rId15"/>
          <w:footerReference w:type="even" r:id="rId16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67" w:left="1129" w:right="841" w:bottom="217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 a objednatel se dohodli na sloučení územního a stavebního řízení. Projektová dokumentace bude zpracována dle vyhlášky 499/2006 Sb. o dokumentaci staveb, přílohy č. 11 (dokumentace pro vydání společného povolení stavby dálnice, silnice, místní komunikace a veřejné účelové komunikace). S ohledem na tuto skutečnost bude uzavřen dodatek ke Smlouvě o dílo, přičemž termíny pro odevzdání dokumentace budou odpovídat původním termínům pro odevzdání DSP (dokumentace pro stavební povolení)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prezenční listina</w:t>
      </w:r>
      <w:bookmarkEnd w:id="4"/>
      <w:bookmarkEnd w:id="5"/>
    </w:p>
    <w:tbl>
      <w:tblPr>
        <w:tblOverlap w:val="never"/>
        <w:jc w:val="left"/>
        <w:tblLayout w:type="fixed"/>
      </w:tblPr>
      <w:tblGrid>
        <w:gridCol w:w="2815"/>
        <w:gridCol w:w="8363"/>
      </w:tblGrid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 jednání konaného dne: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12.06.2019</w:t>
            </w:r>
          </w:p>
        </w:tc>
      </w:tr>
      <w:tr>
        <w:trPr>
          <w:trHeight w:val="39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Ve věci: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PD 111/41020 Lovčovice - most ev. č. 41020-1, PD II/392 Jasenice - most ev. č. 392-005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Místo konání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Krajská správa a údržba silnic Vysočiny, Jihlava</w:t>
            </w:r>
          </w:p>
        </w:tc>
      </w:tr>
    </w:tbl>
    <w:p>
      <w:pPr>
        <w:widowControl w:val="0"/>
        <w:spacing w:after="219" w:line="1" w:lineRule="exact"/>
      </w:pPr>
    </w:p>
    <w:tbl>
      <w:tblPr>
        <w:tblOverlap w:val="never"/>
        <w:jc w:val="center"/>
        <w:tblLayout w:type="fixed"/>
      </w:tblPr>
      <w:tblGrid>
        <w:gridCol w:w="3416"/>
        <w:gridCol w:w="2599"/>
        <w:gridCol w:w="1944"/>
        <w:gridCol w:w="2621"/>
        <w:gridCol w:w="4525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658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■■</w:t>
              <w:tab/>
              <w:t>' 1" -&lt;y--.Í- Jmériój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■■■ /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vertAlign w:val="superscript"/>
                <w:lang w:val="cs-CZ" w:eastAsia="cs-CZ" w:bidi="cs-CZ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 xml:space="preserve"> X . Organizace '' &lt; V. ■ ■ 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.Telefón ' . 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0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vertAlign w:val="subscript"/>
                <w:lang w:val="cs-CZ" w:eastAsia="cs-CZ" w:bidi="cs-CZ"/>
              </w:rPr>
              <w:t>;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 xml:space="preserve"> A</w:t>
              <w:tab/>
              <w:t>5 Podpis - . •. /' -7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_ 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L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©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@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©</w:t>
            </w:r>
          </w:p>
        </w:tc>
      </w:tr>
      <w:tr>
        <w:trPr>
          <w:trHeight w:val="4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©</w:t>
            </w:r>
          </w:p>
        </w:tc>
      </w:tr>
      <w:tr>
        <w:trPr>
          <w:trHeight w:val="4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©</w:t>
            </w:r>
          </w:p>
        </w:tc>
      </w:tr>
      <w:tr>
        <w:trPr>
          <w:trHeight w:val="4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©</w:t>
            </w:r>
          </w:p>
        </w:tc>
      </w:tr>
      <w:tr>
        <w:trPr>
          <w:trHeight w:val="4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©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©</w:t>
            </w:r>
          </w:p>
        </w:tc>
      </w:tr>
      <w:tr>
        <w:trPr>
          <w:trHeight w:val="4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©</w:t>
            </w:r>
          </w:p>
        </w:tc>
      </w:tr>
    </w:tbl>
    <w:sectPr>
      <w:headerReference w:type="default" r:id="rId17"/>
      <w:footerReference w:type="default" r:id="rId18"/>
      <w:headerReference w:type="even" r:id="rId19"/>
      <w:footerReference w:type="even" r:id="rId20"/>
      <w:footnotePr>
        <w:pos w:val="pageBottom"/>
        <w:numFmt w:val="decimal"/>
        <w:numRestart w:val="continuous"/>
      </w:footnotePr>
      <w:pgSz w:w="16840" w:h="11900" w:orient="landscape"/>
      <w:pgMar w:top="921" w:left="817" w:right="918" w:bottom="921" w:header="493" w:footer="49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9836150</wp:posOffset>
              </wp:positionV>
              <wp:extent cx="5623560" cy="1028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23560" cy="102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1 k SoD č. 21/2019/PD/D2/VZMR/TR/sl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.049999999999997pt;margin-top:774.5pt;width:442.80000000000001pt;height:8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1 k SoD č. 21/2019/PD/D2/VZMR/TR/sl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9801860</wp:posOffset>
              </wp:positionV>
              <wp:extent cx="627253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725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25pt;margin-top:771.79999999999995pt;width:493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9745980</wp:posOffset>
              </wp:positionV>
              <wp:extent cx="5593715" cy="95885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93715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0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1 k SoD č. 21/2019/PD/D2/VZMRrrR/sI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57.75pt;margin-top:767.39999999999998pt;width:440.44999999999999pt;height:7.5499999999999998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0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1 k SoD č. 21/2019/PD/D2/VZMRrrR/sI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710565</wp:posOffset>
              </wp:positionH>
              <wp:positionV relativeFrom="page">
                <wp:posOffset>9710420</wp:posOffset>
              </wp:positionV>
              <wp:extent cx="6382385" cy="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823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950000000000003pt;margin-top:764.60000000000002pt;width:502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2383790</wp:posOffset>
              </wp:positionH>
              <wp:positionV relativeFrom="page">
                <wp:posOffset>9734550</wp:posOffset>
              </wp:positionV>
              <wp:extent cx="2944495" cy="12128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44495" cy="1212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Ing. Jan ŠEDIVÝ - projektování mostů a inženýrských staveb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187.69999999999999pt;margin-top:766.5pt;width:231.84999999999999pt;height:9.5500000000000007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Ing. Jan ŠEDIVÝ - projektování mostů a inženýrských staveb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2383790</wp:posOffset>
              </wp:positionH>
              <wp:positionV relativeFrom="page">
                <wp:posOffset>9734550</wp:posOffset>
              </wp:positionV>
              <wp:extent cx="2944495" cy="12128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44495" cy="1212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Ing. Jan ŠEDIVÝ - projektování mostů a inženýrských staveb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187.69999999999999pt;margin-top:766.5pt;width:231.84999999999999pt;height:9.5500000000000007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Ing. Jan ŠEDIVÝ - projektování mostů a inženýrských staveb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9836150</wp:posOffset>
              </wp:positionV>
              <wp:extent cx="5623560" cy="10287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23560" cy="102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1 k SoD č. 21/2019/PD/D2/VZMR/TR/sl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57.049999999999997pt;margin-top:774.5pt;width:442.80000000000001pt;height:8.0999999999999996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1 k SoD č. 21/2019/PD/D2/VZMR/TR/sl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9801860</wp:posOffset>
              </wp:positionV>
              <wp:extent cx="6272530" cy="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725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25pt;margin-top:771.79999999999995pt;width:493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2397125</wp:posOffset>
              </wp:positionH>
              <wp:positionV relativeFrom="page">
                <wp:posOffset>9940290</wp:posOffset>
              </wp:positionV>
              <wp:extent cx="2926080" cy="125730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6080" cy="1257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Ing. Jan ŠEDIVÝ - projektování mostů a inženýrských staveb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188.75pt;margin-top:782.70000000000005pt;width:230.40000000000001pt;height:9.90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Ing. Jan ŠEDIVÝ - projektování mostů a inženýrských staveb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2397125</wp:posOffset>
              </wp:positionH>
              <wp:positionV relativeFrom="page">
                <wp:posOffset>9940290</wp:posOffset>
              </wp:positionV>
              <wp:extent cx="2926080" cy="125730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6080" cy="1257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Ing. Jan ŠEDIVÝ - projektování mostů a inženýrských staveb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188.75pt;margin-top:782.70000000000005pt;width:230.40000000000001pt;height:9.900000000000000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Ing. Jan ŠEDIVÝ - projektování mostů a inženýrských staveb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746760</wp:posOffset>
              </wp:positionH>
              <wp:positionV relativeFrom="page">
                <wp:posOffset>565150</wp:posOffset>
              </wp:positionV>
              <wp:extent cx="3973195" cy="34036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73195" cy="3403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Ing. Jan ŠEDIVÝ | Bratrská 1091/14, 75131 Lipník nad Bečvou | IČ 471874411 DIČ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8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I</w:t>
                            <w:tab/>
                            <w:t>DS: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8.799999999999997pt;margin-top:44.5pt;width:312.85000000000002pt;height:26.80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Ing. Jan ŠEDIVÝ | Bratrská 1091/14, 75131 Lipník nad Bečvou | IČ 471874411 DIČ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8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I</w:t>
                      <w:tab/>
                      <w:t>DS: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1043940</wp:posOffset>
              </wp:positionV>
              <wp:extent cx="6064885" cy="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0648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100000000000001pt;margin-top:82.200000000000003pt;width:477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746760</wp:posOffset>
              </wp:positionH>
              <wp:positionV relativeFrom="page">
                <wp:posOffset>565150</wp:posOffset>
              </wp:positionV>
              <wp:extent cx="3973195" cy="34036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73195" cy="3403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Ing. Jan ŠEDIVÝ | Bratrská 1091/14, 75131 Lipník nad Bečvou | IČ 471874411 DIČ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8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I</w:t>
                            <w:tab/>
                            <w:t>DS: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58.799999999999997pt;margin-top:44.5pt;width:312.85000000000002pt;height:26.800000000000001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Ing. Jan ŠEDIVÝ | Bratrská 1091/14, 75131 Lipník nad Bečvou | IČ 471874411 DIČ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8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I</w:t>
                      <w:tab/>
                      <w:t>DS: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1043940</wp:posOffset>
              </wp:positionV>
              <wp:extent cx="6064885" cy="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0648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100000000000001pt;margin-top:82.200000000000003pt;width:477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744855</wp:posOffset>
              </wp:positionH>
              <wp:positionV relativeFrom="page">
                <wp:posOffset>770890</wp:posOffset>
              </wp:positionV>
              <wp:extent cx="3980180" cy="13462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80180" cy="1346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Ing. Jan ŠEDIVÝ | Bratrská 1091/14, 75131 Lipník nad Bečvou | IČ 471874411 DIČ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58.649999999999999pt;margin-top:60.700000000000003pt;width:313.39999999999998pt;height:10.6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Ing. Jan ŠEDIVÝ | Bratrská 1091/14, 75131 Lipník nad Bečvou | IČ 471874411 DIČ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744855</wp:posOffset>
              </wp:positionH>
              <wp:positionV relativeFrom="page">
                <wp:posOffset>770890</wp:posOffset>
              </wp:positionV>
              <wp:extent cx="3980180" cy="134620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80180" cy="1346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Ing. Jan ŠEDIVÝ | Bratrská 1091/14, 75131 Lipník nad Bečvou | IČ 471874411 DIČ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58.649999999999999pt;margin-top:60.700000000000003pt;width:313.39999999999998pt;height:10.6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Ing. Jan ŠEDIVÝ | Bratrská 1091/14, 75131 Lipník nad Bečvou | IČ 471874411 DIČ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6.1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6.1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2"/>
      <w:numFmt w:val="decimal"/>
      <w:lvlText w:val="7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bullet"/>
      <w:lvlText w:val="•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bullet"/>
      <w:lvlText w:val="■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Jiné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Základní text (3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3">
    <w:name w:val="Nadpis #2_"/>
    <w:basedOn w:val="DefaultParagraphFont"/>
    <w:link w:val="Style22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5">
    <w:name w:val="Základní text (2)_"/>
    <w:basedOn w:val="DefaultParagraphFont"/>
    <w:link w:val="Styl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Nadpis #1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/>
      <w:strike w:val="0"/>
      <w:sz w:val="40"/>
      <w:szCs w:val="40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Jiné"/>
    <w:basedOn w:val="Normal"/>
    <w:link w:val="CharStyle7"/>
    <w:pPr>
      <w:widowControl w:val="0"/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Základní text (3)"/>
    <w:basedOn w:val="Normal"/>
    <w:link w:val="CharStyle1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2">
    <w:name w:val="Nadpis #2"/>
    <w:basedOn w:val="Normal"/>
    <w:link w:val="CharStyle23"/>
    <w:pPr>
      <w:widowControl w:val="0"/>
      <w:shd w:val="clear" w:color="auto" w:fill="FFFFFF"/>
      <w:spacing w:after="320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4">
    <w:name w:val="Základní text (2)"/>
    <w:basedOn w:val="Normal"/>
    <w:link w:val="CharStyle25"/>
    <w:pPr>
      <w:widowControl w:val="0"/>
      <w:shd w:val="clear" w:color="auto" w:fill="FFFFFF"/>
      <w:spacing w:line="288" w:lineRule="auto"/>
      <w:ind w:left="1210" w:hanging="3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Nadpis #1"/>
    <w:basedOn w:val="Normal"/>
    <w:link w:val="CharStyle28"/>
    <w:pPr>
      <w:widowControl w:val="0"/>
      <w:shd w:val="clear" w:color="auto" w:fill="FFFFFF"/>
      <w:spacing w:after="32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/>
      <w:strike w:val="0"/>
      <w:sz w:val="40"/>
      <w:szCs w:val="4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footer" Target="footer5.xml"/><Relationship Id="rId13" Type="http://schemas.openxmlformats.org/officeDocument/2006/relationships/header" Target="header4.xml"/><Relationship Id="rId14" Type="http://schemas.openxmlformats.org/officeDocument/2006/relationships/footer" Target="footer6.xml"/><Relationship Id="rId15" Type="http://schemas.openxmlformats.org/officeDocument/2006/relationships/header" Target="header5.xml"/><Relationship Id="rId16" Type="http://schemas.openxmlformats.org/officeDocument/2006/relationships/footer" Target="footer7.xml"/><Relationship Id="rId17" Type="http://schemas.openxmlformats.org/officeDocument/2006/relationships/header" Target="header6.xml"/><Relationship Id="rId18" Type="http://schemas.openxmlformats.org/officeDocument/2006/relationships/footer" Target="footer8.xml"/><Relationship Id="rId19" Type="http://schemas.openxmlformats.org/officeDocument/2006/relationships/header" Target="header7.xml"/><Relationship Id="rId20" Type="http://schemas.openxmlformats.org/officeDocument/2006/relationships/footer" Target="footer9.xml"/></Relationships>
</file>