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p>
      <w:pPr>
        <w:pStyle w:val="Style11"/>
        <w:keepNext/>
        <w:keepLines/>
        <w:widowControl w:val="0"/>
        <w:shd w:val="clear" w:color="auto" w:fill="auto"/>
        <w:bidi w:val="0"/>
        <w:spacing w:before="0" w:line="240" w:lineRule="auto"/>
        <w:ind w:right="0" w:firstLine="0"/>
        <w:jc w:val="left"/>
      </w:pPr>
      <w:bookmarkStart w:id="2" w:name="bookmark2"/>
      <w:bookmarkStart w:id="3" w:name="bookmark3"/>
      <w:r>
        <w:rPr>
          <w:b w:val="0"/>
          <w:bCs w:val="0"/>
          <w:color w:val="000000"/>
          <w:spacing w:val="0"/>
          <w:w w:val="100"/>
          <w:position w:val="0"/>
          <w:sz w:val="22"/>
          <w:szCs w:val="22"/>
          <w:shd w:val="clear" w:color="auto" w:fill="auto"/>
          <w:lang w:val="cs-CZ" w:eastAsia="cs-CZ" w:bidi="cs-CZ"/>
        </w:rPr>
        <w:t xml:space="preserve">na akci: </w:t>
      </w:r>
      <w:r>
        <w:rPr>
          <w:color w:val="000000"/>
          <w:spacing w:val="0"/>
          <w:w w:val="100"/>
          <w:position w:val="0"/>
          <w:shd w:val="clear" w:color="auto" w:fill="auto"/>
          <w:lang w:val="cs-CZ" w:eastAsia="cs-CZ" w:bidi="cs-CZ"/>
        </w:rPr>
        <w:t>III/34723 Okrouhlice - most ev. č. 34723-1</w:t>
      </w:r>
      <w:bookmarkEnd w:id="2"/>
      <w:bookmarkEnd w:id="3"/>
    </w:p>
    <w:p>
      <w:pPr>
        <w:pStyle w:val="Style2"/>
        <w:keepNext w:val="0"/>
        <w:keepLines w:val="0"/>
        <w:widowControl w:val="0"/>
        <w:shd w:val="clear" w:color="auto" w:fill="auto"/>
        <w:bidi w:val="0"/>
        <w:spacing w:before="0" w:after="380" w:line="240" w:lineRule="auto"/>
        <w:ind w:left="0" w:right="0" w:firstLine="54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Číslo smlouvy dodavatele:</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2"/>
        <w:keepNext w:val="0"/>
        <w:keepLines w:val="0"/>
        <w:widowControl w:val="0"/>
        <w:shd w:val="clear" w:color="auto" w:fill="auto"/>
        <w:bidi w:val="0"/>
        <w:spacing w:before="0" w:after="0" w:line="240" w:lineRule="auto"/>
        <w:ind w:left="0" w:right="0" w:firstLine="540"/>
        <w:jc w:val="left"/>
      </w:pPr>
      <w:r>
        <mc:AlternateContent>
          <mc:Choice Requires="wps">
            <w:drawing>
              <wp:anchor distT="0" distB="0" distL="114300" distR="114300" simplePos="0" relativeHeight="125829378" behindDoc="0" locked="0" layoutInCell="1" allowOverlap="1">
                <wp:simplePos x="0" y="0"/>
                <wp:positionH relativeFrom="page">
                  <wp:posOffset>709295</wp:posOffset>
                </wp:positionH>
                <wp:positionV relativeFrom="paragraph">
                  <wp:posOffset>12700</wp:posOffset>
                </wp:positionV>
                <wp:extent cx="791210" cy="356870"/>
                <wp:wrapSquare wrapText="right"/>
                <wp:docPr id="1" name="Shape 1"/>
                <a:graphic xmlns:a="http://schemas.openxmlformats.org/drawingml/2006/main">
                  <a:graphicData uri="http://schemas.microsoft.com/office/word/2010/wordprocessingShape">
                    <wps:wsp>
                      <wps:cNvSpPr txBox="1"/>
                      <wps:spPr>
                        <a:xfrm>
                          <a:ext cx="791210" cy="356870"/>
                        </a:xfrm>
                        <a:prstGeom prst="rect"/>
                        <a:noFill/>
                      </wps:spPr>
                      <wps:txbx>
                        <w:txbxContent>
                          <w:p>
                            <w:pPr>
                              <w:pStyle w:val="Style2"/>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se sídlem:</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850000000000001pt;margin-top:1.pt;width:62.299999999999997pt;height:28.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se sídlem:</w:t>
                      </w:r>
                    </w:p>
                  </w:txbxContent>
                </v:textbox>
                <w10:wrap type="square" side="right" anchorx="page"/>
              </v:shape>
            </w:pict>
          </mc:Fallback>
        </mc:AlternateContent>
      </w: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540"/>
        <w:jc w:val="left"/>
        <w:sectPr>
          <w:footerReference w:type="default" r:id="rId5"/>
          <w:footnotePr>
            <w:pos w:val="pageBottom"/>
            <w:numFmt w:val="decimal"/>
            <w:numRestart w:val="continuous"/>
          </w:footnotePr>
          <w:pgSz w:w="11900" w:h="16840"/>
          <w:pgMar w:top="1765" w:left="1099" w:right="1455" w:bottom="2074" w:header="1337" w:footer="3" w:gutter="0"/>
          <w:pgNumType w:start="1"/>
          <w:cols w:space="720"/>
          <w:noEndnote/>
          <w:rtlGutter w:val="0"/>
          <w:docGrid w:linePitch="360"/>
        </w:sectPr>
      </w:pPr>
      <w:r>
        <w:rPr>
          <w:color w:val="000000"/>
          <w:spacing w:val="0"/>
          <w:w w:val="100"/>
          <w:position w:val="0"/>
          <w:shd w:val="clear" w:color="auto" w:fill="auto"/>
          <w:lang w:val="cs-CZ" w:eastAsia="cs-CZ" w:bidi="cs-CZ"/>
        </w:rPr>
        <w:t>Kosovská 1122/16, 586 01 Jihlava</w:t>
      </w: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702310</wp:posOffset>
                </wp:positionH>
                <wp:positionV relativeFrom="paragraph">
                  <wp:posOffset>12700</wp:posOffset>
                </wp:positionV>
                <wp:extent cx="4398010" cy="363220"/>
                <wp:wrapSquare wrapText="bothSides"/>
                <wp:docPr id="8" name="Shape 8"/>
                <a:graphic xmlns:a="http://schemas.openxmlformats.org/drawingml/2006/main">
                  <a:graphicData uri="http://schemas.microsoft.com/office/word/2010/wordprocessingShape">
                    <wps:wsp>
                      <wps:cNvSpPr txBox="1"/>
                      <wps:spPr>
                        <a:xfrm>
                          <a:ext cx="4398010" cy="363220"/>
                        </a:xfrm>
                        <a:prstGeom prst="rect"/>
                        <a:noFill/>
                      </wps:spPr>
                      <wps:txbx>
                        <w:txbxContent>
                          <w:p>
                            <w:pPr>
                              <w:pStyle w:val="Style2"/>
                              <w:keepNext w:val="0"/>
                              <w:keepLines w:val="0"/>
                              <w:widowControl w:val="0"/>
                              <w:shd w:val="clear" w:color="auto" w:fill="auto"/>
                              <w:tabs>
                                <w:tab w:pos="207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Janem Míkou, MBA, ředitelem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4" type="#_x0000_t202" style="position:absolute;margin-left:55.299999999999997pt;margin-top:1.pt;width:346.30000000000001pt;height:28.600000000000001pt;z-index:-125829373;mso-wrap-distance-left:0;mso-wrap-distance-right:0;mso-position-horizontal-relative:page" filled="f" stroked="f">
                <v:textbox inset="0,0,0,0">
                  <w:txbxContent>
                    <w:p>
                      <w:pPr>
                        <w:pStyle w:val="Style2"/>
                        <w:keepNext w:val="0"/>
                        <w:keepLines w:val="0"/>
                        <w:widowControl w:val="0"/>
                        <w:shd w:val="clear" w:color="auto" w:fill="auto"/>
                        <w:tabs>
                          <w:tab w:pos="207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Janem Míkou, MBA, ředitelem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type="square" anchorx="page"/>
              </v:shape>
            </w:pict>
          </mc:Fallback>
        </mc:AlternateContent>
      </w:r>
      <w:r>
        <mc:AlternateContent>
          <mc:Choice Requires="wps">
            <w:drawing>
              <wp:anchor distT="0" distB="0" distL="114300" distR="114300" simplePos="0" relativeHeight="125829382" behindDoc="0" locked="0" layoutInCell="1" allowOverlap="1">
                <wp:simplePos x="0" y="0"/>
                <wp:positionH relativeFrom="page">
                  <wp:posOffset>6301105</wp:posOffset>
                </wp:positionH>
                <wp:positionV relativeFrom="paragraph">
                  <wp:posOffset>1417320</wp:posOffset>
                </wp:positionV>
                <wp:extent cx="191770" cy="274320"/>
                <wp:wrapSquare wrapText="bothSides"/>
                <wp:docPr id="10" name="Shape 10"/>
                <a:graphic xmlns:a="http://schemas.openxmlformats.org/drawingml/2006/main">
                  <a:graphicData uri="http://schemas.microsoft.com/office/word/2010/wordprocessingShape">
                    <wps:wsp>
                      <wps:cNvSpPr txBox="1"/>
                      <wps:spPr>
                        <a:xfrm>
                          <a:ext cx="191770" cy="27432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w:t>
                            </w:r>
                          </w:p>
                        </w:txbxContent>
                      </wps:txbx>
                      <wps:bodyPr wrap="none" lIns="0" tIns="0" rIns="0" bIns="0">
                        <a:noAutoFit/>
                      </wps:bodyPr>
                    </wps:wsp>
                  </a:graphicData>
                </a:graphic>
              </wp:anchor>
            </w:drawing>
          </mc:Choice>
          <mc:Fallback>
            <w:pict>
              <v:shape id="_x0000_s1036" type="#_x0000_t202" style="position:absolute;margin-left:496.14999999999998pt;margin-top:111.59999999999999pt;width:15.1pt;height:21.600000000000001pt;z-index:-125829371;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w:t>
                      </w:r>
                    </w:p>
                  </w:txbxContent>
                </v:textbox>
                <w10:wrap type="square" anchorx="page"/>
              </v:shape>
            </w:pict>
          </mc:Fallback>
        </mc:AlternateContent>
      </w:r>
      <w:r>
        <w:drawing>
          <wp:anchor distT="0" distB="0" distL="114300" distR="114300" simplePos="0" relativeHeight="125829384" behindDoc="0" locked="0" layoutInCell="1" allowOverlap="1">
            <wp:simplePos x="0" y="0"/>
            <wp:positionH relativeFrom="page">
              <wp:posOffset>6492875</wp:posOffset>
            </wp:positionH>
            <wp:positionV relativeFrom="paragraph">
              <wp:posOffset>1463040</wp:posOffset>
            </wp:positionV>
            <wp:extent cx="91440" cy="152400"/>
            <wp:wrapSquare wrapText="bothSides"/>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6"/>
                    <a:stretch/>
                  </pic:blipFill>
                  <pic:spPr>
                    <a:xfrm>
                      <a:ext cx="91440" cy="15240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tabs>
          <w:tab w:pos="2056"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tabs>
          <w:tab w:pos="2056"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tabs>
          <w:tab w:pos="2056"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 referent investiční výstavby</w:t>
      </w:r>
    </w:p>
    <w:p>
      <w:pPr>
        <w:pStyle w:val="Style19"/>
        <w:keepNext w:val="0"/>
        <w:keepLines w:val="0"/>
        <w:widowControl w:val="0"/>
        <w:shd w:val="clear" w:color="auto" w:fill="auto"/>
        <w:bidi w:val="0"/>
        <w:spacing w:before="0" w:after="0" w:line="209" w:lineRule="auto"/>
        <w:ind w:left="2700" w:right="0" w:firstLine="0"/>
        <w:jc w:val="left"/>
        <w:rPr>
          <w:sz w:val="14"/>
          <w:szCs w:val="14"/>
        </w:rPr>
      </w:pPr>
      <w:r>
        <w:rPr>
          <w:color w:val="000000"/>
          <w:spacing w:val="0"/>
          <w:w w:val="100"/>
          <w:position w:val="0"/>
          <w:sz w:val="14"/>
          <w:szCs w:val="14"/>
          <w:shd w:val="clear" w:color="auto" w:fill="auto"/>
          <w:lang w:val="cs-CZ" w:eastAsia="cs-CZ" w:bidi="cs-CZ"/>
        </w:rPr>
        <w:t>Krajek*</w:t>
      </w:r>
    </w:p>
    <w:p>
      <w:pPr>
        <w:pStyle w:val="Style19"/>
        <w:keepNext w:val="0"/>
        <w:keepLines w:val="0"/>
        <w:widowControl w:val="0"/>
        <w:shd w:val="clear" w:color="auto" w:fill="auto"/>
        <w:bidi w:val="0"/>
        <w:spacing w:before="0" w:after="0"/>
        <w:ind w:left="2160" w:right="0" w:firstLine="0"/>
        <w:jc w:val="right"/>
        <w:sectPr>
          <w:footnotePr>
            <w:pos w:val="pageBottom"/>
            <w:numFmt w:val="decimal"/>
            <w:numRestart w:val="continuous"/>
          </w:footnotePr>
          <w:type w:val="continuous"/>
          <w:pgSz w:w="11900" w:h="16840"/>
          <w:pgMar w:top="1765" w:left="1106" w:right="2456" w:bottom="2074" w:header="0" w:footer="3" w:gutter="0"/>
          <w:cols w:num="2" w:space="857"/>
          <w:noEndnote/>
          <w:rtlGutter w:val="0"/>
          <w:docGrid w:linePitch="360"/>
        </w:sectPr>
      </w:pPr>
      <w:r>
        <w:rPr>
          <w:color w:val="000000"/>
          <w:spacing w:val="0"/>
          <w:w w:val="100"/>
          <w:position w:val="0"/>
          <w:shd w:val="clear" w:color="auto" w:fill="auto"/>
          <w:lang w:val="cs-CZ" w:eastAsia="cs-CZ" w:bidi="cs-CZ"/>
        </w:rPr>
        <w:t>(linie Vysočiny, přfspč-</w:t>
      </w:r>
      <w:r>
        <w:rPr>
          <w:color w:val="000000"/>
          <w:spacing w:val="0"/>
          <w:w w:val="100"/>
          <w:position w:val="0"/>
          <w:shd w:val="clear" w:color="auto" w:fill="auto"/>
          <w:vertAlign w:val="subscript"/>
          <w:lang w:val="cs-CZ" w:eastAsia="cs-CZ" w:bidi="cs-CZ"/>
        </w:rPr>
        <w:t xml:space="preserve">;i </w:t>
      </w:r>
      <w:r>
        <w:rPr>
          <w:color w:val="000000"/>
          <w:spacing w:val="0"/>
          <w:w w:val="100"/>
          <w:position w:val="0"/>
          <w:shd w:val="clear" w:color="auto" w:fill="auto"/>
          <w:lang w:val="cs-CZ" w:eastAsia="cs-CZ" w:bidi="cs-CZ"/>
        </w:rPr>
        <w:t xml:space="preserve">Kosovjki </w:t>
      </w:r>
      <w:r>
        <w:rPr>
          <w:color w:val="000000"/>
          <w:spacing w:val="0"/>
          <w:w w:val="100"/>
          <w:position w:val="0"/>
          <w:shd w:val="clear" w:color="auto" w:fill="auto"/>
          <w:vertAlign w:val="superscript"/>
          <w:lang w:val="cs-CZ" w:eastAsia="cs-CZ" w:bidi="cs-CZ"/>
        </w:rPr>
        <w:t>1 1</w:t>
      </w:r>
      <w:r>
        <w:rPr>
          <w:color w:val="000000"/>
          <w:spacing w:val="0"/>
          <w:w w:val="100"/>
          <w:position w:val="0"/>
          <w:shd w:val="clear" w:color="auto" w:fill="auto"/>
          <w:lang w:val="cs-CZ" w:eastAsia="cs-CZ" w:bidi="cs-CZ"/>
        </w:rPr>
        <w:t xml:space="preserve"> "</w:t>
      </w:r>
    </w:p>
    <w:p>
      <w:pPr>
        <w:widowControl w:val="0"/>
        <w:spacing w:line="1" w:lineRule="exact"/>
      </w:pPr>
      <w:r>
        <mc:AlternateContent>
          <mc:Choice Requires="wps">
            <w:drawing>
              <wp:anchor distT="267335" distB="0" distL="125730" distR="114300" simplePos="0" relativeHeight="125829385" behindDoc="0" locked="0" layoutInCell="1" allowOverlap="1">
                <wp:simplePos x="0" y="0"/>
                <wp:positionH relativeFrom="page">
                  <wp:posOffset>723265</wp:posOffset>
                </wp:positionH>
                <wp:positionV relativeFrom="paragraph">
                  <wp:posOffset>280035</wp:posOffset>
                </wp:positionV>
                <wp:extent cx="4688840" cy="514350"/>
                <wp:wrapTopAndBottom/>
                <wp:docPr id="14" name="Shape 14"/>
                <a:graphic xmlns:a="http://schemas.openxmlformats.org/drawingml/2006/main">
                  <a:graphicData uri="http://schemas.microsoft.com/office/word/2010/wordprocessingShape">
                    <wps:wsp>
                      <wps:cNvSpPr txBox="1"/>
                      <wps:spPr>
                        <a:xfrm>
                          <a:ext cx="4688840" cy="514350"/>
                        </a:xfrm>
                        <a:prstGeom prst="rect"/>
                        <a:noFill/>
                      </wps:spPr>
                      <wps:txbx>
                        <w:txbxContent>
                          <w:tbl>
                            <w:tblPr>
                              <w:tblOverlap w:val="never"/>
                              <w:jc w:val="left"/>
                              <w:tblLayout w:type="fixed"/>
                            </w:tblPr>
                            <w:tblGrid>
                              <w:gridCol w:w="1890"/>
                              <w:gridCol w:w="5494"/>
                            </w:tblGrid>
                            <w:tr>
                              <w:trPr>
                                <w:tblHeader/>
                                <w:trHeight w:val="24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PIS PECHAL, s.r.o.</w:t>
                                  </w:r>
                                </w:p>
                              </w:tc>
                            </w:tr>
                            <w:tr>
                              <w:trPr>
                                <w:trHeight w:val="27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Lidická 1876/42, 602 00 Brno</w:t>
                                  </w:r>
                                </w:p>
                              </w:tc>
                            </w:tr>
                            <w:tr>
                              <w:trPr>
                                <w:trHeight w:val="29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Antonínem Pechalem, CSc., jednatelem společnosti</w:t>
                                  </w: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56.950000000000003pt;margin-top:22.050000000000001pt;width:369.19999999999999pt;height:40.5pt;z-index:-125829368;mso-wrap-distance-left:9.9000000000000004pt;mso-wrap-distance-top:21.050000000000001pt;mso-wrap-distance-right:9.pt;mso-position-horizontal-relative:page" filled="f" stroked="f">
                <v:textbox inset="0,0,0,0">
                  <w:txbxContent>
                    <w:tbl>
                      <w:tblPr>
                        <w:tblOverlap w:val="never"/>
                        <w:jc w:val="left"/>
                        <w:tblLayout w:type="fixed"/>
                      </w:tblPr>
                      <w:tblGrid>
                        <w:gridCol w:w="1890"/>
                        <w:gridCol w:w="5494"/>
                      </w:tblGrid>
                      <w:tr>
                        <w:trPr>
                          <w:tblHeader/>
                          <w:trHeight w:val="24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PIS PECHAL, s.r.o.</w:t>
                            </w:r>
                          </w:p>
                        </w:tc>
                      </w:tr>
                      <w:tr>
                        <w:trPr>
                          <w:trHeight w:val="27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Lidická 1876/42, 602 00 Brno</w:t>
                            </w:r>
                          </w:p>
                        </w:tc>
                      </w:tr>
                      <w:tr>
                        <w:trPr>
                          <w:trHeight w:val="295"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Antonínem Pechalem, CSc., jednatelem společnosti</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711835</wp:posOffset>
                </wp:positionH>
                <wp:positionV relativeFrom="paragraph">
                  <wp:posOffset>12700</wp:posOffset>
                </wp:positionV>
                <wp:extent cx="105410" cy="187325"/>
                <wp:wrapNone/>
                <wp:docPr id="16" name="Shape 16"/>
                <a:graphic xmlns:a="http://schemas.openxmlformats.org/drawingml/2006/main">
                  <a:graphicData uri="http://schemas.microsoft.com/office/word/2010/wordprocessingShape">
                    <wps:wsp>
                      <wps:cNvSpPr txBox="1"/>
                      <wps:spPr>
                        <a:xfrm>
                          <a:ext cx="105410" cy="1873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a</w:t>
                            </w:r>
                          </w:p>
                        </w:txbxContent>
                      </wps:txbx>
                      <wps:bodyPr lIns="0" tIns="0" rIns="0" bIns="0">
                        <a:noAutoFit/>
                      </wps:bodyPr>
                    </wps:wsp>
                  </a:graphicData>
                </a:graphic>
              </wp:anchor>
            </w:drawing>
          </mc:Choice>
          <mc:Fallback>
            <w:pict>
              <v:shape id="_x0000_s1042" type="#_x0000_t202" style="position:absolute;margin-left:56.049999999999997pt;margin-top:1.pt;width:8.3000000000000007pt;height:14.75pt;z-index:25165772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a</w:t>
                      </w:r>
                    </w:p>
                  </w:txbxContent>
                </v:textbox>
                <w10:wrap anchorx="page"/>
              </v:shape>
            </w:pict>
          </mc:Fallback>
        </mc:AlternateContent>
      </w:r>
      <w:r>
        <mc:AlternateContent>
          <mc:Choice Requires="wps">
            <w:drawing>
              <wp:anchor distT="0" distB="171450" distL="134620" distR="114300" simplePos="0" relativeHeight="125829387" behindDoc="0" locked="0" layoutInCell="1" allowOverlap="1">
                <wp:simplePos x="0" y="0"/>
                <wp:positionH relativeFrom="page">
                  <wp:posOffset>722630</wp:posOffset>
                </wp:positionH>
                <wp:positionV relativeFrom="paragraph">
                  <wp:posOffset>1757680</wp:posOffset>
                </wp:positionV>
                <wp:extent cx="4686300" cy="377190"/>
                <wp:wrapTopAndBottom/>
                <wp:docPr id="18" name="Shape 18"/>
                <a:graphic xmlns:a="http://schemas.openxmlformats.org/drawingml/2006/main">
                  <a:graphicData uri="http://schemas.microsoft.com/office/word/2010/wordprocessingShape">
                    <wps:wsp>
                      <wps:cNvSpPr txBox="1"/>
                      <wps:spPr>
                        <a:xfrm>
                          <a:ext cx="4686300" cy="377190"/>
                        </a:xfrm>
                        <a:prstGeom prst="rect"/>
                        <a:noFill/>
                      </wps:spPr>
                      <wps:txbx>
                        <w:txbxContent>
                          <w:tbl>
                            <w:tblPr>
                              <w:tblOverlap w:val="never"/>
                              <w:jc w:val="left"/>
                              <w:tblLayout w:type="fixed"/>
                            </w:tblPr>
                            <w:tblGrid>
                              <w:gridCol w:w="1890"/>
                              <w:gridCol w:w="5490"/>
                            </w:tblGrid>
                            <w:tr>
                              <w:trPr>
                                <w:tblHeader/>
                                <w:trHeight w:val="594"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2"/>
                                    <w:keepNext w:val="0"/>
                                    <w:keepLines w:val="0"/>
                                    <w:widowControl w:val="0"/>
                                    <w:shd w:val="clear" w:color="auto" w:fill="auto"/>
                                    <w:bidi w:val="0"/>
                                    <w:spacing w:before="0" w:after="0" w:line="257" w:lineRule="auto"/>
                                    <w:ind w:left="160" w:right="0" w:firstLine="0"/>
                                    <w:jc w:val="both"/>
                                  </w:pPr>
                                  <w:r>
                                    <w:rPr>
                                      <w:color w:val="000000"/>
                                      <w:spacing w:val="0"/>
                                      <w:w w:val="100"/>
                                      <w:position w:val="0"/>
                                      <w:shd w:val="clear" w:color="auto" w:fill="auto"/>
                                      <w:lang w:val="cs-CZ" w:eastAsia="cs-CZ" w:bidi="cs-CZ"/>
                                    </w:rPr>
                                    <w:t>02365952 CZ02365952</w:t>
                                  </w:r>
                                </w:p>
                              </w:tc>
                            </w:tr>
                          </w:tbl>
                          <w:p>
                            <w:pPr>
                              <w:widowControl w:val="0"/>
                              <w:spacing w:line="1" w:lineRule="exact"/>
                            </w:pPr>
                          </w:p>
                        </w:txbxContent>
                      </wps:txbx>
                      <wps:bodyPr lIns="0" tIns="0" rIns="0" bIns="0">
                        <a:noAutoFit/>
                      </wps:bodyPr>
                    </wps:wsp>
                  </a:graphicData>
                </a:graphic>
              </wp:anchor>
            </w:drawing>
          </mc:Choice>
          <mc:Fallback>
            <w:pict>
              <v:shape id="_x0000_s1044" type="#_x0000_t202" style="position:absolute;margin-left:56.899999999999999pt;margin-top:138.40000000000001pt;width:369.pt;height:29.699999999999999pt;z-index:-125829366;mso-wrap-distance-left:10.6pt;mso-wrap-distance-right:9.pt;mso-wrap-distance-bottom:13.5pt;mso-position-horizontal-relative:page" filled="f" stroked="f">
                <v:textbox inset="0,0,0,0">
                  <w:txbxContent>
                    <w:tbl>
                      <w:tblPr>
                        <w:tblOverlap w:val="never"/>
                        <w:jc w:val="left"/>
                        <w:tblLayout w:type="fixed"/>
                      </w:tblPr>
                      <w:tblGrid>
                        <w:gridCol w:w="1890"/>
                        <w:gridCol w:w="5490"/>
                      </w:tblGrid>
                      <w:tr>
                        <w:trPr>
                          <w:tblHeader/>
                          <w:trHeight w:val="594"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2"/>
                              <w:keepNext w:val="0"/>
                              <w:keepLines w:val="0"/>
                              <w:widowControl w:val="0"/>
                              <w:shd w:val="clear" w:color="auto" w:fill="auto"/>
                              <w:bidi w:val="0"/>
                              <w:spacing w:before="0" w:after="0" w:line="257" w:lineRule="auto"/>
                              <w:ind w:left="160" w:right="0" w:firstLine="0"/>
                              <w:jc w:val="both"/>
                            </w:pPr>
                            <w:r>
                              <w:rPr>
                                <w:color w:val="000000"/>
                                <w:spacing w:val="0"/>
                                <w:w w:val="100"/>
                                <w:position w:val="0"/>
                                <w:shd w:val="clear" w:color="auto" w:fill="auto"/>
                                <w:lang w:val="cs-CZ" w:eastAsia="cs-CZ" w:bidi="cs-CZ"/>
                              </w:rPr>
                              <w:t>02365952 CZ02365952</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702310</wp:posOffset>
                </wp:positionH>
                <wp:positionV relativeFrom="paragraph">
                  <wp:posOffset>2118995</wp:posOffset>
                </wp:positionV>
                <wp:extent cx="534670" cy="187325"/>
                <wp:wrapNone/>
                <wp:docPr id="20" name="Shape 20"/>
                <a:graphic xmlns:a="http://schemas.openxmlformats.org/drawingml/2006/main">
                  <a:graphicData uri="http://schemas.microsoft.com/office/word/2010/wordprocessingShape">
                    <wps:wsp>
                      <wps:cNvSpPr txBox="1"/>
                      <wps:spPr>
                        <a:xfrm>
                          <a:ext cx="534670" cy="1873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Telefon:</w:t>
                            </w:r>
                          </w:p>
                        </w:txbxContent>
                      </wps:txbx>
                      <wps:bodyPr lIns="0" tIns="0" rIns="0" bIns="0">
                        <a:noAutoFit/>
                      </wps:bodyPr>
                    </wps:wsp>
                  </a:graphicData>
                </a:graphic>
              </wp:anchor>
            </w:drawing>
          </mc:Choice>
          <mc:Fallback>
            <w:pict>
              <v:shape id="_x0000_s1046" type="#_x0000_t202" style="position:absolute;margin-left:55.299999999999997pt;margin-top:166.84999999999999pt;width:42.100000000000001pt;height:14.75pt;z-index:25165773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Telefon:</w:t>
                      </w:r>
                    </w:p>
                  </w:txbxContent>
                </v:textbox>
                <w10:wrap anchorx="page"/>
              </v:shape>
            </w:pict>
          </mc:Fallback>
        </mc:AlternateContent>
      </w:r>
    </w:p>
    <w:p>
      <w:pPr>
        <w:pStyle w:val="Style2"/>
        <w:keepNext w:val="0"/>
        <w:keepLines w:val="0"/>
        <w:widowControl w:val="0"/>
        <w:shd w:val="clear" w:color="auto" w:fill="auto"/>
        <w:tabs>
          <w:tab w:pos="4644" w:val="left"/>
        </w:tabs>
        <w:bidi w:val="0"/>
        <w:spacing w:before="0" w:after="0"/>
        <w:ind w:left="0" w:right="0" w:firstLine="0"/>
        <w:jc w:val="left"/>
      </w:pPr>
      <w:r>
        <w:rPr>
          <w:color w:val="000000"/>
          <w:spacing w:val="0"/>
          <w:w w:val="100"/>
          <w:position w:val="0"/>
          <w:shd w:val="clear" w:color="auto" w:fill="auto"/>
          <w:lang w:val="cs-CZ" w:eastAsia="cs-CZ" w:bidi="cs-CZ"/>
        </w:rPr>
        <w:t>zapsán v obchodním rejstříku vedeném u KS v Brně, oddíl C, vložka Osoby pověřené jednat jménem zhotovitele ve věcech smluvních:</w:t>
        <w:tab/>
        <w:t>jednatel společnosti</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2</w:t>
      </w:r>
    </w:p>
    <w:p>
      <w:pPr>
        <w:pStyle w:val="Style29"/>
        <w:keepNext/>
        <w:keepLines/>
        <w:widowControl w:val="0"/>
        <w:shd w:val="clear" w:color="auto" w:fill="auto"/>
        <w:bidi w:val="0"/>
        <w:spacing w:before="0" w:after="120"/>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2"/>
        <w:keepNext w:val="0"/>
        <w:keepLines w:val="0"/>
        <w:widowControl w:val="0"/>
        <w:numPr>
          <w:ilvl w:val="0"/>
          <w:numId w:val="1"/>
        </w:numPr>
        <w:shd w:val="clear" w:color="auto" w:fill="auto"/>
        <w:tabs>
          <w:tab w:pos="697" w:val="left"/>
        </w:tabs>
        <w:bidi w:val="0"/>
        <w:spacing w:before="0" w:after="220" w:line="264"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29"/>
        <w:keepNext/>
        <w:keepLines/>
        <w:widowControl w:val="0"/>
        <w:shd w:val="clear" w:color="auto" w:fill="auto"/>
        <w:tabs>
          <w:tab w:pos="1382" w:val="left"/>
        </w:tabs>
        <w:bidi w:val="0"/>
        <w:spacing w:before="0" w:after="220"/>
        <w:ind w:left="0" w:right="0" w:firstLine="0"/>
        <w:jc w:val="both"/>
      </w:pPr>
      <w:bookmarkStart w:id="6" w:name="bookmark6"/>
      <w:bookmarkStart w:id="7" w:name="bookmark7"/>
      <w:r>
        <w:rPr>
          <w:b w:val="0"/>
          <w:bCs w:val="0"/>
          <w:color w:val="000000"/>
          <w:spacing w:val="0"/>
          <w:w w:val="100"/>
          <w:position w:val="0"/>
          <w:shd w:val="clear" w:color="auto" w:fill="auto"/>
          <w:lang w:val="cs-CZ" w:eastAsia="cs-CZ" w:bidi="cs-CZ"/>
        </w:rPr>
        <w:t>na akci:</w:t>
        <w:tab/>
      </w:r>
      <w:r>
        <w:rPr>
          <w:color w:val="000000"/>
          <w:spacing w:val="0"/>
          <w:w w:val="100"/>
          <w:position w:val="0"/>
          <w:shd w:val="clear" w:color="auto" w:fill="auto"/>
          <w:lang w:val="cs-CZ" w:eastAsia="cs-CZ" w:bidi="cs-CZ"/>
        </w:rPr>
        <w:t>III/34723 Okrouhlice - most ev. č. 34723-1</w:t>
      </w:r>
      <w:bookmarkEnd w:id="6"/>
      <w:bookmarkEnd w:id="7"/>
    </w:p>
    <w:p>
      <w:pPr>
        <w:pStyle w:val="Style2"/>
        <w:keepNext w:val="0"/>
        <w:keepLines w:val="0"/>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20.06.2019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97" w:val="left"/>
        </w:tabs>
        <w:bidi w:val="0"/>
        <w:spacing w:before="0" w:after="120" w:line="259"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697" w:val="left"/>
        </w:tabs>
        <w:bidi w:val="0"/>
        <w:spacing w:before="0" w:after="520" w:line="252"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3</w:t>
      </w:r>
    </w:p>
    <w:p>
      <w:pPr>
        <w:pStyle w:val="Style29"/>
        <w:keepNext/>
        <w:keepLines/>
        <w:widowControl w:val="0"/>
        <w:shd w:val="clear" w:color="auto" w:fill="auto"/>
        <w:bidi w:val="0"/>
        <w:spacing w:before="0" w:after="120"/>
        <w:ind w:left="0" w:right="0" w:firstLine="0"/>
        <w:jc w:val="center"/>
      </w:pPr>
      <w:bookmarkStart w:id="8" w:name="bookmark8"/>
      <w:bookmarkStart w:id="9" w:name="bookmark9"/>
      <w:r>
        <w:rPr>
          <w:color w:val="000000"/>
          <w:spacing w:val="0"/>
          <w:w w:val="100"/>
          <w:position w:val="0"/>
          <w:shd w:val="clear" w:color="auto" w:fill="auto"/>
          <w:lang w:val="cs-CZ" w:eastAsia="cs-CZ" w:bidi="cs-CZ"/>
        </w:rPr>
        <w:t>Rozsah a obsah předmětu plnění</w:t>
      </w:r>
      <w:bookmarkEnd w:id="8"/>
      <w:bookmarkEnd w:id="9"/>
    </w:p>
    <w:p>
      <w:pPr>
        <w:pStyle w:val="Style2"/>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9"/>
        <w:keepNext/>
        <w:keepLines/>
        <w:widowControl w:val="0"/>
        <w:numPr>
          <w:ilvl w:val="1"/>
          <w:numId w:val="1"/>
        </w:numPr>
        <w:shd w:val="clear" w:color="auto" w:fill="auto"/>
        <w:tabs>
          <w:tab w:pos="697" w:val="left"/>
        </w:tabs>
        <w:bidi w:val="0"/>
        <w:spacing w:before="0" w:after="120"/>
        <w:ind w:left="0" w:right="0" w:firstLine="0"/>
        <w:jc w:val="both"/>
      </w:pPr>
      <w:bookmarkStart w:id="10" w:name="bookmark10"/>
      <w:bookmarkStart w:id="11" w:name="bookmark11"/>
      <w:r>
        <w:rPr>
          <w:color w:val="000000"/>
          <w:spacing w:val="0"/>
          <w:w w:val="100"/>
          <w:position w:val="0"/>
          <w:shd w:val="clear" w:color="auto" w:fill="auto"/>
          <w:lang w:val="cs-CZ" w:eastAsia="cs-CZ" w:bidi="cs-CZ"/>
        </w:rPr>
        <w:t>Přípravné činnosti před zahájením stavby spočívající zejména v činnostech:</w:t>
      </w:r>
      <w:bookmarkEnd w:id="10"/>
      <w:bookmarkEnd w:id="11"/>
    </w:p>
    <w:p>
      <w:pPr>
        <w:pStyle w:val="Style2"/>
        <w:keepNext w:val="0"/>
        <w:keepLines w:val="0"/>
        <w:widowControl w:val="0"/>
        <w:numPr>
          <w:ilvl w:val="0"/>
          <w:numId w:val="3"/>
        </w:numPr>
        <w:shd w:val="clear" w:color="auto" w:fill="auto"/>
        <w:tabs>
          <w:tab w:pos="1134" w:val="left"/>
        </w:tabs>
        <w:bidi w:val="0"/>
        <w:spacing w:before="0" w:after="120" w:line="240" w:lineRule="auto"/>
        <w:ind w:left="1120" w:right="0" w:hanging="40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numPr>
          <w:ilvl w:val="0"/>
          <w:numId w:val="3"/>
        </w:numPr>
        <w:shd w:val="clear" w:color="auto" w:fill="auto"/>
        <w:tabs>
          <w:tab w:pos="1134" w:val="left"/>
        </w:tabs>
        <w:bidi w:val="0"/>
        <w:spacing w:before="0" w:after="120" w:line="257" w:lineRule="auto"/>
        <w:ind w:left="112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numPr>
          <w:ilvl w:val="0"/>
          <w:numId w:val="3"/>
        </w:numPr>
        <w:shd w:val="clear" w:color="auto" w:fill="auto"/>
        <w:tabs>
          <w:tab w:pos="1134" w:val="left"/>
        </w:tabs>
        <w:bidi w:val="0"/>
        <w:spacing w:before="0" w:after="120" w:line="252" w:lineRule="auto"/>
        <w:ind w:left="112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numPr>
          <w:ilvl w:val="0"/>
          <w:numId w:val="3"/>
        </w:numPr>
        <w:shd w:val="clear" w:color="auto" w:fill="auto"/>
        <w:tabs>
          <w:tab w:pos="1134" w:val="left"/>
        </w:tabs>
        <w:bidi w:val="0"/>
        <w:spacing w:before="0" w:after="120" w:line="257" w:lineRule="auto"/>
        <w:ind w:left="112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numPr>
          <w:ilvl w:val="0"/>
          <w:numId w:val="3"/>
        </w:numPr>
        <w:shd w:val="clear" w:color="auto" w:fill="auto"/>
        <w:tabs>
          <w:tab w:pos="1134" w:val="left"/>
        </w:tabs>
        <w:bidi w:val="0"/>
        <w:spacing w:before="0" w:after="220" w:line="252" w:lineRule="auto"/>
        <w:ind w:left="1120" w:right="0" w:hanging="40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9"/>
        <w:keepNext/>
        <w:keepLines/>
        <w:widowControl w:val="0"/>
        <w:numPr>
          <w:ilvl w:val="1"/>
          <w:numId w:val="1"/>
        </w:numPr>
        <w:shd w:val="clear" w:color="auto" w:fill="auto"/>
        <w:tabs>
          <w:tab w:pos="697" w:val="left"/>
        </w:tabs>
        <w:bidi w:val="0"/>
        <w:spacing w:before="0" w:after="120"/>
        <w:ind w:left="0" w:right="0" w:firstLine="0"/>
        <w:jc w:val="both"/>
      </w:pPr>
      <w:bookmarkStart w:id="12" w:name="bookmark12"/>
      <w:bookmarkStart w:id="13" w:name="bookmark13"/>
      <w:r>
        <w:rPr>
          <w:color w:val="000000"/>
          <w:spacing w:val="0"/>
          <w:w w:val="100"/>
          <w:position w:val="0"/>
          <w:shd w:val="clear" w:color="auto" w:fill="auto"/>
          <w:lang w:val="cs-CZ" w:eastAsia="cs-CZ" w:bidi="cs-CZ"/>
        </w:rPr>
        <w:t>Práce spojené s prováděním stavby spočívající zejména v činnostech:</w:t>
      </w:r>
      <w:bookmarkEnd w:id="12"/>
      <w:bookmarkEnd w:id="13"/>
    </w:p>
    <w:p>
      <w:pPr>
        <w:pStyle w:val="Style2"/>
        <w:keepNext w:val="0"/>
        <w:keepLines w:val="0"/>
        <w:widowControl w:val="0"/>
        <w:numPr>
          <w:ilvl w:val="0"/>
          <w:numId w:val="3"/>
        </w:numPr>
        <w:shd w:val="clear" w:color="auto" w:fill="auto"/>
        <w:tabs>
          <w:tab w:pos="1134" w:val="left"/>
        </w:tabs>
        <w:bidi w:val="0"/>
        <w:spacing w:before="0" w:after="120" w:line="259" w:lineRule="auto"/>
        <w:ind w:left="1180" w:right="0" w:hanging="46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 xml:space="preserve">minimálně ve 2 dnech v průběhu kalendářního týdne, </w:t>
      </w:r>
      <w:r>
        <w:rPr>
          <w:color w:val="000000"/>
          <w:spacing w:val="0"/>
          <w:w w:val="100"/>
          <w:position w:val="0"/>
          <w:shd w:val="clear" w:color="auto" w:fill="auto"/>
          <w:lang w:val="cs-CZ" w:eastAsia="cs-CZ" w:bidi="cs-CZ"/>
        </w:rPr>
        <w:t>pokud nebude se zadavatelem dohodnuto jinak</w:t>
      </w:r>
    </w:p>
    <w:p>
      <w:pPr>
        <w:pStyle w:val="Style2"/>
        <w:keepNext w:val="0"/>
        <w:keepLines w:val="0"/>
        <w:widowControl w:val="0"/>
        <w:numPr>
          <w:ilvl w:val="0"/>
          <w:numId w:val="3"/>
        </w:numPr>
        <w:shd w:val="clear" w:color="auto" w:fill="auto"/>
        <w:tabs>
          <w:tab w:pos="1113" w:val="left"/>
        </w:tabs>
        <w:bidi w:val="0"/>
        <w:spacing w:before="0" w:after="120" w:line="271" w:lineRule="auto"/>
        <w:ind w:left="1120" w:right="0" w:hanging="42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2"/>
        <w:keepNext w:val="0"/>
        <w:keepLines w:val="0"/>
        <w:widowControl w:val="0"/>
        <w:numPr>
          <w:ilvl w:val="0"/>
          <w:numId w:val="3"/>
        </w:numPr>
        <w:shd w:val="clear" w:color="auto" w:fill="auto"/>
        <w:tabs>
          <w:tab w:pos="1113" w:val="left"/>
        </w:tabs>
        <w:bidi w:val="0"/>
        <w:spacing w:before="0" w:after="120" w:line="271" w:lineRule="auto"/>
        <w:ind w:left="1120" w:right="0" w:hanging="42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2"/>
        <w:keepNext w:val="0"/>
        <w:keepLines w:val="0"/>
        <w:widowControl w:val="0"/>
        <w:numPr>
          <w:ilvl w:val="0"/>
          <w:numId w:val="3"/>
        </w:numPr>
        <w:shd w:val="clear" w:color="auto" w:fill="auto"/>
        <w:tabs>
          <w:tab w:pos="1113" w:val="left"/>
        </w:tabs>
        <w:bidi w:val="0"/>
        <w:spacing w:before="0" w:after="120" w:line="257" w:lineRule="auto"/>
        <w:ind w:left="1120" w:right="0" w:hanging="42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numPr>
          <w:ilvl w:val="0"/>
          <w:numId w:val="3"/>
        </w:numPr>
        <w:shd w:val="clear" w:color="auto" w:fill="auto"/>
        <w:tabs>
          <w:tab w:pos="1113" w:val="left"/>
        </w:tabs>
        <w:bidi w:val="0"/>
        <w:spacing w:before="0" w:after="120"/>
        <w:ind w:left="1120" w:right="0" w:hanging="42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numPr>
          <w:ilvl w:val="0"/>
          <w:numId w:val="3"/>
        </w:numPr>
        <w:shd w:val="clear" w:color="auto" w:fill="auto"/>
        <w:tabs>
          <w:tab w:pos="1113" w:val="left"/>
        </w:tabs>
        <w:bidi w:val="0"/>
        <w:spacing w:before="0" w:after="120" w:line="257" w:lineRule="auto"/>
        <w:ind w:left="1120" w:right="0" w:hanging="42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
        <w:keepNext w:val="0"/>
        <w:keepLines w:val="0"/>
        <w:widowControl w:val="0"/>
        <w:numPr>
          <w:ilvl w:val="0"/>
          <w:numId w:val="3"/>
        </w:numPr>
        <w:shd w:val="clear" w:color="auto" w:fill="auto"/>
        <w:tabs>
          <w:tab w:pos="1113" w:val="left"/>
        </w:tabs>
        <w:bidi w:val="0"/>
        <w:spacing w:before="0" w:after="120" w:line="240" w:lineRule="auto"/>
        <w:ind w:left="1120" w:right="0" w:hanging="42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
        <w:keepNext w:val="0"/>
        <w:keepLines w:val="0"/>
        <w:widowControl w:val="0"/>
        <w:numPr>
          <w:ilvl w:val="0"/>
          <w:numId w:val="3"/>
        </w:numPr>
        <w:shd w:val="clear" w:color="auto" w:fill="auto"/>
        <w:tabs>
          <w:tab w:pos="1113" w:val="left"/>
        </w:tabs>
        <w:bidi w:val="0"/>
        <w:spacing w:before="0" w:after="120" w:line="257" w:lineRule="auto"/>
        <w:ind w:left="1120" w:right="0" w:hanging="42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numPr>
          <w:ilvl w:val="0"/>
          <w:numId w:val="3"/>
        </w:numPr>
        <w:shd w:val="clear" w:color="auto" w:fill="auto"/>
        <w:tabs>
          <w:tab w:pos="1113" w:val="left"/>
        </w:tabs>
        <w:bidi w:val="0"/>
        <w:spacing w:before="0" w:after="120"/>
        <w:ind w:left="1120" w:right="0" w:hanging="420"/>
        <w:jc w:val="both"/>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numPr>
          <w:ilvl w:val="0"/>
          <w:numId w:val="3"/>
        </w:numPr>
        <w:shd w:val="clear" w:color="auto" w:fill="auto"/>
        <w:tabs>
          <w:tab w:pos="1113" w:val="left"/>
        </w:tabs>
        <w:bidi w:val="0"/>
        <w:spacing w:before="0" w:after="120" w:line="252" w:lineRule="auto"/>
        <w:ind w:left="1120" w:right="0" w:hanging="42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
        <w:keepNext w:val="0"/>
        <w:keepLines w:val="0"/>
        <w:widowControl w:val="0"/>
        <w:numPr>
          <w:ilvl w:val="0"/>
          <w:numId w:val="3"/>
        </w:numPr>
        <w:shd w:val="clear" w:color="auto" w:fill="auto"/>
        <w:tabs>
          <w:tab w:pos="1113" w:val="left"/>
        </w:tabs>
        <w:bidi w:val="0"/>
        <w:spacing w:before="0" w:after="120"/>
        <w:ind w:left="1120" w:right="0" w:hanging="42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numPr>
          <w:ilvl w:val="0"/>
          <w:numId w:val="3"/>
        </w:numPr>
        <w:shd w:val="clear" w:color="auto" w:fill="auto"/>
        <w:tabs>
          <w:tab w:pos="1113" w:val="left"/>
        </w:tabs>
        <w:bidi w:val="0"/>
        <w:spacing w:before="0" w:after="120" w:line="259" w:lineRule="auto"/>
        <w:ind w:left="1120" w:right="0" w:hanging="42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numPr>
          <w:ilvl w:val="0"/>
          <w:numId w:val="3"/>
        </w:numPr>
        <w:shd w:val="clear" w:color="auto" w:fill="auto"/>
        <w:tabs>
          <w:tab w:pos="1113" w:val="left"/>
        </w:tabs>
        <w:bidi w:val="0"/>
        <w:spacing w:before="0" w:after="120"/>
        <w:ind w:left="1120" w:right="0" w:hanging="42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numPr>
          <w:ilvl w:val="0"/>
          <w:numId w:val="3"/>
        </w:numPr>
        <w:shd w:val="clear" w:color="auto" w:fill="auto"/>
        <w:tabs>
          <w:tab w:pos="1113" w:val="left"/>
        </w:tabs>
        <w:bidi w:val="0"/>
        <w:spacing w:before="0" w:after="120" w:line="252" w:lineRule="auto"/>
        <w:ind w:left="1120" w:right="0" w:hanging="42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numPr>
          <w:ilvl w:val="0"/>
          <w:numId w:val="3"/>
        </w:numPr>
        <w:shd w:val="clear" w:color="auto" w:fill="auto"/>
        <w:tabs>
          <w:tab w:pos="1113" w:val="left"/>
        </w:tabs>
        <w:bidi w:val="0"/>
        <w:spacing w:before="0" w:after="120" w:line="252" w:lineRule="auto"/>
        <w:ind w:left="1120" w:right="0" w:hanging="42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numPr>
          <w:ilvl w:val="0"/>
          <w:numId w:val="3"/>
        </w:numPr>
        <w:shd w:val="clear" w:color="auto" w:fill="auto"/>
        <w:tabs>
          <w:tab w:pos="1113" w:val="left"/>
        </w:tabs>
        <w:bidi w:val="0"/>
        <w:spacing w:before="0" w:after="120"/>
        <w:ind w:left="0" w:right="0" w:firstLine="70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numPr>
          <w:ilvl w:val="0"/>
          <w:numId w:val="3"/>
        </w:numPr>
        <w:shd w:val="clear" w:color="auto" w:fill="auto"/>
        <w:tabs>
          <w:tab w:pos="1113" w:val="left"/>
        </w:tabs>
        <w:bidi w:val="0"/>
        <w:spacing w:before="0" w:after="120"/>
        <w:ind w:left="0" w:right="0" w:firstLine="700"/>
        <w:jc w:val="both"/>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numPr>
          <w:ilvl w:val="0"/>
          <w:numId w:val="3"/>
        </w:numPr>
        <w:shd w:val="clear" w:color="auto" w:fill="auto"/>
        <w:tabs>
          <w:tab w:pos="1113" w:val="left"/>
        </w:tabs>
        <w:bidi w:val="0"/>
        <w:spacing w:before="0" w:after="120" w:line="264" w:lineRule="auto"/>
        <w:ind w:left="1120" w:right="0" w:hanging="42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numPr>
          <w:ilvl w:val="0"/>
          <w:numId w:val="3"/>
        </w:numPr>
        <w:shd w:val="clear" w:color="auto" w:fill="auto"/>
        <w:tabs>
          <w:tab w:pos="1113" w:val="left"/>
        </w:tabs>
        <w:bidi w:val="0"/>
        <w:spacing w:before="0" w:after="120"/>
        <w:ind w:left="0" w:right="0" w:firstLine="700"/>
        <w:jc w:val="both"/>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numPr>
          <w:ilvl w:val="0"/>
          <w:numId w:val="3"/>
        </w:numPr>
        <w:shd w:val="clear" w:color="auto" w:fill="auto"/>
        <w:tabs>
          <w:tab w:pos="1113" w:val="left"/>
        </w:tabs>
        <w:bidi w:val="0"/>
        <w:spacing w:before="0" w:after="120"/>
        <w:ind w:left="0" w:right="0" w:firstLine="70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numPr>
          <w:ilvl w:val="0"/>
          <w:numId w:val="3"/>
        </w:numPr>
        <w:shd w:val="clear" w:color="auto" w:fill="auto"/>
        <w:tabs>
          <w:tab w:pos="1136" w:val="left"/>
        </w:tabs>
        <w:bidi w:val="0"/>
        <w:spacing w:before="0" w:line="257" w:lineRule="auto"/>
        <w:ind w:left="1140" w:right="0" w:hanging="42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9"/>
        <w:keepNext/>
        <w:keepLines/>
        <w:widowControl w:val="0"/>
        <w:numPr>
          <w:ilvl w:val="1"/>
          <w:numId w:val="1"/>
        </w:numPr>
        <w:shd w:val="clear" w:color="auto" w:fill="auto"/>
        <w:tabs>
          <w:tab w:pos="590" w:val="left"/>
        </w:tabs>
        <w:bidi w:val="0"/>
        <w:spacing w:before="0"/>
        <w:ind w:left="0" w:right="0" w:firstLine="0"/>
        <w:jc w:val="left"/>
      </w:pPr>
      <w:bookmarkStart w:id="14" w:name="bookmark14"/>
      <w:bookmarkStart w:id="15" w:name="bookmark15"/>
      <w:r>
        <w:rPr>
          <w:color w:val="000000"/>
          <w:spacing w:val="0"/>
          <w:w w:val="100"/>
          <w:position w:val="0"/>
          <w:shd w:val="clear" w:color="auto" w:fill="auto"/>
          <w:lang w:val="cs-CZ" w:eastAsia="cs-CZ" w:bidi="cs-CZ"/>
        </w:rPr>
        <w:t>Práce po dokončení stavby spočívající zejména v činnostech:</w:t>
      </w:r>
      <w:bookmarkEnd w:id="14"/>
      <w:bookmarkEnd w:id="15"/>
    </w:p>
    <w:p>
      <w:pPr>
        <w:pStyle w:val="Style2"/>
        <w:keepNext w:val="0"/>
        <w:keepLines w:val="0"/>
        <w:widowControl w:val="0"/>
        <w:numPr>
          <w:ilvl w:val="0"/>
          <w:numId w:val="3"/>
        </w:numPr>
        <w:shd w:val="clear" w:color="auto" w:fill="auto"/>
        <w:tabs>
          <w:tab w:pos="1136" w:val="left"/>
        </w:tabs>
        <w:bidi w:val="0"/>
        <w:spacing w:before="0" w:line="257" w:lineRule="auto"/>
        <w:ind w:left="1140" w:right="0" w:hanging="420"/>
        <w:jc w:val="both"/>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
        <w:keepNext w:val="0"/>
        <w:keepLines w:val="0"/>
        <w:widowControl w:val="0"/>
        <w:numPr>
          <w:ilvl w:val="0"/>
          <w:numId w:val="3"/>
        </w:numPr>
        <w:shd w:val="clear" w:color="auto" w:fill="auto"/>
        <w:tabs>
          <w:tab w:pos="1136" w:val="left"/>
        </w:tabs>
        <w:bidi w:val="0"/>
        <w:spacing w:before="0" w:line="257" w:lineRule="auto"/>
        <w:ind w:left="1140" w:right="0" w:hanging="420"/>
        <w:jc w:val="both"/>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
        <w:keepNext w:val="0"/>
        <w:keepLines w:val="0"/>
        <w:widowControl w:val="0"/>
        <w:numPr>
          <w:ilvl w:val="0"/>
          <w:numId w:val="3"/>
        </w:numPr>
        <w:shd w:val="clear" w:color="auto" w:fill="auto"/>
        <w:tabs>
          <w:tab w:pos="1136" w:val="left"/>
        </w:tabs>
        <w:bidi w:val="0"/>
        <w:spacing w:before="0" w:after="480" w:line="264" w:lineRule="auto"/>
        <w:ind w:left="1140" w:right="0" w:hanging="420"/>
        <w:jc w:val="both"/>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4</w:t>
      </w:r>
    </w:p>
    <w:p>
      <w:pPr>
        <w:pStyle w:val="Style29"/>
        <w:keepNext/>
        <w:keepLines/>
        <w:widowControl w:val="0"/>
        <w:shd w:val="clear" w:color="auto" w:fill="auto"/>
        <w:bidi w:val="0"/>
        <w:spacing w:before="0" w:line="254"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Čas plnění</w:t>
      </w:r>
      <w:bookmarkEnd w:id="16"/>
      <w:bookmarkEnd w:id="17"/>
    </w:p>
    <w:p>
      <w:pPr>
        <w:pStyle w:val="Style2"/>
        <w:keepNext w:val="0"/>
        <w:keepLines w:val="0"/>
        <w:widowControl w:val="0"/>
        <w:numPr>
          <w:ilvl w:val="0"/>
          <w:numId w:val="5"/>
        </w:numPr>
        <w:shd w:val="clear" w:color="auto" w:fill="auto"/>
        <w:tabs>
          <w:tab w:pos="590" w:val="left"/>
        </w:tabs>
        <w:bidi w:val="0"/>
        <w:spacing w:before="0"/>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2"/>
        <w:keepNext w:val="0"/>
        <w:keepLines w:val="0"/>
        <w:widowControl w:val="0"/>
        <w:numPr>
          <w:ilvl w:val="0"/>
          <w:numId w:val="5"/>
        </w:numPr>
        <w:shd w:val="clear" w:color="auto" w:fill="auto"/>
        <w:tabs>
          <w:tab w:pos="590" w:val="left"/>
        </w:tabs>
        <w:bidi w:val="0"/>
        <w:spacing w:before="0" w:after="480" w:line="257" w:lineRule="auto"/>
        <w:ind w:left="0" w:right="0" w:firstLine="0"/>
        <w:jc w:val="both"/>
      </w:pPr>
      <w:r>
        <w:rPr>
          <w:color w:val="000000"/>
          <w:spacing w:val="0"/>
          <w:w w:val="100"/>
          <w:position w:val="0"/>
          <w:shd w:val="clear" w:color="auto" w:fill="auto"/>
          <w:lang w:val="cs-CZ" w:eastAsia="cs-CZ" w:bidi="cs-CZ"/>
        </w:rPr>
        <w:t>TDS ukončí činnost předáním a převzetím dokončené stavby mezi zhotovitelem a objednatelem na základě předávacího protokolu.</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5</w:t>
      </w:r>
    </w:p>
    <w:p>
      <w:pPr>
        <w:pStyle w:val="Style29"/>
        <w:keepNext/>
        <w:keepLines/>
        <w:widowControl w:val="0"/>
        <w:shd w:val="clear" w:color="auto" w:fill="auto"/>
        <w:bidi w:val="0"/>
        <w:spacing w:before="0" w:line="254"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Odměna TDS, platební podmínky</w:t>
      </w:r>
      <w:bookmarkEnd w:id="18"/>
      <w:bookmarkEnd w:id="19"/>
    </w:p>
    <w:p>
      <w:pPr>
        <w:pStyle w:val="Style2"/>
        <w:keepNext w:val="0"/>
        <w:keepLines w:val="0"/>
        <w:widowControl w:val="0"/>
        <w:numPr>
          <w:ilvl w:val="0"/>
          <w:numId w:val="7"/>
        </w:numPr>
        <w:shd w:val="clear" w:color="auto" w:fill="auto"/>
        <w:tabs>
          <w:tab w:pos="590" w:val="left"/>
        </w:tabs>
        <w:bidi w:val="0"/>
        <w:spacing w:before="0" w:after="360" w:line="252" w:lineRule="auto"/>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60"/>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309"/>
        <w:gridCol w:w="3737"/>
      </w:tblGrid>
      <w:tr>
        <w:trPr>
          <w:trHeight w:val="504"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20.000,- Kč bez DPH</w:t>
            </w:r>
          </w:p>
        </w:tc>
      </w:tr>
      <w:tr>
        <w:trPr>
          <w:trHeight w:val="49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25.000,- Kč bez DPH</w:t>
            </w:r>
          </w:p>
        </w:tc>
      </w:tr>
      <w:tr>
        <w:trPr>
          <w:trHeight w:val="49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45.000,- Kč</w:t>
            </w:r>
          </w:p>
        </w:tc>
      </w:tr>
      <w:tr>
        <w:trPr>
          <w:trHeight w:val="425"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9.450,- Kč</w:t>
            </w:r>
          </w:p>
        </w:tc>
      </w:tr>
      <w:tr>
        <w:trPr>
          <w:trHeight w:val="565" w:hRule="exact"/>
        </w:trPr>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54.450,- Kč</w:t>
            </w:r>
          </w:p>
        </w:tc>
      </w:tr>
    </w:tbl>
    <w:p>
      <w:pPr>
        <w:widowControl w:val="0"/>
        <w:spacing w:after="359" w:line="1" w:lineRule="exact"/>
      </w:pPr>
    </w:p>
    <w:p>
      <w:pPr>
        <w:widowControl w:val="0"/>
        <w:spacing w:line="1" w:lineRule="exact"/>
      </w:pPr>
    </w:p>
    <w:p>
      <w:pPr>
        <w:pStyle w:val="Style25"/>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 xml:space="preserve">b) </w:t>
      </w:r>
      <w:r>
        <w:rPr>
          <w:i w:val="0"/>
          <w:iCs w:val="0"/>
          <w:color w:val="000000"/>
          <w:spacing w:val="0"/>
          <w:w w:val="100"/>
          <w:position w:val="0"/>
          <w:sz w:val="22"/>
          <w:szCs w:val="22"/>
          <w:u w:val="single"/>
          <w:shd w:val="clear" w:color="auto" w:fill="auto"/>
          <w:lang w:val="cs-CZ" w:eastAsia="cs-CZ" w:bidi="cs-CZ"/>
        </w:rPr>
        <w:t>Výkon TDS - práce spojené s prováděním stavby</w:t>
      </w:r>
    </w:p>
    <w:tbl>
      <w:tblPr>
        <w:tblOverlap w:val="never"/>
        <w:jc w:val="center"/>
        <w:tblLayout w:type="fixed"/>
      </w:tblPr>
      <w:tblGrid>
        <w:gridCol w:w="4309"/>
        <w:gridCol w:w="3740"/>
      </w:tblGrid>
      <w:tr>
        <w:trPr>
          <w:trHeight w:val="698"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600,- Kč bez DPH</w:t>
            </w:r>
          </w:p>
        </w:tc>
      </w:tr>
      <w:tr>
        <w:trPr>
          <w:trHeight w:val="680" w:hRule="exact"/>
        </w:trPr>
        <w:tc>
          <w:tcPr>
            <w:tcBorders>
              <w:top w:val="single" w:sz="4"/>
              <w:left w:val="single" w:sz="4"/>
              <w:bottom w:val="single" w:sz="4"/>
            </w:tcBorders>
            <w:shd w:val="clear" w:color="auto" w:fill="FFFFFF"/>
            <w:vAlign w:val="top"/>
          </w:tcPr>
          <w:p>
            <w:pPr>
              <w:pStyle w:val="Style22"/>
              <w:keepNext w:val="0"/>
              <w:keepLines w:val="0"/>
              <w:widowControl w:val="0"/>
              <w:shd w:val="clear" w:color="auto" w:fill="auto"/>
              <w:bidi w:val="0"/>
              <w:spacing w:before="80" w:after="0" w:line="257"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700,- Kč bez DPH</w:t>
            </w:r>
          </w:p>
        </w:tc>
      </w:tr>
    </w:tbl>
    <w:p>
      <w:pPr>
        <w:pStyle w:val="Style2"/>
        <w:keepNext w:val="0"/>
        <w:keepLines w:val="0"/>
        <w:widowControl w:val="0"/>
        <w:numPr>
          <w:ilvl w:val="0"/>
          <w:numId w:val="7"/>
        </w:numPr>
        <w:shd w:val="clear" w:color="auto" w:fill="auto"/>
        <w:tabs>
          <w:tab w:pos="561" w:val="left"/>
        </w:tabs>
        <w:bidi w:val="0"/>
        <w:spacing w:before="0" w:line="257"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2"/>
        <w:keepNext w:val="0"/>
        <w:keepLines w:val="0"/>
        <w:widowControl w:val="0"/>
        <w:numPr>
          <w:ilvl w:val="0"/>
          <w:numId w:val="7"/>
        </w:numPr>
        <w:shd w:val="clear" w:color="auto" w:fill="auto"/>
        <w:tabs>
          <w:tab w:pos="561" w:val="left"/>
        </w:tabs>
        <w:bidi w:val="0"/>
        <w:spacing w:before="0" w:line="257"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61" w:val="left"/>
        </w:tabs>
        <w:bidi w:val="0"/>
        <w:spacing w:before="0" w:line="264"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2"/>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2"/>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61"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2"/>
        <w:keepNext w:val="0"/>
        <w:keepLines w:val="0"/>
        <w:widowControl w:val="0"/>
        <w:numPr>
          <w:ilvl w:val="0"/>
          <w:numId w:val="7"/>
        </w:numPr>
        <w:shd w:val="clear" w:color="auto" w:fill="auto"/>
        <w:tabs>
          <w:tab w:pos="635" w:val="left"/>
        </w:tabs>
        <w:bidi w:val="0"/>
        <w:spacing w:before="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610"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610" w:val="left"/>
        </w:tabs>
        <w:bidi w:val="0"/>
        <w:spacing w:before="0" w:line="252"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2"/>
        <w:keepNext w:val="0"/>
        <w:keepLines w:val="0"/>
        <w:widowControl w:val="0"/>
        <w:numPr>
          <w:ilvl w:val="0"/>
          <w:numId w:val="7"/>
        </w:numPr>
        <w:shd w:val="clear" w:color="auto" w:fill="auto"/>
        <w:tabs>
          <w:tab w:pos="610" w:val="left"/>
        </w:tabs>
        <w:bidi w:val="0"/>
        <w:spacing w:before="0" w:after="54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29"/>
        <w:keepNext/>
        <w:keepLines/>
        <w:widowControl w:val="0"/>
        <w:shd w:val="clear" w:color="auto" w:fill="auto"/>
        <w:bidi w:val="0"/>
        <w:spacing w:before="0" w:line="254"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Práva a povinnosti smluvních stran</w:t>
      </w:r>
      <w:bookmarkEnd w:id="20"/>
      <w:bookmarkEnd w:id="21"/>
    </w:p>
    <w:p>
      <w:pPr>
        <w:pStyle w:val="Style2"/>
        <w:keepNext w:val="0"/>
        <w:keepLines w:val="0"/>
        <w:widowControl w:val="0"/>
        <w:numPr>
          <w:ilvl w:val="0"/>
          <w:numId w:val="9"/>
        </w:numPr>
        <w:shd w:val="clear" w:color="auto" w:fill="auto"/>
        <w:tabs>
          <w:tab w:pos="561" w:val="left"/>
        </w:tabs>
        <w:bidi w:val="0"/>
        <w:spacing w:before="0" w:line="259"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56" w:val="left"/>
        </w:tabs>
        <w:bidi w:val="0"/>
        <w:spacing w:before="0" w:line="264"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2"/>
        <w:keepNext w:val="0"/>
        <w:keepLines w:val="0"/>
        <w:widowControl w:val="0"/>
        <w:numPr>
          <w:ilvl w:val="0"/>
          <w:numId w:val="9"/>
        </w:numPr>
        <w:shd w:val="clear" w:color="auto" w:fill="auto"/>
        <w:tabs>
          <w:tab w:pos="556" w:val="left"/>
        </w:tabs>
        <w:bidi w:val="0"/>
        <w:spacing w:before="0" w:after="220" w:line="257"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9"/>
        <w:keepNext/>
        <w:keepLines/>
        <w:widowControl w:val="0"/>
        <w:shd w:val="clear" w:color="auto" w:fill="auto"/>
        <w:bidi w:val="0"/>
        <w:spacing w:before="0" w:after="0"/>
        <w:ind w:left="1300" w:right="0" w:firstLine="0"/>
        <w:jc w:val="both"/>
      </w:pPr>
      <w:bookmarkStart w:id="22" w:name="bookmark22"/>
      <w:bookmarkStart w:id="23" w:name="bookmark23"/>
      <w:r>
        <w:rPr>
          <w:color w:val="000000"/>
          <w:spacing w:val="0"/>
          <w:w w:val="100"/>
          <w:position w:val="0"/>
          <w:shd w:val="clear" w:color="auto" w:fill="auto"/>
          <w:lang w:val="cs-CZ" w:eastAsia="cs-CZ" w:bidi="cs-CZ"/>
        </w:rPr>
        <w:t>Odpovědný TDS — Mosty a inženýrské konstrukce</w:t>
      </w:r>
      <w:bookmarkEnd w:id="22"/>
      <w:bookmarkEnd w:id="23"/>
    </w:p>
    <w:p>
      <w:pPr>
        <w:pStyle w:val="Style2"/>
        <w:keepNext w:val="0"/>
        <w:keepLines w:val="0"/>
        <w:widowControl w:val="0"/>
        <w:shd w:val="clear" w:color="auto" w:fill="auto"/>
        <w:bidi w:val="0"/>
        <w:spacing w:before="0" w:after="0" w:line="257" w:lineRule="auto"/>
        <w:ind w:left="1300" w:right="0" w:firstLine="0"/>
        <w:jc w:val="both"/>
      </w:pPr>
      <w:r>
        <w:rPr>
          <w:color w:val="000000"/>
          <w:spacing w:val="0"/>
          <w:w w:val="100"/>
          <w:position w:val="0"/>
          <w:shd w:val="clear" w:color="auto" w:fill="auto"/>
          <w:lang w:val="cs-CZ" w:eastAsia="cs-CZ" w:bidi="cs-CZ"/>
        </w:rPr>
        <w:t>(jméno, příjmení, titul, číslo autorizace):</w:t>
      </w:r>
    </w:p>
    <w:p>
      <w:pPr>
        <w:pStyle w:val="Style2"/>
        <w:keepNext w:val="0"/>
        <w:keepLines w:val="0"/>
        <w:widowControl w:val="0"/>
        <w:shd w:val="clear" w:color="auto" w:fill="auto"/>
        <w:tabs>
          <w:tab w:pos="1688" w:val="left"/>
        </w:tabs>
        <w:bidi w:val="0"/>
        <w:spacing w:before="0" w:after="220" w:line="257" w:lineRule="auto"/>
        <w:ind w:left="0" w:right="0" w:firstLine="0"/>
        <w:jc w:val="center"/>
      </w:pPr>
      <w:r>
        <w:rPr>
          <w:color w:val="000000"/>
          <w:spacing w:val="0"/>
          <w:w w:val="100"/>
          <w:position w:val="0"/>
          <w:shd w:val="clear" w:color="auto" w:fill="auto"/>
          <w:lang w:val="cs-CZ" w:eastAsia="cs-CZ" w:bidi="cs-CZ"/>
        </w:rPr>
        <w:t>. ČKAIT</w:t>
        <w:tab/>
        <w:t>, tel.</w:t>
      </w:r>
    </w:p>
    <w:p>
      <w:pPr>
        <w:pStyle w:val="Style2"/>
        <w:keepNext w:val="0"/>
        <w:keepLines w:val="0"/>
        <w:widowControl w:val="0"/>
        <w:numPr>
          <w:ilvl w:val="0"/>
          <w:numId w:val="9"/>
        </w:numPr>
        <w:shd w:val="clear" w:color="auto" w:fill="auto"/>
        <w:tabs>
          <w:tab w:pos="556"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56" w:val="left"/>
        </w:tabs>
        <w:bidi w:val="0"/>
        <w:spacing w:before="0" w:line="257"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56" w:val="left"/>
        </w:tabs>
        <w:bidi w:val="0"/>
        <w:spacing w:before="0" w:line="257"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56"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5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56" w:val="left"/>
        </w:tabs>
        <w:bidi w:val="0"/>
        <w:spacing w:before="0" w:after="480"/>
        <w:ind w:left="0" w:right="0" w:firstLine="0"/>
        <w:jc w:val="both"/>
      </w:pPr>
      <w:r>
        <w:rPr>
          <w:color w:val="000000"/>
          <w:spacing w:val="0"/>
          <w:w w:val="100"/>
          <w:position w:val="0"/>
          <w:shd w:val="clear" w:color="auto" w:fill="auto"/>
          <w:lang w:val="cs-CZ" w:eastAsia="cs-CZ" w:bidi="cs-CZ"/>
        </w:rPr>
        <w:t>Dle § 2e) zákona č. 320/2001 Sb., o finanční kontrole ve veřejné správě a o změně některých zákonů (zákon o finanční kontrole), je TDS osobou povinnou spolupůsobit při výkonu finanční kontroly.</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7</w:t>
      </w:r>
    </w:p>
    <w:p>
      <w:pPr>
        <w:pStyle w:val="Style29"/>
        <w:keepNext/>
        <w:keepLines/>
        <w:widowControl w:val="0"/>
        <w:shd w:val="clear" w:color="auto" w:fill="auto"/>
        <w:bidi w:val="0"/>
        <w:spacing w:before="0"/>
        <w:ind w:left="0" w:right="0" w:firstLine="0"/>
        <w:jc w:val="center"/>
      </w:pPr>
      <w:bookmarkStart w:id="24" w:name="bookmark24"/>
      <w:bookmarkStart w:id="25" w:name="bookmark25"/>
      <w:r>
        <w:rPr>
          <w:color w:val="000000"/>
          <w:spacing w:val="0"/>
          <w:w w:val="100"/>
          <w:position w:val="0"/>
          <w:shd w:val="clear" w:color="auto" w:fill="auto"/>
          <w:lang w:val="cs-CZ" w:eastAsia="cs-CZ" w:bidi="cs-CZ"/>
        </w:rPr>
        <w:t>Změna závazku</w:t>
      </w:r>
      <w:bookmarkEnd w:id="24"/>
      <w:bookmarkEnd w:id="25"/>
    </w:p>
    <w:p>
      <w:pPr>
        <w:pStyle w:val="Style2"/>
        <w:keepNext w:val="0"/>
        <w:keepLines w:val="0"/>
        <w:widowControl w:val="0"/>
        <w:numPr>
          <w:ilvl w:val="0"/>
          <w:numId w:val="11"/>
        </w:numPr>
        <w:shd w:val="clear" w:color="auto" w:fill="auto"/>
        <w:tabs>
          <w:tab w:pos="556" w:val="left"/>
        </w:tabs>
        <w:bidi w:val="0"/>
        <w:spacing w:before="0" w:line="257"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56" w:val="left"/>
        </w:tabs>
        <w:bidi w:val="0"/>
        <w:spacing w:before="0" w:after="640" w:line="257" w:lineRule="auto"/>
        <w:ind w:left="0" w:right="0" w:firstLine="0"/>
        <w:jc w:val="both"/>
      </w:pPr>
      <w:r>
        <w:rPr>
          <w:b/>
          <w:bCs/>
          <w:color w:val="000000"/>
          <w:spacing w:val="0"/>
          <w:w w:val="100"/>
          <w:position w:val="0"/>
          <w:shd w:val="clear" w:color="auto" w:fill="auto"/>
          <w:lang w:val="cs-CZ" w:eastAsia="cs-CZ" w:bidi="cs-CZ"/>
        </w:rPr>
        <w:t xml:space="preserve">K </w:t>
      </w:r>
      <w:r>
        <w:rPr>
          <w:color w:val="000000"/>
          <w:spacing w:val="0"/>
          <w:w w:val="100"/>
          <w:position w:val="0"/>
          <w:shd w:val="clear" w:color="auto" w:fill="auto"/>
          <w:lang w:val="cs-CZ" w:eastAsia="cs-CZ" w:bidi="cs-CZ"/>
        </w:rPr>
        <w:t>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8</w:t>
      </w:r>
    </w:p>
    <w:p>
      <w:pPr>
        <w:pStyle w:val="Style29"/>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Sankce</w:t>
      </w:r>
      <w:bookmarkEnd w:id="26"/>
      <w:bookmarkEnd w:id="27"/>
    </w:p>
    <w:p>
      <w:pPr>
        <w:pStyle w:val="Style2"/>
        <w:keepNext w:val="0"/>
        <w:keepLines w:val="0"/>
        <w:widowControl w:val="0"/>
        <w:numPr>
          <w:ilvl w:val="0"/>
          <w:numId w:val="13"/>
        </w:numPr>
        <w:shd w:val="clear" w:color="auto" w:fill="auto"/>
        <w:tabs>
          <w:tab w:pos="556" w:val="left"/>
        </w:tabs>
        <w:bidi w:val="0"/>
        <w:spacing w:before="0"/>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pokutuje možné ukládat opakovaně, dokud nedojde ke zjednání nápravy.</w:t>
      </w:r>
    </w:p>
    <w:p>
      <w:pPr>
        <w:pStyle w:val="Style2"/>
        <w:keepNext w:val="0"/>
        <w:keepLines w:val="0"/>
        <w:widowControl w:val="0"/>
        <w:numPr>
          <w:ilvl w:val="0"/>
          <w:numId w:val="13"/>
        </w:numPr>
        <w:shd w:val="clear" w:color="auto" w:fill="auto"/>
        <w:tabs>
          <w:tab w:pos="556" w:val="left"/>
        </w:tabs>
        <w:bidi w:val="0"/>
        <w:spacing w:before="0" w:line="264"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56"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2"/>
        <w:keepNext w:val="0"/>
        <w:keepLines w:val="0"/>
        <w:widowControl w:val="0"/>
        <w:numPr>
          <w:ilvl w:val="0"/>
          <w:numId w:val="13"/>
        </w:numPr>
        <w:shd w:val="clear" w:color="auto" w:fill="auto"/>
        <w:tabs>
          <w:tab w:pos="559" w:val="left"/>
        </w:tabs>
        <w:bidi w:val="0"/>
        <w:spacing w:before="0" w:after="380"/>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29"/>
        <w:keepNext/>
        <w:keepLines/>
        <w:widowControl w:val="0"/>
        <w:shd w:val="clear" w:color="auto" w:fill="auto"/>
        <w:bidi w:val="0"/>
        <w:spacing w:before="0" w:line="254"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Odpovědnost za škodu</w:t>
      </w:r>
      <w:bookmarkEnd w:id="28"/>
      <w:bookmarkEnd w:id="29"/>
    </w:p>
    <w:p>
      <w:pPr>
        <w:pStyle w:val="Style2"/>
        <w:keepNext w:val="0"/>
        <w:keepLines w:val="0"/>
        <w:widowControl w:val="0"/>
        <w:numPr>
          <w:ilvl w:val="0"/>
          <w:numId w:val="15"/>
        </w:numPr>
        <w:shd w:val="clear" w:color="auto" w:fill="auto"/>
        <w:tabs>
          <w:tab w:pos="559"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59"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za </w:t>
      </w:r>
      <w:r>
        <w:rPr>
          <w:color w:val="000000"/>
          <w:spacing w:val="0"/>
          <w:w w:val="100"/>
          <w:position w:val="0"/>
          <w:shd w:val="clear" w:color="auto" w:fill="auto"/>
          <w:lang w:val="cs-CZ" w:eastAsia="cs-CZ" w:bidi="cs-CZ"/>
        </w:rPr>
        <w:t xml:space="preserve">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2"/>
        <w:keepNext w:val="0"/>
        <w:keepLines w:val="0"/>
        <w:widowControl w:val="0"/>
        <w:numPr>
          <w:ilvl w:val="0"/>
          <w:numId w:val="15"/>
        </w:numPr>
        <w:shd w:val="clear" w:color="auto" w:fill="auto"/>
        <w:tabs>
          <w:tab w:pos="559" w:val="left"/>
        </w:tabs>
        <w:bidi w:val="0"/>
        <w:spacing w:before="0" w:after="620" w:line="264"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29"/>
        <w:keepNext/>
        <w:keepLines/>
        <w:widowControl w:val="0"/>
        <w:shd w:val="clear" w:color="auto" w:fill="auto"/>
        <w:bidi w:val="0"/>
        <w:spacing w:before="0" w:line="254"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Ostatní ujednání, závěrečná ustanovení</w:t>
      </w:r>
      <w:bookmarkEnd w:id="30"/>
      <w:bookmarkEnd w:id="31"/>
    </w:p>
    <w:p>
      <w:pPr>
        <w:pStyle w:val="Style2"/>
        <w:keepNext w:val="0"/>
        <w:keepLines w:val="0"/>
        <w:widowControl w:val="0"/>
        <w:numPr>
          <w:ilvl w:val="0"/>
          <w:numId w:val="17"/>
        </w:numPr>
        <w:shd w:val="clear" w:color="auto" w:fill="auto"/>
        <w:tabs>
          <w:tab w:pos="602"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2"/>
        <w:keepNext w:val="0"/>
        <w:keepLines w:val="0"/>
        <w:widowControl w:val="0"/>
        <w:numPr>
          <w:ilvl w:val="0"/>
          <w:numId w:val="17"/>
        </w:numPr>
        <w:shd w:val="clear" w:color="auto" w:fill="auto"/>
        <w:tabs>
          <w:tab w:pos="609" w:val="left"/>
        </w:tabs>
        <w:bidi w:val="0"/>
        <w:spacing w:before="0"/>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613" w:val="left"/>
        </w:tabs>
        <w:bidi w:val="0"/>
        <w:spacing w:before="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602"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
        <w:keepNext w:val="0"/>
        <w:keepLines w:val="0"/>
        <w:widowControl w:val="0"/>
        <w:numPr>
          <w:ilvl w:val="0"/>
          <w:numId w:val="17"/>
        </w:numPr>
        <w:shd w:val="clear" w:color="auto" w:fill="auto"/>
        <w:tabs>
          <w:tab w:pos="609"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609"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606" w:val="left"/>
        </w:tabs>
        <w:bidi w:val="0"/>
        <w:spacing w:before="0" w:line="259"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591" w:val="left"/>
        </w:tabs>
        <w:bidi w:val="0"/>
        <w:spacing w:before="0"/>
        <w:ind w:left="0" w:right="0" w:firstLine="0"/>
        <w:jc w:val="both"/>
        <w:sectPr>
          <w:footnotePr>
            <w:pos w:val="pageBottom"/>
            <w:numFmt w:val="decimal"/>
            <w:numRestart w:val="continuous"/>
          </w:footnotePr>
          <w:type w:val="continuous"/>
          <w:pgSz w:w="11900" w:h="16840"/>
          <w:pgMar w:top="1760" w:left="1104" w:right="924" w:bottom="1914" w:header="1332" w:footer="3" w:gutter="0"/>
          <w:cols w:space="720"/>
          <w:noEndnote/>
          <w:rtlGutter w:val="0"/>
          <w:docGrid w:linePitch="360"/>
        </w:sectPr>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2"/>
        <w:keepNext w:val="0"/>
        <w:keepLines w:val="0"/>
        <w:framePr w:w="9839" w:h="1512" w:wrap="none" w:hAnchor="page" w:x="1115" w:y="1"/>
        <w:widowControl w:val="0"/>
        <w:numPr>
          <w:ilvl w:val="0"/>
          <w:numId w:val="19"/>
        </w:numPr>
        <w:shd w:val="clear" w:color="auto" w:fill="auto"/>
        <w:tabs>
          <w:tab w:pos="554" w:val="left"/>
        </w:tabs>
        <w:bidi w:val="0"/>
        <w:spacing w:before="0" w:line="259"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framePr w:w="9839" w:h="1512" w:wrap="none" w:hAnchor="page" w:x="1115" w:y="1"/>
        <w:widowControl w:val="0"/>
        <w:numPr>
          <w:ilvl w:val="0"/>
          <w:numId w:val="19"/>
        </w:numPr>
        <w:shd w:val="clear" w:color="auto" w:fill="auto"/>
        <w:tabs>
          <w:tab w:pos="688" w:val="left"/>
        </w:tabs>
        <w:bidi w:val="0"/>
        <w:spacing w:before="0" w:after="0" w:line="259" w:lineRule="auto"/>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2"/>
        <w:keepNext w:val="0"/>
        <w:keepLines w:val="0"/>
        <w:framePr w:w="4129" w:h="695" w:wrap="none" w:hAnchor="page" w:x="1122" w:y="1959"/>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framePr w:w="4129" w:h="695" w:wrap="none" w:hAnchor="page" w:x="1122" w:y="19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 xml:space="preserve">Příloha </w:t>
      </w:r>
      <w:r>
        <w:rPr>
          <w:b/>
          <w:bCs/>
          <w:i/>
          <w:iCs/>
          <w:color w:val="000000"/>
          <w:spacing w:val="0"/>
          <w:w w:val="100"/>
          <w:position w:val="0"/>
          <w:shd w:val="clear" w:color="auto" w:fill="auto"/>
          <w:lang w:val="cs-CZ" w:eastAsia="cs-CZ" w:bidi="cs-CZ"/>
        </w:rPr>
        <w:t>č.</w:t>
      </w:r>
      <w:r>
        <w:rPr>
          <w:b/>
          <w:bCs/>
          <w:color w:val="000000"/>
          <w:spacing w:val="0"/>
          <w:w w:val="100"/>
          <w:position w:val="0"/>
          <w:shd w:val="clear" w:color="auto" w:fill="auto"/>
          <w:lang w:val="cs-CZ" w:eastAsia="cs-CZ" w:bidi="cs-CZ"/>
        </w:rPr>
        <w:t xml:space="preserve"> 1 - Kalkulace odměny TDS</w:t>
      </w:r>
    </w:p>
    <w:p>
      <w:pPr>
        <w:pStyle w:val="Style2"/>
        <w:keepNext w:val="0"/>
        <w:keepLines w:val="0"/>
        <w:framePr w:w="554" w:h="295" w:wrap="none" w:hAnchor="page" w:x="1118" w:y="32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p>
      <w:pPr>
        <w:pStyle w:val="Style2"/>
        <w:keepNext w:val="0"/>
        <w:keepLines w:val="0"/>
        <w:framePr w:w="1159" w:h="299" w:wrap="none" w:hAnchor="page" w:x="6065" w:y="32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framePr w:w="2196" w:h="295" w:wrap="none" w:hAnchor="page" w:x="1126" w:y="40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25.6.2019</w:t>
      </w:r>
    </w:p>
    <w:p>
      <w:pPr>
        <w:pStyle w:val="Style34"/>
        <w:keepNext/>
        <w:keepLines/>
        <w:framePr w:w="3053" w:h="497" w:wrap="none" w:hAnchor="page" w:x="6014" w:y="3824"/>
        <w:widowControl w:val="0"/>
        <w:shd w:val="clear" w:color="auto" w:fill="auto"/>
        <w:bidi w:val="0"/>
        <w:spacing w:before="0" w:after="0" w:line="240" w:lineRule="auto"/>
        <w:ind w:left="0" w:right="0" w:firstLine="0"/>
        <w:jc w:val="right"/>
      </w:pPr>
      <w:bookmarkStart w:id="32" w:name="bookmark32"/>
      <w:bookmarkStart w:id="33" w:name="bookmark33"/>
      <w:r>
        <w:rPr>
          <w:color w:val="000000"/>
          <w:spacing w:val="0"/>
          <w:w w:val="100"/>
          <w:position w:val="0"/>
          <w:shd w:val="clear" w:color="auto" w:fill="auto"/>
          <w:lang w:val="cs-CZ" w:eastAsia="cs-CZ" w:bidi="cs-CZ"/>
        </w:rPr>
        <w:t>1 1 07. 2019</w:t>
      </w:r>
      <w:bookmarkEnd w:id="32"/>
      <w:bookmarkEnd w:id="33"/>
    </w:p>
    <w:p>
      <w:pPr>
        <w:pStyle w:val="Style2"/>
        <w:keepNext w:val="0"/>
        <w:keepLines w:val="0"/>
        <w:framePr w:w="3053" w:h="497" w:wrap="none" w:hAnchor="page" w:x="6014" w:y="3824"/>
        <w:widowControl w:val="0"/>
        <w:shd w:val="clear" w:color="auto" w:fill="auto"/>
        <w:tabs>
          <w:tab w:leader="dot" w:pos="1451" w:val="left"/>
          <w:tab w:leader="dot" w:pos="2981" w:val="left"/>
        </w:tabs>
        <w:bidi w:val="0"/>
        <w:spacing w:before="0" w:after="0" w:line="180" w:lineRule="auto"/>
        <w:ind w:left="0" w:right="0" w:firstLine="0"/>
        <w:jc w:val="right"/>
      </w:pPr>
      <w:r>
        <w:rPr>
          <w:color w:val="000000"/>
          <w:spacing w:val="0"/>
          <w:w w:val="100"/>
          <w:position w:val="0"/>
          <w:shd w:val="clear" w:color="auto" w:fill="auto"/>
          <w:lang w:val="cs-CZ" w:eastAsia="cs-CZ" w:bidi="cs-CZ"/>
        </w:rPr>
        <w:t xml:space="preserve">V Jihlavě dne: </w:t>
        <w:tab/>
        <w:tab/>
      </w:r>
    </w:p>
    <w:p>
      <w:pPr>
        <w:pStyle w:val="Style2"/>
        <w:keepNext w:val="0"/>
        <w:keepLines w:val="0"/>
        <w:framePr w:w="2506" w:h="590" w:wrap="none" w:hAnchor="page" w:x="2206" w:y="6323"/>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Ing. Antonín Pecha], CSc.</w:t>
        <w:br/>
        <w:t>jednatel společnosti</w:t>
      </w:r>
    </w:p>
    <w:p>
      <w:pPr>
        <w:pStyle w:val="Style2"/>
        <w:keepNext w:val="0"/>
        <w:keepLines w:val="0"/>
        <w:framePr w:w="2012" w:h="583" w:wrap="none" w:hAnchor="page" w:x="7296" w:y="6337"/>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Jan Mika, MBA</w:t>
        <w:br/>
        <w:t>ředitel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8" w:line="1" w:lineRule="exact"/>
      </w:pPr>
    </w:p>
    <w:p>
      <w:pPr>
        <w:widowControl w:val="0"/>
        <w:spacing w:line="1" w:lineRule="exact"/>
        <w:sectPr>
          <w:footnotePr>
            <w:pos w:val="pageBottom"/>
            <w:numFmt w:val="decimal"/>
            <w:numRestart w:val="continuous"/>
          </w:footnotePr>
          <w:pgSz w:w="11900" w:h="16840"/>
          <w:pgMar w:top="1740" w:left="1114" w:right="948" w:bottom="1572" w:header="1312" w:footer="3" w:gutter="0"/>
          <w:cols w:space="720"/>
          <w:noEndnote/>
          <w:rtlGutter w:val="0"/>
          <w:docGrid w:linePitch="360"/>
        </w:sectPr>
      </w:pPr>
    </w:p>
    <w:tbl>
      <w:tblPr>
        <w:tblOverlap w:val="never"/>
        <w:jc w:val="center"/>
        <w:tblLayout w:type="fixed"/>
      </w:tblPr>
      <w:tblGrid>
        <w:gridCol w:w="544"/>
        <w:gridCol w:w="5630"/>
        <w:gridCol w:w="1454"/>
        <w:gridCol w:w="1566"/>
      </w:tblGrid>
      <w:tr>
        <w:trPr>
          <w:trHeight w:val="482" w:hRule="exact"/>
        </w:trPr>
        <w:tc>
          <w:tcPr>
            <w:gridSpan w:val="4"/>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w:t>
            </w:r>
            <w:r>
              <w:rPr>
                <w:b/>
                <w:bCs/>
                <w:i/>
                <w:iCs/>
                <w:color w:val="000000"/>
                <w:spacing w:val="0"/>
                <w:w w:val="100"/>
                <w:position w:val="0"/>
                <w:sz w:val="17"/>
                <w:szCs w:val="17"/>
                <w:shd w:val="clear" w:color="auto" w:fill="auto"/>
                <w:lang w:val="cs-CZ" w:eastAsia="cs-CZ" w:bidi="cs-CZ"/>
              </w:rPr>
              <w:t>č.</w:t>
            </w:r>
            <w:r>
              <w:rPr>
                <w:color w:val="000000"/>
                <w:spacing w:val="0"/>
                <w:w w:val="100"/>
                <w:position w:val="0"/>
                <w:sz w:val="17"/>
                <w:szCs w:val="17"/>
                <w:shd w:val="clear" w:color="auto" w:fill="auto"/>
                <w:lang w:val="cs-CZ" w:eastAsia="cs-CZ" w:bidi="cs-CZ"/>
              </w:rPr>
              <w:t xml:space="preserve"> 1 - 108/2019/TDS/D2/POP/HB/sl</w:t>
            </w:r>
          </w:p>
        </w:tc>
      </w:tr>
      <w:tr>
        <w:trPr>
          <w:trHeight w:val="511" w:hRule="exact"/>
        </w:trPr>
        <w:tc>
          <w:tcPr>
            <w:gridSpan w:val="4"/>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TDS</w:t>
            </w:r>
          </w:p>
        </w:tc>
      </w:tr>
      <w:tr>
        <w:trPr>
          <w:trHeight w:val="356" w:hRule="exact"/>
        </w:trPr>
        <w:tc>
          <w:tcPr>
            <w:gridSpan w:val="4"/>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'*111/34723 Okrouhlice - most ev. č. 34723-1"</w:t>
            </w:r>
          </w:p>
        </w:tc>
      </w:tr>
      <w:tr>
        <w:trPr>
          <w:trHeight w:val="324" w:hRule="exact"/>
        </w:trPr>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34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b/>
                <w:bCs/>
                <w:i/>
                <w:i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80"/>
              <w:jc w:val="left"/>
              <w:rPr>
                <w:sz w:val="17"/>
                <w:szCs w:val="17"/>
              </w:rPr>
            </w:pPr>
            <w:r>
              <w:rPr>
                <w:b/>
                <w:bCs/>
                <w:i/>
                <w:iCs/>
                <w:color w:val="000000"/>
                <w:spacing w:val="0"/>
                <w:w w:val="100"/>
                <w:position w:val="0"/>
                <w:sz w:val="17"/>
                <w:szCs w:val="17"/>
                <w:shd w:val="clear" w:color="auto" w:fill="auto"/>
                <w:lang w:val="cs-CZ" w:eastAsia="cs-CZ" w:bidi="cs-CZ"/>
              </w:rPr>
              <w:t>celkem</w:t>
            </w:r>
          </w:p>
        </w:tc>
      </w:tr>
      <w:tr>
        <w:trPr>
          <w:trHeight w:val="436" w:hRule="exact"/>
        </w:trPr>
        <w:tc>
          <w:tcPr>
            <w:gridSpan w:val="4"/>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r>
      <w:tr>
        <w:trPr>
          <w:trHeight w:val="695"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71"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22"/>
              <w:keepNext w:val="0"/>
              <w:keepLines w:val="0"/>
              <w:widowControl w:val="0"/>
              <w:shd w:val="clear" w:color="auto" w:fill="auto"/>
              <w:bidi w:val="0"/>
              <w:spacing w:before="0" w:after="0" w:line="271"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se zahájením stavby, dle specifikace</w:t>
            </w:r>
            <w:r>
              <w:rPr>
                <w:b/>
                <w:bCs/>
                <w:color w:val="000000"/>
                <w:spacing w:val="0"/>
                <w:w w:val="100"/>
                <w:position w:val="0"/>
                <w:sz w:val="17"/>
                <w:szCs w:val="17"/>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3.1 Smlouvy.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20 000,00 Kč</w:t>
            </w:r>
          </w:p>
        </w:tc>
      </w:tr>
      <w:tr>
        <w:trPr>
          <w:trHeight w:val="72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dokončeni stavby</w:t>
            </w:r>
          </w:p>
          <w:p>
            <w:pPr>
              <w:pStyle w:val="Style22"/>
              <w:keepNext w:val="0"/>
              <w:keepLines w:val="0"/>
              <w:widowControl w:val="0"/>
              <w:shd w:val="clear" w:color="auto" w:fill="auto"/>
              <w:bidi w:val="0"/>
              <w:spacing w:before="0" w:after="0" w:line="27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 dokončením stavby, dle specifikace</w:t>
            </w:r>
            <w:r>
              <w:rPr>
                <w:b/>
                <w:bCs/>
                <w:color w:val="000000"/>
                <w:spacing w:val="0"/>
                <w:w w:val="100"/>
                <w:position w:val="0"/>
                <w:sz w:val="17"/>
                <w:szCs w:val="17"/>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3.3. Smlouvy.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25 000,00 Kč</w:t>
            </w:r>
          </w:p>
        </w:tc>
      </w:tr>
      <w:tr>
        <w:trPr>
          <w:trHeight w:val="482" w:hRule="exact"/>
        </w:trPr>
        <w:tc>
          <w:tcPr>
            <w:gridSpan w:val="2"/>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40"/>
              <w:jc w:val="left"/>
              <w:rPr>
                <w:sz w:val="18"/>
                <w:szCs w:val="18"/>
              </w:rPr>
            </w:pPr>
            <w:r>
              <w:rPr>
                <w:b/>
                <w:bCs/>
                <w:color w:val="000000"/>
                <w:spacing w:val="0"/>
                <w:w w:val="100"/>
                <w:position w:val="0"/>
                <w:sz w:val="18"/>
                <w:szCs w:val="18"/>
                <w:shd w:val="clear" w:color="auto" w:fill="auto"/>
                <w:lang w:val="cs-CZ" w:eastAsia="cs-CZ" w:bidi="cs-CZ"/>
              </w:rPr>
              <w:t>45 000,00 Kč</w:t>
            </w:r>
          </w:p>
        </w:tc>
      </w:tr>
      <w:tr>
        <w:trPr>
          <w:trHeight w:val="716" w:hRule="exact"/>
        </w:trPr>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59"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22"/>
              <w:keepNext w:val="0"/>
              <w:keepLines w:val="0"/>
              <w:widowControl w:val="0"/>
              <w:shd w:val="clear" w:color="auto" w:fill="auto"/>
              <w:bidi w:val="0"/>
              <w:spacing w:before="0" w:after="0" w:line="276"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Účastník uvede nabídkovou cenu TDS za práce spojené sprováděním stavby, dle specifikace</w:t>
            </w:r>
            <w:r>
              <w:rPr>
                <w:b/>
                <w:bCs/>
                <w:color w:val="000000"/>
                <w:spacing w:val="0"/>
                <w:w w:val="100"/>
                <w:position w:val="0"/>
                <w:sz w:val="17"/>
                <w:szCs w:val="17"/>
                <w:shd w:val="clear" w:color="auto" w:fill="auto"/>
                <w:lang w:val="cs-CZ" w:eastAsia="cs-CZ" w:bidi="cs-CZ"/>
              </w:rPr>
              <w:t xml:space="preserve"> v </w:t>
            </w:r>
            <w:r>
              <w:rPr>
                <w:b/>
                <w:bCs/>
                <w:i/>
                <w:iCs/>
                <w:color w:val="000000"/>
                <w:spacing w:val="0"/>
                <w:w w:val="100"/>
                <w:position w:val="0"/>
                <w:sz w:val="17"/>
                <w:szCs w:val="17"/>
                <w:shd w:val="clear" w:color="auto" w:fill="auto"/>
                <w:lang w:val="cs-CZ" w:eastAsia="cs-CZ" w:bidi="cs-CZ"/>
              </w:rPr>
              <w:t>čl 3.2 Smlouvy.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57"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celkem za 10 hodin</w:t>
            </w:r>
          </w:p>
          <w:p>
            <w:pPr>
              <w:pStyle w:val="Style22"/>
              <w:keepNext w:val="0"/>
              <w:keepLines w:val="0"/>
              <w:widowControl w:val="0"/>
              <w:shd w:val="clear" w:color="auto" w:fill="auto"/>
              <w:bidi w:val="0"/>
              <w:spacing w:before="0" w:after="0" w:line="185"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k</w:t>
            </w:r>
          </w:p>
        </w:tc>
      </w:tr>
      <w:tr>
        <w:trPr>
          <w:trHeight w:val="8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v kanceláři</w:t>
            </w:r>
          </w:p>
          <w:p>
            <w:pPr>
              <w:pStyle w:val="Style22"/>
              <w:keepNext w:val="0"/>
              <w:keepLines w:val="0"/>
              <w:widowControl w:val="0"/>
              <w:numPr>
                <w:ilvl w:val="0"/>
                <w:numId w:val="21"/>
              </w:numPr>
              <w:shd w:val="clear" w:color="auto" w:fill="auto"/>
              <w:tabs>
                <w:tab w:pos="101"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w:t>
            </w:r>
            <w:r>
              <w:rPr>
                <w:b/>
                <w:bCs/>
                <w:color w:val="000000"/>
                <w:spacing w:val="0"/>
                <w:w w:val="100"/>
                <w:position w:val="0"/>
                <w:sz w:val="17"/>
                <w:szCs w:val="17"/>
                <w:shd w:val="clear" w:color="auto" w:fill="auto"/>
                <w:lang w:val="cs-CZ" w:eastAsia="cs-CZ" w:bidi="cs-CZ"/>
              </w:rPr>
              <w:t>náklady bez nároku na cestové</w:t>
            </w:r>
          </w:p>
          <w:p>
            <w:pPr>
              <w:pStyle w:val="Style22"/>
              <w:keepNext w:val="0"/>
              <w:keepLines w:val="0"/>
              <w:widowControl w:val="0"/>
              <w:numPr>
                <w:ilvl w:val="0"/>
                <w:numId w:val="21"/>
              </w:numPr>
              <w:shd w:val="clear" w:color="auto" w:fill="auto"/>
              <w:tabs>
                <w:tab w:pos="101"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640"/>
              <w:jc w:val="left"/>
              <w:rPr>
                <w:sz w:val="17"/>
                <w:szCs w:val="17"/>
              </w:rPr>
            </w:pPr>
            <w:r>
              <w:rPr>
                <w:color w:val="000000"/>
                <w:spacing w:val="0"/>
                <w:w w:val="100"/>
                <w:position w:val="0"/>
                <w:sz w:val="17"/>
                <w:szCs w:val="17"/>
                <w:shd w:val="clear" w:color="auto" w:fill="auto"/>
                <w:lang w:val="cs-CZ" w:eastAsia="cs-CZ" w:bidi="cs-CZ"/>
              </w:rPr>
              <w:t>6 000,00 Kč</w:t>
            </w:r>
          </w:p>
        </w:tc>
      </w:tr>
      <w:tr>
        <w:trPr>
          <w:trHeight w:val="511" w:hRule="exact"/>
        </w:trPr>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4.</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69"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na staveništi</w:t>
            </w:r>
          </w:p>
          <w:p>
            <w:pPr>
              <w:pStyle w:val="Style22"/>
              <w:keepNext w:val="0"/>
              <w:keepLines w:val="0"/>
              <w:widowControl w:val="0"/>
              <w:numPr>
                <w:ilvl w:val="0"/>
                <w:numId w:val="23"/>
              </w:numPr>
              <w:shd w:val="clear" w:color="auto" w:fill="auto"/>
              <w:tabs>
                <w:tab w:pos="101" w:val="left"/>
              </w:tabs>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náklady </w:t>
            </w:r>
            <w:r>
              <w:rPr>
                <w:b/>
                <w:bCs/>
                <w:color w:val="000000"/>
                <w:spacing w:val="0"/>
                <w:w w:val="100"/>
                <w:position w:val="0"/>
                <w:sz w:val="17"/>
                <w:szCs w:val="17"/>
                <w:shd w:val="clear" w:color="auto" w:fill="auto"/>
                <w:lang w:val="cs-CZ" w:eastAsia="cs-CZ" w:bidi="cs-CZ"/>
              </w:rPr>
              <w:t>včetně cestovného</w:t>
            </w:r>
          </w:p>
          <w:p>
            <w:pPr>
              <w:pStyle w:val="Style22"/>
              <w:keepNext w:val="0"/>
              <w:keepLines w:val="0"/>
              <w:widowControl w:val="0"/>
              <w:numPr>
                <w:ilvl w:val="0"/>
                <w:numId w:val="23"/>
              </w:numPr>
              <w:shd w:val="clear" w:color="auto" w:fill="auto"/>
              <w:tabs>
                <w:tab w:pos="104" w:val="left"/>
              </w:tabs>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 xml:space="preserve">2 návštěvy/týden á 3 hodiny, celkem 18 týdnů </w:t>
            </w:r>
            <w:r>
              <w:rPr>
                <w:i/>
                <w:iCs/>
                <w:color w:val="000000"/>
                <w:spacing w:val="0"/>
                <w:w w:val="100"/>
                <w:position w:val="0"/>
                <w:sz w:val="17"/>
                <w:szCs w:val="17"/>
                <w:shd w:val="clear" w:color="auto" w:fill="auto"/>
                <w:lang w:val="cs-CZ" w:eastAsia="cs-CZ" w:bidi="cs-CZ"/>
              </w:rPr>
              <w:t xml:space="preserve">(vzorec pro výpočet hodin : 2 návštěvy x 3 hod. výkonu TDSx 18 týdnů = </w:t>
            </w:r>
            <w:r>
              <w:rPr>
                <w:b/>
                <w:bCs/>
                <w:i/>
                <w:iCs/>
                <w:color w:val="000000"/>
                <w:spacing w:val="0"/>
                <w:w w:val="100"/>
                <w:position w:val="0"/>
                <w:sz w:val="17"/>
                <w:szCs w:val="17"/>
                <w:shd w:val="clear" w:color="auto" w:fill="auto"/>
                <w:lang w:val="cs-CZ" w:eastAsia="cs-CZ" w:bidi="cs-CZ"/>
              </w:rPr>
              <w:t>108 hodin výkonu TDS celkem)</w:t>
            </w:r>
          </w:p>
        </w:tc>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700,00 Kč</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52"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 za 108 hodin *</w:t>
            </w:r>
          </w:p>
        </w:tc>
      </w:tr>
      <w:tr>
        <w:trPr>
          <w:trHeight w:val="846"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75 600,00 Kč</w:t>
            </w:r>
          </w:p>
        </w:tc>
      </w:tr>
      <w:tr>
        <w:trPr>
          <w:trHeight w:val="475" w:hRule="exact"/>
        </w:trPr>
        <w:tc>
          <w:tcPr>
            <w:gridSpan w:val="2"/>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40"/>
              <w:jc w:val="left"/>
              <w:rPr>
                <w:sz w:val="18"/>
                <w:szCs w:val="18"/>
              </w:rPr>
            </w:pPr>
            <w:r>
              <w:rPr>
                <w:b/>
                <w:bCs/>
                <w:color w:val="000000"/>
                <w:spacing w:val="0"/>
                <w:w w:val="100"/>
                <w:position w:val="0"/>
                <w:sz w:val="18"/>
                <w:szCs w:val="18"/>
                <w:shd w:val="clear" w:color="auto" w:fill="auto"/>
                <w:lang w:val="cs-CZ" w:eastAsia="cs-CZ" w:bidi="cs-CZ"/>
              </w:rPr>
              <w:t>81600,00 Kč</w:t>
            </w:r>
          </w:p>
        </w:tc>
      </w:tr>
      <w:tr>
        <w:trPr>
          <w:trHeight w:val="479"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-'s'</w:t>
            </w:r>
          </w:p>
          <w:p>
            <w:pPr>
              <w:pStyle w:val="Style22"/>
              <w:keepNext w:val="0"/>
              <w:keepLines w:val="0"/>
              <w:widowControl w:val="0"/>
              <w:shd w:val="clear" w:color="auto" w:fill="auto"/>
              <w:tabs>
                <w:tab w:pos="1258" w:val="left"/>
              </w:tabs>
              <w:bidi w:val="0"/>
              <w:spacing w:before="0" w:after="0" w:line="180" w:lineRule="auto"/>
              <w:ind w:left="0" w:right="0" w:firstLine="340"/>
              <w:jc w:val="left"/>
              <w:rPr>
                <w:sz w:val="12"/>
                <w:szCs w:val="12"/>
              </w:rPr>
            </w:pPr>
            <w:r>
              <w:rPr>
                <w:rFonts w:ascii="Arial" w:eastAsia="Arial" w:hAnsi="Arial" w:cs="Arial"/>
                <w:i/>
                <w:iCs/>
                <w:smallCaps/>
                <w:color w:val="000000"/>
                <w:spacing w:val="0"/>
                <w:w w:val="100"/>
                <w:position w:val="0"/>
                <w:sz w:val="8"/>
                <w:szCs w:val="8"/>
                <w:shd w:val="clear" w:color="auto" w:fill="auto"/>
                <w:lang w:val="cs-CZ" w:eastAsia="cs-CZ" w:bidi="cs-CZ"/>
              </w:rPr>
              <w:t>j</w:t>
            </w:r>
            <w:r>
              <w:rPr>
                <w:rFonts w:ascii="Arial" w:eastAsia="Arial" w:hAnsi="Arial" w:cs="Arial"/>
                <w:color w:val="000000"/>
                <w:spacing w:val="0"/>
                <w:w w:val="100"/>
                <w:position w:val="0"/>
                <w:sz w:val="8"/>
                <w:szCs w:val="8"/>
                <w:shd w:val="clear" w:color="auto" w:fill="auto"/>
                <w:lang w:val="cs-CZ" w:eastAsia="cs-CZ" w:bidi="cs-CZ"/>
              </w:rPr>
              <w:t xml:space="preserve"> i -</w:t>
              <w:tab/>
            </w:r>
            <w:r>
              <w:rPr>
                <w:rFonts w:ascii="Arial" w:eastAsia="Arial" w:hAnsi="Arial" w:cs="Arial"/>
                <w:smallCaps/>
                <w:color w:val="000000"/>
                <w:spacing w:val="0"/>
                <w:w w:val="100"/>
                <w:position w:val="0"/>
                <w:sz w:val="12"/>
                <w:szCs w:val="12"/>
                <w:shd w:val="clear" w:color="auto" w:fill="auto"/>
                <w:lang w:val="cs-CZ" w:eastAsia="cs-CZ" w:bidi="cs-CZ"/>
              </w:rPr>
              <w:t>JBmC</w:t>
            </w:r>
          </w:p>
        </w:tc>
      </w:tr>
      <w:tr>
        <w:trPr>
          <w:trHeight w:val="446"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16" w:hRule="exact"/>
        </w:trPr>
        <w:tc>
          <w:tcPr>
            <w:gridSpan w:val="2"/>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5"/>
        <w:keepNext w:val="0"/>
        <w:keepLines w:val="0"/>
        <w:widowControl w:val="0"/>
        <w:shd w:val="clear" w:color="auto" w:fill="auto"/>
        <w:bidi w:val="0"/>
        <w:spacing w:before="0" w:after="0" w:line="240" w:lineRule="auto"/>
        <w:ind w:left="655" w:right="0" w:firstLine="0"/>
        <w:jc w:val="left"/>
      </w:pPr>
      <w:r>
        <w:rPr>
          <w:color w:val="000000"/>
          <w:spacing w:val="0"/>
          <w:w w:val="100"/>
          <w:position w:val="0"/>
          <w:shd w:val="clear" w:color="auto" w:fill="auto"/>
          <w:lang w:val="cs-CZ" w:eastAsia="cs-CZ" w:bidi="cs-CZ"/>
        </w:rPr>
        <w:t>Tabulka pro zpracování ceny plněni bude jako příloha nedílnou součástí Smlouvy o zajištěni výkonu TDS na staveništi</w:t>
      </w:r>
    </w:p>
    <w:p>
      <w:pPr>
        <w:widowControl w:val="0"/>
        <w:spacing w:after="319" w:line="1" w:lineRule="exact"/>
      </w:pPr>
    </w:p>
    <w:p>
      <w:pPr>
        <w:pStyle w:val="Style4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dokončeni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w:t>
      </w:r>
      <w:r>
        <w:rPr>
          <w:b w:val="0"/>
          <w:bCs w:val="0"/>
          <w:color w:val="000000"/>
          <w:spacing w:val="0"/>
          <w:w w:val="100"/>
          <w:position w:val="0"/>
          <w:shd w:val="clear" w:color="auto" w:fill="auto"/>
          <w:lang w:val="cs-CZ" w:eastAsia="cs-CZ" w:bidi="cs-CZ"/>
        </w:rPr>
        <w:t xml:space="preserve">ve </w:t>
      </w:r>
      <w:r>
        <w:rPr>
          <w:color w:val="000000"/>
          <w:spacing w:val="0"/>
          <w:w w:val="100"/>
          <w:position w:val="0"/>
          <w:shd w:val="clear" w:color="auto" w:fill="auto"/>
          <w:lang w:val="cs-CZ" w:eastAsia="cs-CZ" w:bidi="cs-CZ"/>
        </w:rPr>
        <w:t>Smlouvě o zajištění výkonu TDS.</w:t>
      </w:r>
    </w:p>
    <w:p>
      <w:pPr>
        <w:pStyle w:val="Style4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w:t>
      </w:r>
      <w:r>
        <w:rPr>
          <w:b w:val="0"/>
          <w:bCs w:val="0"/>
          <w:i w:val="0"/>
          <w:iCs w:val="0"/>
          <w:color w:val="000000"/>
          <w:spacing w:val="0"/>
          <w:w w:val="100"/>
          <w:position w:val="0"/>
          <w:u w:val="single"/>
          <w:shd w:val="clear" w:color="auto" w:fill="auto"/>
          <w:lang w:val="cs-CZ" w:eastAsia="cs-CZ" w:bidi="cs-CZ"/>
        </w:rPr>
        <w:t xml:space="preserve"> v </w:t>
      </w:r>
      <w:r>
        <w:rPr>
          <w:b w:val="0"/>
          <w:bCs w:val="0"/>
          <w:color w:val="000000"/>
          <w:spacing w:val="0"/>
          <w:w w:val="100"/>
          <w:position w:val="0"/>
          <w:u w:val="single"/>
          <w:shd w:val="clear" w:color="auto" w:fill="auto"/>
          <w:lang w:val="cs-CZ" w:eastAsia="cs-CZ" w:bidi="cs-CZ"/>
        </w:rPr>
        <w:t>kanceláři při provádění stavby</w:t>
      </w:r>
      <w:r>
        <w:rPr>
          <w:b w:val="0"/>
          <w:bCs w:val="0"/>
          <w:i w:val="0"/>
          <w:iCs w:val="0"/>
          <w:color w:val="000000"/>
          <w:spacing w:val="0"/>
          <w:w w:val="100"/>
          <w:position w:val="0"/>
          <w:u w:val="single"/>
          <w:shd w:val="clear" w:color="auto" w:fill="auto"/>
          <w:lang w:val="cs-CZ" w:eastAsia="cs-CZ" w:bidi="cs-CZ"/>
        </w:rPr>
        <w:t xml:space="preserve"> v </w:t>
      </w:r>
      <w:r>
        <w:rPr>
          <w:b w:val="0"/>
          <w:bCs w:val="0"/>
          <w:color w:val="000000"/>
          <w:spacing w:val="0"/>
          <w:w w:val="100"/>
          <w:position w:val="0"/>
          <w:u w:val="single"/>
          <w:shd w:val="clear" w:color="auto" w:fill="auto"/>
          <w:lang w:val="cs-CZ" w:eastAsia="cs-CZ" w:bidi="cs-CZ"/>
        </w:rPr>
        <w:t>rozsahu I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w:t>
      </w:r>
      <w:r>
        <w:rPr>
          <w:b w:val="0"/>
          <w:bCs w:val="0"/>
          <w:color w:val="000000"/>
          <w:spacing w:val="0"/>
          <w:w w:val="100"/>
          <w:position w:val="0"/>
          <w:shd w:val="clear" w:color="auto" w:fill="auto"/>
          <w:lang w:val="cs-CZ" w:eastAsia="cs-CZ" w:bidi="cs-CZ"/>
        </w:rPr>
        <w:t xml:space="preserve">ve </w:t>
      </w:r>
      <w:r>
        <w:rPr>
          <w:color w:val="000000"/>
          <w:spacing w:val="0"/>
          <w:w w:val="100"/>
          <w:position w:val="0"/>
          <w:shd w:val="clear" w:color="auto" w:fill="auto"/>
          <w:lang w:val="cs-CZ" w:eastAsia="cs-CZ" w:bidi="cs-CZ"/>
        </w:rPr>
        <w:t xml:space="preserve">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9"/>
        <w:keepNext w:val="0"/>
        <w:keepLines w:val="0"/>
        <w:widowControl w:val="0"/>
        <w:shd w:val="clear" w:color="auto" w:fill="auto"/>
        <w:bidi w:val="0"/>
        <w:spacing w:before="0" w:after="14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w:t>
      </w:r>
      <w:r>
        <w:rPr>
          <w:b w:val="0"/>
          <w:bCs w:val="0"/>
          <w:i w:val="0"/>
          <w:iCs w:val="0"/>
          <w:color w:val="000000"/>
          <w:spacing w:val="0"/>
          <w:w w:val="100"/>
          <w:position w:val="0"/>
          <w:u w:val="single"/>
          <w:shd w:val="clear" w:color="auto" w:fill="auto"/>
          <w:lang w:val="cs-CZ" w:eastAsia="cs-CZ" w:bidi="cs-CZ"/>
        </w:rPr>
        <w:t xml:space="preserve"> v </w:t>
      </w:r>
      <w:r>
        <w:rPr>
          <w:b w:val="0"/>
          <w:bCs w:val="0"/>
          <w:color w:val="000000"/>
          <w:spacing w:val="0"/>
          <w:w w:val="100"/>
          <w:position w:val="0"/>
          <w:u w:val="single"/>
          <w:shd w:val="clear" w:color="auto" w:fill="auto"/>
          <w:lang w:val="cs-CZ" w:eastAsia="cs-CZ" w:bidi="cs-CZ"/>
        </w:rPr>
        <w:t>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doloženě skutečnosti.</w:t>
      </w:r>
    </w:p>
    <w:p>
      <w:pPr>
        <w:pStyle w:val="Style49"/>
        <w:keepNext w:val="0"/>
        <w:keepLines w:val="0"/>
        <w:widowControl w:val="0"/>
        <w:shd w:val="clear" w:color="auto" w:fill="auto"/>
        <w:bidi w:val="0"/>
        <w:spacing w:before="0" w:after="240" w:line="264" w:lineRule="auto"/>
        <w:ind w:left="0" w:right="0" w:firstLine="0"/>
        <w:jc w:val="left"/>
      </w:pPr>
      <w:r>
        <w:rPr>
          <w:b w:val="0"/>
          <w:bCs w:val="0"/>
          <w:color w:val="000000"/>
          <w:spacing w:val="0"/>
          <w:w w:val="100"/>
          <w:position w:val="0"/>
          <w:shd w:val="clear" w:color="auto" w:fill="auto"/>
          <w:lang w:val="cs-CZ" w:eastAsia="cs-CZ" w:bidi="cs-CZ"/>
        </w:rPr>
        <w:t xml:space="preserve">* Cena za práci </w:t>
      </w:r>
      <w:r>
        <w:rPr>
          <w:color w:val="000000"/>
          <w:spacing w:val="0"/>
          <w:w w:val="100"/>
          <w:position w:val="0"/>
          <w:shd w:val="clear" w:color="auto" w:fill="auto"/>
          <w:lang w:val="cs-CZ" w:eastAsia="cs-CZ" w:bidi="cs-CZ"/>
        </w:rPr>
        <w:t xml:space="preserve">na </w:t>
      </w:r>
      <w:r>
        <w:rPr>
          <w:b w:val="0"/>
          <w:bCs w:val="0"/>
          <w:color w:val="000000"/>
          <w:spacing w:val="0"/>
          <w:w w:val="100"/>
          <w:position w:val="0"/>
          <w:shd w:val="clear" w:color="auto" w:fill="auto"/>
          <w:lang w:val="cs-CZ" w:eastAsia="cs-CZ" w:bidi="cs-CZ"/>
        </w:rPr>
        <w:t>staveništi při provádění stavby (pol. č. 3 ač. 4)</w:t>
      </w:r>
      <w:r>
        <w:rPr>
          <w:b w:val="0"/>
          <w:bCs w:val="0"/>
          <w:i w:val="0"/>
          <w:iCs w:val="0"/>
          <w:color w:val="000000"/>
          <w:spacing w:val="0"/>
          <w:w w:val="100"/>
          <w:position w:val="0"/>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w:t>
      </w:r>
      <w:r>
        <w:rPr>
          <w:b w:val="0"/>
          <w:bCs w:val="0"/>
          <w:i w:val="0"/>
          <w:iCs w:val="0"/>
          <w:color w:val="000000"/>
          <w:spacing w:val="0"/>
          <w:w w:val="100"/>
          <w:position w:val="0"/>
          <w:shd w:val="clear" w:color="auto" w:fill="auto"/>
          <w:lang w:val="cs-CZ" w:eastAsia="cs-CZ" w:bidi="cs-CZ"/>
        </w:rPr>
        <w:t xml:space="preserve"> v </w:t>
      </w:r>
      <w:r>
        <w:rPr>
          <w:color w:val="000000"/>
          <w:spacing w:val="0"/>
          <w:w w:val="100"/>
          <w:position w:val="0"/>
          <w:shd w:val="clear" w:color="auto" w:fill="auto"/>
          <w:lang w:val="cs-CZ" w:eastAsia="cs-CZ" w:bidi="cs-CZ"/>
        </w:rPr>
        <w:t xml:space="preserve">kanceláři a 108 hodin na staveništi </w:t>
      </w:r>
      <w:r>
        <w:rPr>
          <w:b w:val="0"/>
          <w:bCs w:val="0"/>
          <w:color w:val="000000"/>
          <w:spacing w:val="0"/>
          <w:w w:val="100"/>
          <w:position w:val="0"/>
          <w:shd w:val="clear" w:color="auto" w:fill="auto"/>
          <w:lang w:val="cs-CZ" w:eastAsia="cs-CZ" w:bidi="cs-CZ"/>
        </w:rPr>
        <w:t xml:space="preserve">je uvedena pouze pro rovnocenné hodnocení podaných nabídek. Ve </w:t>
      </w:r>
      <w:r>
        <w:rPr>
          <w:color w:val="000000"/>
          <w:spacing w:val="0"/>
          <w:w w:val="100"/>
          <w:position w:val="0"/>
          <w:shd w:val="clear" w:color="auto" w:fill="auto"/>
          <w:lang w:val="cs-CZ" w:eastAsia="cs-CZ" w:bidi="cs-CZ"/>
        </w:rPr>
        <w:t>Smlouvě o zajištění výkonu TDS uvedena nebude.</w:t>
      </w:r>
    </w:p>
    <w:p>
      <w:pPr>
        <w:pStyle w:val="Style49"/>
        <w:keepNext w:val="0"/>
        <w:keepLines w:val="0"/>
        <w:widowControl w:val="0"/>
        <w:shd w:val="clear" w:color="auto" w:fill="auto"/>
        <w:bidi w:val="0"/>
        <w:spacing w:before="0" w:after="420"/>
        <w:ind w:left="0" w:right="0" w:firstLine="0"/>
        <w:jc w:val="left"/>
      </w:pPr>
      <w:r>
        <w:rPr>
          <w:b w:val="0"/>
          <w:bCs w:val="0"/>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49"/>
        <w:keepNext w:val="0"/>
        <w:keepLines w:val="0"/>
        <w:widowControl w:val="0"/>
        <w:shd w:val="clear" w:color="auto" w:fill="auto"/>
        <w:bidi w:val="0"/>
        <w:spacing w:before="0" w:after="620" w:line="240" w:lineRule="auto"/>
        <w:ind w:left="0" w:right="0" w:firstLine="0"/>
        <w:jc w:val="left"/>
      </w:pPr>
      <w:r>
        <w:rPr>
          <w:b w:val="0"/>
          <w:bCs w:val="0"/>
          <w:i w:val="0"/>
          <w:iCs w:val="0"/>
          <w:color w:val="000000"/>
          <w:spacing w:val="0"/>
          <w:w w:val="100"/>
          <w:position w:val="0"/>
          <w:shd w:val="clear" w:color="auto" w:fill="auto"/>
          <w:lang w:val="cs-CZ" w:eastAsia="cs-CZ" w:bidi="cs-CZ"/>
        </w:rPr>
        <w:t>VBmě dne 25.6.2019</w:t>
      </w:r>
    </w:p>
    <w:p>
      <w:pPr>
        <w:pStyle w:val="Style49"/>
        <w:keepNext w:val="0"/>
        <w:keepLines w:val="0"/>
        <w:widowControl w:val="0"/>
        <w:pBdr>
          <w:top w:val="single" w:sz="4" w:space="0" w:color="auto"/>
        </w:pBdr>
        <w:shd w:val="clear" w:color="auto" w:fill="auto"/>
        <w:bidi w:val="0"/>
        <w:spacing w:before="0" w:after="200" w:line="276" w:lineRule="auto"/>
        <w:ind w:left="6660" w:right="0" w:hanging="180"/>
        <w:jc w:val="left"/>
      </w:pPr>
      <w:r>
        <w:rPr>
          <w:b w:val="0"/>
          <w:bCs w:val="0"/>
          <w:color w:val="000000"/>
          <w:spacing w:val="0"/>
          <w:w w:val="100"/>
          <w:position w:val="0"/>
          <w:shd w:val="clear" w:color="auto" w:fill="auto"/>
          <w:lang w:val="cs-CZ" w:eastAsia="cs-CZ" w:bidi="cs-CZ"/>
        </w:rPr>
        <w:t>Titul, jméno, příjmení a funkce osoby oprávněné jednat za dodavatele</w:t>
      </w:r>
    </w:p>
    <w:sectPr>
      <w:footerReference w:type="default" r:id="rId8"/>
      <w:footnotePr>
        <w:pos w:val="pageBottom"/>
        <w:numFmt w:val="decimal"/>
        <w:numRestart w:val="continuous"/>
      </w:footnotePr>
      <w:pgSz w:w="11900" w:h="16840"/>
      <w:pgMar w:top="1388" w:left="1153" w:right="889" w:bottom="1388" w:header="960" w:footer="96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5715635</wp:posOffset>
              </wp:positionH>
              <wp:positionV relativeFrom="page">
                <wp:posOffset>9648825</wp:posOffset>
              </wp:positionV>
              <wp:extent cx="637540" cy="91440"/>
              <wp:wrapNone/>
              <wp:docPr id="3" name="Shape 3"/>
              <a:graphic xmlns:a="http://schemas.openxmlformats.org/drawingml/2006/main">
                <a:graphicData uri="http://schemas.microsoft.com/office/word/2010/wordprocessingShape">
                  <wps:wsp>
                    <wps:cNvSpPr txBox="1"/>
                    <wps:spPr>
                      <a:xfrm>
                        <a:ext cx="63754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29" type="#_x0000_t202" style="position:absolute;margin-left:450.05000000000001pt;margin-top:759.75pt;width:50.2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736600</wp:posOffset>
              </wp:positionH>
              <wp:positionV relativeFrom="page">
                <wp:posOffset>9657715</wp:posOffset>
              </wp:positionV>
              <wp:extent cx="3952240" cy="233045"/>
              <wp:wrapNone/>
              <wp:docPr id="5" name="Shape 5"/>
              <a:graphic xmlns:a="http://schemas.openxmlformats.org/drawingml/2006/main">
                <a:graphicData uri="http://schemas.microsoft.com/office/word/2010/wordprocessingShape">
                  <wps:wsp>
                    <wps:cNvSpPr txBox="1"/>
                    <wps:spPr>
                      <a:xfrm>
                        <a:ext cx="3952240" cy="2330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Smlouva o zajištění výkonu TDS na staveništi - </w:t>
                          </w:r>
                          <w:r>
                            <w:rPr>
                              <w:b/>
                              <w:bCs/>
                              <w:color w:val="000000"/>
                              <w:spacing w:val="0"/>
                              <w:w w:val="100"/>
                              <w:position w:val="0"/>
                              <w:sz w:val="18"/>
                              <w:szCs w:val="18"/>
                              <w:shd w:val="clear" w:color="auto" w:fill="auto"/>
                              <w:lang w:val="cs-CZ" w:eastAsia="cs-CZ" w:bidi="cs-CZ"/>
                            </w:rPr>
                            <w:t>108/2019/TDS/D2/POP/HB/sl</w:t>
                          </w:r>
                        </w:p>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akce: III/34723 Okrouhlice — most ev. č. 34723-1</w:t>
                          </w:r>
                        </w:p>
                      </w:txbxContent>
                    </wps:txbx>
                    <wps:bodyPr wrap="none" lIns="0" tIns="0" rIns="0" bIns="0">
                      <a:spAutoFit/>
                    </wps:bodyPr>
                  </wps:wsp>
                </a:graphicData>
              </a:graphic>
            </wp:anchor>
          </w:drawing>
        </mc:Choice>
        <mc:Fallback>
          <w:pict>
            <v:shape id="_x0000_s1031" type="#_x0000_t202" style="position:absolute;margin-left:58.pt;margin-top:760.45000000000005pt;width:311.19999999999999pt;height:18.35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Smlouva o zajištění výkonu TDS na staveništi - </w:t>
                    </w:r>
                    <w:r>
                      <w:rPr>
                        <w:b/>
                        <w:bCs/>
                        <w:color w:val="000000"/>
                        <w:spacing w:val="0"/>
                        <w:w w:val="100"/>
                        <w:position w:val="0"/>
                        <w:sz w:val="18"/>
                        <w:szCs w:val="18"/>
                        <w:shd w:val="clear" w:color="auto" w:fill="auto"/>
                        <w:lang w:val="cs-CZ" w:eastAsia="cs-CZ" w:bidi="cs-CZ"/>
                      </w:rPr>
                      <w:t>108/2019/TDS/D2/POP/HB/sl</w:t>
                    </w:r>
                  </w:p>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akce: III/34723 Okrouhlice — most ev. č. 34723-1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711835</wp:posOffset>
              </wp:positionH>
              <wp:positionV relativeFrom="page">
                <wp:posOffset>9605645</wp:posOffset>
              </wp:positionV>
              <wp:extent cx="6236335" cy="0"/>
              <wp:wrapNone/>
              <wp:docPr id="7" name="Shape 7"/>
              <a:graphic xmlns:a="http://schemas.openxmlformats.org/drawingml/2006/main">
                <a:graphicData uri="http://schemas.microsoft.com/office/word/2010/wordprocessingShape">
                  <wps:wsp>
                    <wps:cNvCnPr/>
                    <wps:spPr>
                      <a:xfrm>
                        <a:ext cx="6236335" cy="0"/>
                      </a:xfrm>
                      <a:prstGeom prst="straightConnector1"/>
                      <a:ln w="12700">
                        <a:solidFill/>
                      </a:ln>
                    </wps:spPr>
                    <wps:bodyPr/>
                  </wps:wsp>
                </a:graphicData>
              </a:graphic>
            </wp:anchor>
          </w:drawing>
        </mc:Choice>
        <mc:Fallback>
          <w:pict>
            <v:shape o:spt="32" o:oned="true" path="m,l21600,21600e" style="position:absolute;margin-left:56.049999999999997pt;margin-top:756.35000000000002pt;width:491.0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9"/>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1_"/>
    <w:basedOn w:val="DefaultParagraphFont"/>
    <w:link w:val="Style5"/>
    <w:rPr>
      <w:rFonts w:ascii="Times New Roman" w:eastAsia="Times New Roman" w:hAnsi="Times New Roman" w:cs="Times New Roman"/>
      <w:b/>
      <w:bCs/>
      <w:i w:val="0"/>
      <w:iCs w:val="0"/>
      <w:smallCaps w:val="0"/>
      <w:strike w:val="0"/>
      <w:sz w:val="38"/>
      <w:szCs w:val="3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Times New Roman" w:eastAsia="Times New Roman" w:hAnsi="Times New Roman" w:cs="Times New Roman"/>
      <w:b/>
      <w:bCs/>
      <w:i w:val="0"/>
      <w:iCs w:val="0"/>
      <w:smallCaps w:val="0"/>
      <w:strike w:val="0"/>
      <w:sz w:val="30"/>
      <w:szCs w:val="30"/>
      <w:u w:val="none"/>
    </w:rPr>
  </w:style>
  <w:style w:type="character" w:customStyle="1" w:styleId="CharStyle15">
    <w:name w:val="Základní text (3)_"/>
    <w:basedOn w:val="DefaultParagraphFont"/>
    <w:link w:val="Style14"/>
    <w:rPr>
      <w:rFonts w:ascii="Times New Roman" w:eastAsia="Times New Roman" w:hAnsi="Times New Roman" w:cs="Times New Roman"/>
      <w:b w:val="0"/>
      <w:bCs w:val="0"/>
      <w:i/>
      <w:iCs/>
      <w:smallCaps w:val="0"/>
      <w:strike w:val="0"/>
      <w:sz w:val="19"/>
      <w:szCs w:val="19"/>
      <w:u w:val="none"/>
    </w:rPr>
  </w:style>
  <w:style w:type="character" w:customStyle="1" w:styleId="CharStyle17">
    <w:name w:val="Základní text (5)_"/>
    <w:basedOn w:val="DefaultParagraphFont"/>
    <w:link w:val="Style16"/>
    <w:rPr>
      <w:rFonts w:ascii="Times New Roman" w:eastAsia="Times New Roman" w:hAnsi="Times New Roman" w:cs="Times New Roman"/>
      <w:b w:val="0"/>
      <w:bCs w:val="0"/>
      <w:i/>
      <w:iCs/>
      <w:smallCaps w:val="0"/>
      <w:strike w:val="0"/>
      <w:sz w:val="34"/>
      <w:szCs w:val="34"/>
      <w:u w:val="none"/>
    </w:rPr>
  </w:style>
  <w:style w:type="character" w:customStyle="1" w:styleId="CharStyle20">
    <w:name w:val="Základní text (4)_"/>
    <w:basedOn w:val="DefaultParagraphFont"/>
    <w:link w:val="Style19"/>
    <w:rPr>
      <w:rFonts w:ascii="Times New Roman" w:eastAsia="Times New Roman" w:hAnsi="Times New Roman" w:cs="Times New Roman"/>
      <w:b/>
      <w:bCs/>
      <w:i w:val="0"/>
      <w:iCs w:val="0"/>
      <w:smallCaps w:val="0"/>
      <w:strike w:val="0"/>
      <w:sz w:val="13"/>
      <w:szCs w:val="13"/>
      <w:u w:val="none"/>
    </w:rPr>
  </w:style>
  <w:style w:type="character" w:customStyle="1" w:styleId="CharStyle23">
    <w:name w:val="Jiné_"/>
    <w:basedOn w:val="DefaultParagraphFont"/>
    <w:link w:val="Style22"/>
    <w:rPr>
      <w:rFonts w:ascii="Times New Roman" w:eastAsia="Times New Roman" w:hAnsi="Times New Roman" w:cs="Times New Roman"/>
      <w:b w:val="0"/>
      <w:bCs w:val="0"/>
      <w:i w:val="0"/>
      <w:iCs w:val="0"/>
      <w:smallCaps w:val="0"/>
      <w:strike w:val="0"/>
      <w:sz w:val="22"/>
      <w:szCs w:val="22"/>
      <w:u w:val="none"/>
    </w:rPr>
  </w:style>
  <w:style w:type="character" w:customStyle="1" w:styleId="CharStyle26">
    <w:name w:val="Titulek tabulky_"/>
    <w:basedOn w:val="DefaultParagraphFont"/>
    <w:link w:val="Style25"/>
    <w:rPr>
      <w:rFonts w:ascii="Times New Roman" w:eastAsia="Times New Roman" w:hAnsi="Times New Roman" w:cs="Times New Roman"/>
      <w:b/>
      <w:bCs/>
      <w:i/>
      <w:iCs/>
      <w:smallCaps w:val="0"/>
      <w:strike w:val="0"/>
      <w:sz w:val="16"/>
      <w:szCs w:val="16"/>
      <w:u w:val="none"/>
    </w:rPr>
  </w:style>
  <w:style w:type="character" w:customStyle="1" w:styleId="CharStyle30">
    <w:name w:val="Nadpis #4_"/>
    <w:basedOn w:val="DefaultParagraphFont"/>
    <w:link w:val="Style29"/>
    <w:rPr>
      <w:rFonts w:ascii="Times New Roman" w:eastAsia="Times New Roman" w:hAnsi="Times New Roman" w:cs="Times New Roman"/>
      <w:b/>
      <w:bCs/>
      <w:i w:val="0"/>
      <w:iCs w:val="0"/>
      <w:smallCaps w:val="0"/>
      <w:strike w:val="0"/>
      <w:sz w:val="22"/>
      <w:szCs w:val="22"/>
      <w:u w:val="none"/>
    </w:rPr>
  </w:style>
  <w:style w:type="character" w:customStyle="1" w:styleId="CharStyle35">
    <w:name w:val="Nadpis #3_"/>
    <w:basedOn w:val="DefaultParagraphFont"/>
    <w:link w:val="Style34"/>
    <w:rPr>
      <w:rFonts w:ascii="Arial" w:eastAsia="Arial" w:hAnsi="Arial" w:cs="Arial"/>
      <w:b w:val="0"/>
      <w:bCs w:val="0"/>
      <w:i w:val="0"/>
      <w:iCs w:val="0"/>
      <w:smallCaps w:val="0"/>
      <w:strike w:val="0"/>
      <w:sz w:val="22"/>
      <w:szCs w:val="22"/>
      <w:u w:val="none"/>
    </w:rPr>
  </w:style>
  <w:style w:type="character" w:customStyle="1" w:styleId="CharStyle50">
    <w:name w:val="Základní text (2)_"/>
    <w:basedOn w:val="DefaultParagraphFont"/>
    <w:link w:val="Style49"/>
    <w:rPr>
      <w:rFonts w:ascii="Times New Roman" w:eastAsia="Times New Roman" w:hAnsi="Times New Roman" w:cs="Times New Roman"/>
      <w:b/>
      <w:bCs/>
      <w:i/>
      <w:iCs/>
      <w:smallCaps w:val="0"/>
      <w:strike w:val="0"/>
      <w:sz w:val="16"/>
      <w:szCs w:val="16"/>
      <w:u w:val="none"/>
    </w:rPr>
  </w:style>
  <w:style w:type="paragraph" w:customStyle="1" w:styleId="Style2">
    <w:name w:val="Základní text"/>
    <w:basedOn w:val="Normal"/>
    <w:link w:val="CharStyle3"/>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1"/>
    <w:basedOn w:val="Normal"/>
    <w:link w:val="CharStyle6"/>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spacing w:after="840"/>
      <w:ind w:left="2000"/>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14">
    <w:name w:val="Základní text (3)"/>
    <w:basedOn w:val="Normal"/>
    <w:link w:val="CharStyle15"/>
    <w:pPr>
      <w:widowControl w:val="0"/>
      <w:shd w:val="clear" w:color="auto" w:fill="FFFFFF"/>
      <w:spacing w:after="130"/>
    </w:pPr>
    <w:rPr>
      <w:rFonts w:ascii="Times New Roman" w:eastAsia="Times New Roman" w:hAnsi="Times New Roman" w:cs="Times New Roman"/>
      <w:b w:val="0"/>
      <w:bCs w:val="0"/>
      <w:i/>
      <w:iCs/>
      <w:smallCaps w:val="0"/>
      <w:strike w:val="0"/>
      <w:sz w:val="19"/>
      <w:szCs w:val="19"/>
      <w:u w:val="none"/>
    </w:rPr>
  </w:style>
  <w:style w:type="paragraph" w:customStyle="1" w:styleId="Style16">
    <w:name w:val="Základní text (5)"/>
    <w:basedOn w:val="Normal"/>
    <w:link w:val="CharStyle17"/>
    <w:pPr>
      <w:widowControl w:val="0"/>
      <w:shd w:val="clear" w:color="auto" w:fill="FFFFFF"/>
    </w:pPr>
    <w:rPr>
      <w:rFonts w:ascii="Times New Roman" w:eastAsia="Times New Roman" w:hAnsi="Times New Roman" w:cs="Times New Roman"/>
      <w:b w:val="0"/>
      <w:bCs w:val="0"/>
      <w:i/>
      <w:iCs/>
      <w:smallCaps w:val="0"/>
      <w:strike w:val="0"/>
      <w:sz w:val="34"/>
      <w:szCs w:val="34"/>
      <w:u w:val="none"/>
    </w:rPr>
  </w:style>
  <w:style w:type="paragraph" w:customStyle="1" w:styleId="Style19">
    <w:name w:val="Základní text (4)"/>
    <w:basedOn w:val="Normal"/>
    <w:link w:val="CharStyle20"/>
    <w:pPr>
      <w:widowControl w:val="0"/>
      <w:shd w:val="clear" w:color="auto" w:fill="FFFFFF"/>
      <w:spacing w:line="226" w:lineRule="auto"/>
      <w:ind w:left="2430"/>
      <w:jc w:val="right"/>
    </w:pPr>
    <w:rPr>
      <w:rFonts w:ascii="Times New Roman" w:eastAsia="Times New Roman" w:hAnsi="Times New Roman" w:cs="Times New Roman"/>
      <w:b/>
      <w:bCs/>
      <w:i w:val="0"/>
      <w:iCs w:val="0"/>
      <w:smallCaps w:val="0"/>
      <w:strike w:val="0"/>
      <w:sz w:val="13"/>
      <w:szCs w:val="13"/>
      <w:u w:val="none"/>
    </w:rPr>
  </w:style>
  <w:style w:type="paragraph" w:customStyle="1" w:styleId="Style22">
    <w:name w:val="Jiné"/>
    <w:basedOn w:val="Normal"/>
    <w:link w:val="CharStyle23"/>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5">
    <w:name w:val="Titulek tabulky"/>
    <w:basedOn w:val="Normal"/>
    <w:link w:val="CharStyle26"/>
    <w:pPr>
      <w:widowControl w:val="0"/>
      <w:shd w:val="clear" w:color="auto" w:fill="FFFFFF"/>
    </w:pPr>
    <w:rPr>
      <w:rFonts w:ascii="Times New Roman" w:eastAsia="Times New Roman" w:hAnsi="Times New Roman" w:cs="Times New Roman"/>
      <w:b/>
      <w:bCs/>
      <w:i/>
      <w:iCs/>
      <w:smallCaps w:val="0"/>
      <w:strike w:val="0"/>
      <w:sz w:val="16"/>
      <w:szCs w:val="16"/>
      <w:u w:val="none"/>
    </w:rPr>
  </w:style>
  <w:style w:type="paragraph" w:customStyle="1" w:styleId="Style29">
    <w:name w:val="Nadpis #4"/>
    <w:basedOn w:val="Normal"/>
    <w:link w:val="CharStyle30"/>
    <w:pPr>
      <w:widowControl w:val="0"/>
      <w:shd w:val="clear" w:color="auto" w:fill="FFFFFF"/>
      <w:spacing w:after="100" w:line="257" w:lineRule="auto"/>
      <w:jc w:val="center"/>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34">
    <w:name w:val="Nadpis #3"/>
    <w:basedOn w:val="Normal"/>
    <w:link w:val="CharStyle35"/>
    <w:pPr>
      <w:widowControl w:val="0"/>
      <w:shd w:val="clear" w:color="auto" w:fill="FFFFFF"/>
      <w:jc w:val="right"/>
      <w:outlineLvl w:val="2"/>
    </w:pPr>
    <w:rPr>
      <w:rFonts w:ascii="Arial" w:eastAsia="Arial" w:hAnsi="Arial" w:cs="Arial"/>
      <w:b w:val="0"/>
      <w:bCs w:val="0"/>
      <w:i w:val="0"/>
      <w:iCs w:val="0"/>
      <w:smallCaps w:val="0"/>
      <w:strike w:val="0"/>
      <w:sz w:val="22"/>
      <w:szCs w:val="22"/>
      <w:u w:val="none"/>
    </w:rPr>
  </w:style>
  <w:style w:type="paragraph" w:customStyle="1" w:styleId="Style49">
    <w:name w:val="Základní text (2)"/>
    <w:basedOn w:val="Normal"/>
    <w:link w:val="CharStyle50"/>
    <w:pPr>
      <w:widowControl w:val="0"/>
      <w:shd w:val="clear" w:color="auto" w:fill="FFFFFF"/>
      <w:spacing w:after="170" w:line="259"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s>
</file>