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p>
      <w:pPr>
        <w:pStyle w:val="Style11"/>
        <w:keepNext/>
        <w:keepLines/>
        <w:widowControl w:val="0"/>
        <w:shd w:val="clear" w:color="auto" w:fill="auto"/>
        <w:bidi w:val="0"/>
        <w:spacing w:before="0" w:line="240" w:lineRule="auto"/>
        <w:ind w:right="0" w:firstLine="0"/>
        <w:jc w:val="left"/>
      </w:pPr>
      <w:bookmarkStart w:id="2" w:name="bookmark2"/>
      <w:bookmarkStart w:id="3" w:name="bookmark3"/>
      <w:r>
        <w:rPr>
          <w:b w:val="0"/>
          <w:bCs w:val="0"/>
          <w:color w:val="000000"/>
          <w:spacing w:val="0"/>
          <w:w w:val="100"/>
          <w:position w:val="0"/>
          <w:sz w:val="22"/>
          <w:szCs w:val="22"/>
          <w:shd w:val="clear" w:color="auto" w:fill="auto"/>
          <w:lang w:val="cs-CZ" w:eastAsia="cs-CZ" w:bidi="cs-CZ"/>
        </w:rPr>
        <w:t xml:space="preserve">na akci: </w:t>
      </w:r>
      <w:r>
        <w:rPr>
          <w:color w:val="000000"/>
          <w:spacing w:val="0"/>
          <w:w w:val="100"/>
          <w:position w:val="0"/>
          <w:shd w:val="clear" w:color="auto" w:fill="auto"/>
          <w:lang w:val="cs-CZ" w:eastAsia="cs-CZ" w:bidi="cs-CZ"/>
        </w:rPr>
        <w:t>III/34723 Okrouhlice - most ev. č. 34723-1</w:t>
      </w:r>
      <w:bookmarkEnd w:id="2"/>
      <w:bookmarkEnd w:id="3"/>
    </w:p>
    <w:p>
      <w:pPr>
        <w:pStyle w:val="Style2"/>
        <w:keepNext w:val="0"/>
        <w:keepLines w:val="0"/>
        <w:widowControl w:val="0"/>
        <w:shd w:val="clear" w:color="auto" w:fill="auto"/>
        <w:bidi w:val="0"/>
        <w:spacing w:before="0" w:after="380" w:line="240" w:lineRule="auto"/>
        <w:ind w:left="0" w:right="0" w:firstLine="540"/>
        <w:jc w:val="left"/>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4"/>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Číslo smlouvy dodavatele:</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1</w:t>
        <w:br/>
        <w:t>Smluvní strany</w:t>
      </w:r>
    </w:p>
    <w:p>
      <w:pPr>
        <w:pStyle w:val="Style2"/>
        <w:keepNext w:val="0"/>
        <w:keepLines w:val="0"/>
        <w:widowControl w:val="0"/>
        <w:shd w:val="clear" w:color="auto" w:fill="auto"/>
        <w:bidi w:val="0"/>
        <w:spacing w:before="0" w:after="0" w:line="240" w:lineRule="auto"/>
        <w:ind w:left="0" w:right="0" w:firstLine="540"/>
        <w:jc w:val="left"/>
      </w:pPr>
      <w:r>
        <mc:AlternateContent>
          <mc:Choice Requires="wps">
            <w:drawing>
              <wp:anchor distT="0" distB="0" distL="114300" distR="114300" simplePos="0" relativeHeight="125829378" behindDoc="0" locked="0" layoutInCell="1" allowOverlap="1">
                <wp:simplePos x="0" y="0"/>
                <wp:positionH relativeFrom="page">
                  <wp:posOffset>709295</wp:posOffset>
                </wp:positionH>
                <wp:positionV relativeFrom="paragraph">
                  <wp:posOffset>12700</wp:posOffset>
                </wp:positionV>
                <wp:extent cx="791210" cy="356870"/>
                <wp:wrapSquare wrapText="right"/>
                <wp:docPr id="1" name="Shape 1"/>
                <a:graphic xmlns:a="http://schemas.openxmlformats.org/drawingml/2006/main">
                  <a:graphicData uri="http://schemas.microsoft.com/office/word/2010/wordprocessingShape">
                    <wps:wsp>
                      <wps:cNvSpPr txBox="1"/>
                      <wps:spPr>
                        <a:xfrm>
                          <a:ext cx="791210" cy="356870"/>
                        </a:xfrm>
                        <a:prstGeom prst="rect"/>
                        <a:noFill/>
                      </wps:spPr>
                      <wps:txbx>
                        <w:txbxContent>
                          <w:p>
                            <w:pPr>
                              <w:pStyle w:val="Style2"/>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se sídlem: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850000000000001pt;margin-top:1.pt;width:62.299999999999997pt;height:28.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se sídlem:</w:t>
                      </w:r>
                    </w:p>
                  </w:txbxContent>
                </v:textbox>
                <w10:wrap type="square" side="right" anchorx="page"/>
              </v:shape>
            </w:pict>
          </mc:Fallback>
        </mc:AlternateContent>
      </w: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540"/>
        <w:jc w:val="left"/>
        <w:sectPr>
          <w:footerReference w:type="default" r:id="rId5"/>
          <w:footnotePr>
            <w:pos w:val="pageBottom"/>
            <w:numFmt w:val="decimal"/>
            <w:numRestart w:val="continuous"/>
          </w:footnotePr>
          <w:pgSz w:w="11900" w:h="16840"/>
          <w:pgMar w:top="1765" w:left="1099" w:right="1455" w:bottom="2074" w:header="1337" w:footer="3" w:gutter="0"/>
          <w:pgNumType w:start="1"/>
          <w:cols w:space="720"/>
          <w:noEndnote/>
          <w:rtlGutter w:val="0"/>
          <w:docGrid w:linePitch="360"/>
        </w:sectPr>
      </w:pPr>
      <w:r>
        <w:rPr>
          <w:color w:val="000000"/>
          <w:spacing w:val="0"/>
          <w:w w:val="100"/>
          <w:position w:val="0"/>
          <w:shd w:val="clear" w:color="auto" w:fill="auto"/>
          <w:lang w:val="cs-CZ" w:eastAsia="cs-CZ" w:bidi="cs-CZ"/>
        </w:rPr>
        <w:t>Kosovská 1122/16, 586 01 Jihlava</w:t>
      </w: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702310</wp:posOffset>
                </wp:positionH>
                <wp:positionV relativeFrom="paragraph">
                  <wp:posOffset>12700</wp:posOffset>
                </wp:positionV>
                <wp:extent cx="4398010" cy="363220"/>
                <wp:wrapSquare wrapText="bothSides"/>
                <wp:docPr id="8" name="Shape 8"/>
                <a:graphic xmlns:a="http://schemas.openxmlformats.org/drawingml/2006/main">
                  <a:graphicData uri="http://schemas.microsoft.com/office/word/2010/wordprocessingShape">
                    <wps:wsp>
                      <wps:cNvSpPr txBox="1"/>
                      <wps:spPr>
                        <a:xfrm>
                          <a:ext cx="4398010" cy="363220"/>
                        </a:xfrm>
                        <a:prstGeom prst="rect"/>
                        <a:noFill/>
                      </wps:spPr>
                      <wps:txbx>
                        <w:txbxContent>
                          <w:p>
                            <w:pPr>
                              <w:pStyle w:val="Style2"/>
                              <w:keepNext w:val="0"/>
                              <w:keepLines w:val="0"/>
                              <w:widowControl w:val="0"/>
                              <w:shd w:val="clear" w:color="auto" w:fill="auto"/>
                              <w:tabs>
                                <w:tab w:pos="207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Janem Míkou, MBA,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4" type="#_x0000_t202" style="position:absolute;margin-left:55.299999999999997pt;margin-top:1.pt;width:346.30000000000001pt;height:28.600000000000001pt;z-index:-125829373;mso-wrap-distance-left:0;mso-wrap-distance-right:0;mso-position-horizontal-relative:page" filled="f" stroked="f">
                <v:textbox inset="0,0,0,0">
                  <w:txbxContent>
                    <w:p>
                      <w:pPr>
                        <w:pStyle w:val="Style2"/>
                        <w:keepNext w:val="0"/>
                        <w:keepLines w:val="0"/>
                        <w:widowControl w:val="0"/>
                        <w:shd w:val="clear" w:color="auto" w:fill="auto"/>
                        <w:tabs>
                          <w:tab w:pos="207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Janem Míkou, MBA,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type="square"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6301105</wp:posOffset>
                </wp:positionH>
                <wp:positionV relativeFrom="paragraph">
                  <wp:posOffset>1417320</wp:posOffset>
                </wp:positionV>
                <wp:extent cx="191770" cy="274320"/>
                <wp:wrapSquare wrapText="bothSides"/>
                <wp:docPr id="10" name="Shape 10"/>
                <a:graphic xmlns:a="http://schemas.openxmlformats.org/drawingml/2006/main">
                  <a:graphicData uri="http://schemas.microsoft.com/office/word/2010/wordprocessingShape">
                    <wps:wsp>
                      <wps:cNvSpPr txBox="1"/>
                      <wps:spPr>
                        <a:xfrm>
                          <a:ext cx="191770" cy="27432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txbxContent>
                      </wps:txbx>
                      <wps:bodyPr wrap="none" lIns="0" tIns="0" rIns="0" bIns="0">
                        <a:noAutoFit/>
                      </wps:bodyPr>
                    </wps:wsp>
                  </a:graphicData>
                </a:graphic>
              </wp:anchor>
            </w:drawing>
          </mc:Choice>
          <mc:Fallback>
            <w:pict>
              <v:shape id="_x0000_s1036" type="#_x0000_t202" style="position:absolute;margin-left:496.14999999999998pt;margin-top:111.59999999999999pt;width:15.1pt;height:21.600000000000001pt;z-index:-125829371;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txbxContent>
                </v:textbox>
                <w10:wrap type="square" anchorx="page"/>
              </v:shape>
            </w:pict>
          </mc:Fallback>
        </mc:AlternateContent>
      </w:r>
      <w:r>
        <w:drawing>
          <wp:anchor distT="0" distB="0" distL="114300" distR="114300" simplePos="0" relativeHeight="125829384" behindDoc="0" locked="0" layoutInCell="1" allowOverlap="1">
            <wp:simplePos x="0" y="0"/>
            <wp:positionH relativeFrom="page">
              <wp:posOffset>6492875</wp:posOffset>
            </wp:positionH>
            <wp:positionV relativeFrom="paragraph">
              <wp:posOffset>1463040</wp:posOffset>
            </wp:positionV>
            <wp:extent cx="91440" cy="152400"/>
            <wp:wrapSquare wrapText="bothSides"/>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6"/>
                    <a:stretch/>
                  </pic:blipFill>
                  <pic:spPr>
                    <a:xfrm>
                      <a:ext cx="91440" cy="152400"/>
                    </a:xfrm>
                    <a:prstGeom prst="rect"/>
                  </pic:spPr>
                </pic:pic>
              </a:graphicData>
            </a:graphic>
          </wp:anchor>
        </w:drawing>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2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00090450</w:t>
      </w:r>
    </w:p>
    <w:p>
      <w:pPr>
        <w:pStyle w:val="Style2"/>
        <w:keepNext w:val="0"/>
        <w:keepLines w:val="0"/>
        <w:widowControl w:val="0"/>
        <w:shd w:val="clear" w:color="auto" w:fill="auto"/>
        <w:tabs>
          <w:tab w:pos="2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tabs>
          <w:tab w:pos="2056"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 referent investiční výstavby</w:t>
      </w:r>
    </w:p>
    <w:p>
      <w:pPr>
        <w:pStyle w:val="Style19"/>
        <w:keepNext w:val="0"/>
        <w:keepLines w:val="0"/>
        <w:widowControl w:val="0"/>
        <w:shd w:val="clear" w:color="auto" w:fill="auto"/>
        <w:bidi w:val="0"/>
        <w:spacing w:before="0" w:after="0" w:line="209" w:lineRule="auto"/>
        <w:ind w:left="2700" w:right="0" w:firstLine="0"/>
        <w:jc w:val="left"/>
        <w:rPr>
          <w:sz w:val="14"/>
          <w:szCs w:val="14"/>
        </w:rPr>
      </w:pPr>
      <w:r>
        <w:rPr>
          <w:color w:val="000000"/>
          <w:spacing w:val="0"/>
          <w:w w:val="100"/>
          <w:position w:val="0"/>
          <w:sz w:val="14"/>
          <w:szCs w:val="14"/>
          <w:shd w:val="clear" w:color="auto" w:fill="auto"/>
          <w:lang w:val="cs-CZ" w:eastAsia="cs-CZ" w:bidi="cs-CZ"/>
        </w:rPr>
        <w:t>Krajek*</w:t>
      </w:r>
    </w:p>
    <w:p>
      <w:pPr>
        <w:pStyle w:val="Style19"/>
        <w:keepNext w:val="0"/>
        <w:keepLines w:val="0"/>
        <w:widowControl w:val="0"/>
        <w:shd w:val="clear" w:color="auto" w:fill="auto"/>
        <w:bidi w:val="0"/>
        <w:spacing w:before="0" w:after="0"/>
        <w:ind w:left="2160" w:right="0" w:firstLine="0"/>
        <w:jc w:val="right"/>
        <w:sectPr>
          <w:footnotePr>
            <w:pos w:val="pageBottom"/>
            <w:numFmt w:val="decimal"/>
            <w:numRestart w:val="continuous"/>
          </w:footnotePr>
          <w:type w:val="continuous"/>
          <w:pgSz w:w="11900" w:h="16840"/>
          <w:pgMar w:top="1765" w:left="1106" w:right="2456" w:bottom="2074" w:header="0" w:footer="3" w:gutter="0"/>
          <w:cols w:num="2" w:space="857"/>
          <w:noEndnote/>
          <w:rtlGutter w:val="0"/>
          <w:docGrid w:linePitch="360"/>
        </w:sectPr>
      </w:pPr>
      <w:r>
        <w:rPr>
          <w:color w:val="000000"/>
          <w:spacing w:val="0"/>
          <w:w w:val="100"/>
          <w:position w:val="0"/>
          <w:shd w:val="clear" w:color="auto" w:fill="auto"/>
          <w:lang w:val="cs-CZ" w:eastAsia="cs-CZ" w:bidi="cs-CZ"/>
        </w:rPr>
        <w:t>(linie Vysočiny, přfspč-</w:t>
      </w:r>
      <w:r>
        <w:rPr>
          <w:color w:val="000000"/>
          <w:spacing w:val="0"/>
          <w:w w:val="100"/>
          <w:position w:val="0"/>
          <w:shd w:val="clear" w:color="auto" w:fill="auto"/>
          <w:vertAlign w:val="subscript"/>
          <w:lang w:val="cs-CZ" w:eastAsia="cs-CZ" w:bidi="cs-CZ"/>
        </w:rPr>
        <w:t xml:space="preserve">;i </w:t>
      </w:r>
      <w:r>
        <w:rPr>
          <w:color w:val="000000"/>
          <w:spacing w:val="0"/>
          <w:w w:val="100"/>
          <w:position w:val="0"/>
          <w:shd w:val="clear" w:color="auto" w:fill="auto"/>
          <w:lang w:val="cs-CZ" w:eastAsia="cs-CZ" w:bidi="cs-CZ"/>
        </w:rPr>
        <w:t xml:space="preserve">Kosovjki </w:t>
      </w:r>
      <w:r>
        <w:rPr>
          <w:color w:val="000000"/>
          <w:spacing w:val="0"/>
          <w:w w:val="100"/>
          <w:position w:val="0"/>
          <w:shd w:val="clear" w:color="auto" w:fill="auto"/>
          <w:vertAlign w:val="superscript"/>
          <w:lang w:val="cs-CZ" w:eastAsia="cs-CZ" w:bidi="cs-CZ"/>
        </w:rPr>
        <w:t>1 1</w:t>
      </w:r>
      <w:r>
        <w:rPr>
          <w:color w:val="000000"/>
          <w:spacing w:val="0"/>
          <w:w w:val="100"/>
          <w:position w:val="0"/>
          <w:shd w:val="clear" w:color="auto" w:fill="auto"/>
          <w:lang w:val="cs-CZ" w:eastAsia="cs-CZ" w:bidi="cs-CZ"/>
        </w:rPr>
        <w:t xml:space="preserve"> "</w:t>
      </w:r>
    </w:p>
    <w:p>
      <w:pPr>
        <w:widowControl w:val="0"/>
        <w:spacing w:line="1" w:lineRule="exact"/>
      </w:pPr>
      <w:r>
        <mc:AlternateContent>
          <mc:Choice Requires="wps">
            <w:drawing>
              <wp:anchor distT="267335" distB="0" distL="125730" distR="114300" simplePos="0" relativeHeight="125829385" behindDoc="0" locked="0" layoutInCell="1" allowOverlap="1">
                <wp:simplePos x="0" y="0"/>
                <wp:positionH relativeFrom="page">
                  <wp:posOffset>723265</wp:posOffset>
                </wp:positionH>
                <wp:positionV relativeFrom="paragraph">
                  <wp:posOffset>280035</wp:posOffset>
                </wp:positionV>
                <wp:extent cx="4688840" cy="514350"/>
                <wp:wrapTopAndBottom/>
                <wp:docPr id="14" name="Shape 14"/>
                <a:graphic xmlns:a="http://schemas.openxmlformats.org/drawingml/2006/main">
                  <a:graphicData uri="http://schemas.microsoft.com/office/word/2010/wordprocessingShape">
                    <wps:wsp>
                      <wps:cNvSpPr txBox="1"/>
                      <wps:spPr>
                        <a:xfrm>
                          <a:ext cx="4688840" cy="514350"/>
                        </a:xfrm>
                        <a:prstGeom prst="rect"/>
                        <a:noFill/>
                      </wps:spPr>
                      <wps:txbx>
                        <w:txbxContent>
                          <w:tbl>
                            <w:tblPr>
                              <w:tblOverlap w:val="never"/>
                              <w:jc w:val="left"/>
                              <w:tblLayout w:type="fixed"/>
                            </w:tblPr>
                            <w:tblGrid>
                              <w:gridCol w:w="1890"/>
                              <w:gridCol w:w="5494"/>
                            </w:tblGrid>
                            <w:tr>
                              <w:trPr>
                                <w:tblHeader/>
                                <w:trHeight w:val="245"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PIS PECHAL, s.r.o.</w:t>
                                  </w:r>
                                </w:p>
                              </w:tc>
                            </w:tr>
                            <w:tr>
                              <w:trPr>
                                <w:trHeight w:val="270"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Lidická 1876/42, 602 00 Brno</w:t>
                                  </w:r>
                                </w:p>
                              </w:tc>
                            </w:tr>
                            <w:tr>
                              <w:trPr>
                                <w:trHeight w:val="295"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Antonínem Pechalem, CSc., jednatelem společnosti</w:t>
                                  </w:r>
                                </w:p>
                              </w:tc>
                            </w:tr>
                          </w:tbl>
                          <w:p>
                            <w:pPr>
                              <w:widowControl w:val="0"/>
                              <w:spacing w:line="1" w:lineRule="exact"/>
                            </w:pPr>
                          </w:p>
                        </w:txbxContent>
                      </wps:txbx>
                      <wps:bodyPr lIns="0" tIns="0" rIns="0" bIns="0">
                        <a:noAutoFit/>
                      </wps:bodyPr>
                    </wps:wsp>
                  </a:graphicData>
                </a:graphic>
              </wp:anchor>
            </w:drawing>
          </mc:Choice>
          <mc:Fallback>
            <w:pict>
              <v:shape id="_x0000_s1040" type="#_x0000_t202" style="position:absolute;margin-left:56.950000000000003pt;margin-top:22.050000000000001pt;width:369.19999999999999pt;height:40.5pt;z-index:-125829368;mso-wrap-distance-left:9.9000000000000004pt;mso-wrap-distance-top:21.050000000000001pt;mso-wrap-distance-right:9.pt;mso-position-horizontal-relative:page" filled="f" stroked="f">
                <v:textbox inset="0,0,0,0">
                  <w:txbxContent>
                    <w:tbl>
                      <w:tblPr>
                        <w:tblOverlap w:val="never"/>
                        <w:jc w:val="left"/>
                        <w:tblLayout w:type="fixed"/>
                      </w:tblPr>
                      <w:tblGrid>
                        <w:gridCol w:w="1890"/>
                        <w:gridCol w:w="5494"/>
                      </w:tblGrid>
                      <w:tr>
                        <w:trPr>
                          <w:tblHeader/>
                          <w:trHeight w:val="245"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PIS PECHAL, s.r.o.</w:t>
                            </w:r>
                          </w:p>
                        </w:tc>
                      </w:tr>
                      <w:tr>
                        <w:trPr>
                          <w:trHeight w:val="270"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Lidická 1876/42, 602 00 Brno</w:t>
                            </w:r>
                          </w:p>
                        </w:tc>
                      </w:tr>
                      <w:tr>
                        <w:trPr>
                          <w:trHeight w:val="295"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Ing. Antonínem Pechalem, CSc., jednatelem společnosti</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711835</wp:posOffset>
                </wp:positionH>
                <wp:positionV relativeFrom="paragraph">
                  <wp:posOffset>12700</wp:posOffset>
                </wp:positionV>
                <wp:extent cx="105410" cy="187325"/>
                <wp:wrapNone/>
                <wp:docPr id="16" name="Shape 16"/>
                <a:graphic xmlns:a="http://schemas.openxmlformats.org/drawingml/2006/main">
                  <a:graphicData uri="http://schemas.microsoft.com/office/word/2010/wordprocessingShape">
                    <wps:wsp>
                      <wps:cNvSpPr txBox="1"/>
                      <wps:spPr>
                        <a:xfrm>
                          <a:ext cx="105410" cy="18732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a</w:t>
                            </w:r>
                          </w:p>
                        </w:txbxContent>
                      </wps:txbx>
                      <wps:bodyPr lIns="0" tIns="0" rIns="0" bIns="0">
                        <a:noAutoFit/>
                      </wps:bodyPr>
                    </wps:wsp>
                  </a:graphicData>
                </a:graphic>
              </wp:anchor>
            </w:drawing>
          </mc:Choice>
          <mc:Fallback>
            <w:pict>
              <v:shape id="_x0000_s1042" type="#_x0000_t202" style="position:absolute;margin-left:56.049999999999997pt;margin-top:1.pt;width:8.3000000000000007pt;height:14.75pt;z-index:251657729;mso-wrap-distance-left:0;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a</w:t>
                      </w:r>
                    </w:p>
                  </w:txbxContent>
                </v:textbox>
                <w10:wrap anchorx="page"/>
              </v:shape>
            </w:pict>
          </mc:Fallback>
        </mc:AlternateContent>
      </w:r>
      <w:r>
        <mc:AlternateContent>
          <mc:Choice Requires="wps">
            <w:drawing>
              <wp:anchor distT="0" distB="171450" distL="134620" distR="114300" simplePos="0" relativeHeight="125829387" behindDoc="0" locked="0" layoutInCell="1" allowOverlap="1">
                <wp:simplePos x="0" y="0"/>
                <wp:positionH relativeFrom="page">
                  <wp:posOffset>722630</wp:posOffset>
                </wp:positionH>
                <wp:positionV relativeFrom="paragraph">
                  <wp:posOffset>1757680</wp:posOffset>
                </wp:positionV>
                <wp:extent cx="4686300" cy="377190"/>
                <wp:wrapTopAndBottom/>
                <wp:docPr id="18" name="Shape 18"/>
                <a:graphic xmlns:a="http://schemas.openxmlformats.org/drawingml/2006/main">
                  <a:graphicData uri="http://schemas.microsoft.com/office/word/2010/wordprocessingShape">
                    <wps:wsp>
                      <wps:cNvSpPr txBox="1"/>
                      <wps:spPr>
                        <a:xfrm>
                          <a:ext cx="4686300" cy="377190"/>
                        </a:xfrm>
                        <a:prstGeom prst="rect"/>
                        <a:noFill/>
                      </wps:spPr>
                      <wps:txbx>
                        <w:txbxContent>
                          <w:tbl>
                            <w:tblPr>
                              <w:tblOverlap w:val="never"/>
                              <w:jc w:val="left"/>
                              <w:tblLayout w:type="fixed"/>
                            </w:tblPr>
                            <w:tblGrid>
                              <w:gridCol w:w="1890"/>
                              <w:gridCol w:w="5490"/>
                            </w:tblGrid>
                            <w:tr>
                              <w:trPr>
                                <w:tblHeader/>
                                <w:trHeight w:val="594"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2"/>
                                    <w:keepNext w:val="0"/>
                                    <w:keepLines w:val="0"/>
                                    <w:widowControl w:val="0"/>
                                    <w:shd w:val="clear" w:color="auto" w:fill="auto"/>
                                    <w:bidi w:val="0"/>
                                    <w:spacing w:before="0" w:after="0" w:line="257" w:lineRule="auto"/>
                                    <w:ind w:left="160" w:right="0" w:firstLine="0"/>
                                    <w:jc w:val="both"/>
                                  </w:pPr>
                                  <w:r>
                                    <w:rPr>
                                      <w:color w:val="000000"/>
                                      <w:spacing w:val="0"/>
                                      <w:w w:val="100"/>
                                      <w:position w:val="0"/>
                                      <w:shd w:val="clear" w:color="auto" w:fill="auto"/>
                                      <w:lang w:val="cs-CZ" w:eastAsia="cs-CZ" w:bidi="cs-CZ"/>
                                    </w:rPr>
                                    <w:t>02365952 CZ02365952</w:t>
                                  </w:r>
                                </w:p>
                              </w:tc>
                            </w:tr>
                          </w:tbl>
                          <w:p>
                            <w:pPr>
                              <w:widowControl w:val="0"/>
                              <w:spacing w:line="1" w:lineRule="exact"/>
                            </w:pPr>
                          </w:p>
                        </w:txbxContent>
                      </wps:txbx>
                      <wps:bodyPr lIns="0" tIns="0" rIns="0" bIns="0">
                        <a:noAutoFit/>
                      </wps:bodyPr>
                    </wps:wsp>
                  </a:graphicData>
                </a:graphic>
              </wp:anchor>
            </w:drawing>
          </mc:Choice>
          <mc:Fallback>
            <w:pict>
              <v:shape id="_x0000_s1044" type="#_x0000_t202" style="position:absolute;margin-left:56.899999999999999pt;margin-top:138.40000000000001pt;width:369.pt;height:29.699999999999999pt;z-index:-125829366;mso-wrap-distance-left:10.6pt;mso-wrap-distance-right:9.pt;mso-wrap-distance-bottom:13.5pt;mso-position-horizontal-relative:page" filled="f" stroked="f">
                <v:textbox inset="0,0,0,0">
                  <w:txbxContent>
                    <w:tbl>
                      <w:tblPr>
                        <w:tblOverlap w:val="never"/>
                        <w:jc w:val="left"/>
                        <w:tblLayout w:type="fixed"/>
                      </w:tblPr>
                      <w:tblGrid>
                        <w:gridCol w:w="1890"/>
                        <w:gridCol w:w="5490"/>
                      </w:tblGrid>
                      <w:tr>
                        <w:trPr>
                          <w:tblHeader/>
                          <w:trHeight w:val="594"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2"/>
                              <w:keepNext w:val="0"/>
                              <w:keepLines w:val="0"/>
                              <w:widowControl w:val="0"/>
                              <w:shd w:val="clear" w:color="auto" w:fill="auto"/>
                              <w:bidi w:val="0"/>
                              <w:spacing w:before="0" w:after="0" w:line="257" w:lineRule="auto"/>
                              <w:ind w:left="160" w:right="0" w:firstLine="0"/>
                              <w:jc w:val="both"/>
                            </w:pPr>
                            <w:r>
                              <w:rPr>
                                <w:color w:val="000000"/>
                                <w:spacing w:val="0"/>
                                <w:w w:val="100"/>
                                <w:position w:val="0"/>
                                <w:shd w:val="clear" w:color="auto" w:fill="auto"/>
                                <w:lang w:val="cs-CZ" w:eastAsia="cs-CZ" w:bidi="cs-CZ"/>
                              </w:rPr>
                              <w:t>02365952 CZ02365952</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702310</wp:posOffset>
                </wp:positionH>
                <wp:positionV relativeFrom="paragraph">
                  <wp:posOffset>2118995</wp:posOffset>
                </wp:positionV>
                <wp:extent cx="534670" cy="187325"/>
                <wp:wrapNone/>
                <wp:docPr id="20" name="Shape 20"/>
                <a:graphic xmlns:a="http://schemas.openxmlformats.org/drawingml/2006/main">
                  <a:graphicData uri="http://schemas.microsoft.com/office/word/2010/wordprocessingShape">
                    <wps:wsp>
                      <wps:cNvSpPr txBox="1"/>
                      <wps:spPr>
                        <a:xfrm>
                          <a:ext cx="534670" cy="18732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Telefon:</w:t>
                            </w:r>
                          </w:p>
                        </w:txbxContent>
                      </wps:txbx>
                      <wps:bodyPr lIns="0" tIns="0" rIns="0" bIns="0">
                        <a:noAutoFit/>
                      </wps:bodyPr>
                    </wps:wsp>
                  </a:graphicData>
                </a:graphic>
              </wp:anchor>
            </w:drawing>
          </mc:Choice>
          <mc:Fallback>
            <w:pict>
              <v:shape id="_x0000_s1046" type="#_x0000_t202" style="position:absolute;margin-left:55.299999999999997pt;margin-top:166.84999999999999pt;width:42.100000000000001pt;height:14.75pt;z-index:251657731;mso-wrap-distance-left:0;mso-wrap-distance-right:0;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b w:val="0"/>
                          <w:bCs w:val="0"/>
                          <w:i w:val="0"/>
                          <w:iCs w:val="0"/>
                          <w:color w:val="000000"/>
                          <w:spacing w:val="0"/>
                          <w:w w:val="100"/>
                          <w:position w:val="0"/>
                          <w:sz w:val="22"/>
                          <w:szCs w:val="22"/>
                          <w:shd w:val="clear" w:color="auto" w:fill="auto"/>
                          <w:lang w:val="cs-CZ" w:eastAsia="cs-CZ" w:bidi="cs-CZ"/>
                        </w:rPr>
                        <w:t>Telefon:</w:t>
                      </w:r>
                    </w:p>
                  </w:txbxContent>
                </v:textbox>
                <w10:wrap anchorx="page"/>
              </v:shape>
            </w:pict>
          </mc:Fallback>
        </mc:AlternateContent>
      </w:r>
    </w:p>
    <w:p>
      <w:pPr>
        <w:pStyle w:val="Style2"/>
        <w:keepNext w:val="0"/>
        <w:keepLines w:val="0"/>
        <w:widowControl w:val="0"/>
        <w:shd w:val="clear" w:color="auto" w:fill="auto"/>
        <w:tabs>
          <w:tab w:pos="4644" w:val="left"/>
        </w:tabs>
        <w:bidi w:val="0"/>
        <w:spacing w:before="0" w:after="0"/>
        <w:ind w:left="0" w:right="0" w:firstLine="0"/>
        <w:jc w:val="left"/>
      </w:pPr>
      <w:r>
        <w:rPr>
          <w:color w:val="000000"/>
          <w:spacing w:val="0"/>
          <w:w w:val="100"/>
          <w:position w:val="0"/>
          <w:shd w:val="clear" w:color="auto" w:fill="auto"/>
          <w:lang w:val="cs-CZ" w:eastAsia="cs-CZ" w:bidi="cs-CZ"/>
        </w:rPr>
        <w:t>zapsán v obchodním rejstříku vedeném u KS v Brně, oddíl C, vložka Osoby pověřené jednat jménem zhotovitele ve věcech smluvních:</w:t>
        <w:tab/>
        <w:t>jednatel společnosti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2</w:t>
      </w:r>
    </w:p>
    <w:p>
      <w:pPr>
        <w:pStyle w:val="Style29"/>
        <w:keepNext/>
        <w:keepLines/>
        <w:widowControl w:val="0"/>
        <w:shd w:val="clear" w:color="auto" w:fill="auto"/>
        <w:bidi w:val="0"/>
        <w:spacing w:before="0" w:after="12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697" w:val="left"/>
        </w:tabs>
        <w:bidi w:val="0"/>
        <w:spacing w:before="0" w:after="220" w:line="264" w:lineRule="auto"/>
        <w:ind w:left="0" w:right="0" w:firstLine="0"/>
        <w:jc w:val="both"/>
      </w:pPr>
      <w:r>
        <w:rPr>
          <w:color w:val="000000"/>
          <w:spacing w:val="0"/>
          <w:w w:val="100"/>
          <w:position w:val="0"/>
          <w:shd w:val="clear" w:color="auto" w:fill="auto"/>
          <w:lang w:val="cs-CZ" w:eastAsia="cs-CZ" w:bidi="cs-CZ"/>
        </w:rPr>
        <w:t>TDS se zavazuje pro objednatele vykonávat funkci technického dozoru stavebníka na staveništi po celou dobu přípravy a realizace stavby</w:t>
      </w:r>
    </w:p>
    <w:p>
      <w:pPr>
        <w:pStyle w:val="Style29"/>
        <w:keepNext/>
        <w:keepLines/>
        <w:widowControl w:val="0"/>
        <w:shd w:val="clear" w:color="auto" w:fill="auto"/>
        <w:tabs>
          <w:tab w:pos="1382" w:val="left"/>
        </w:tabs>
        <w:bidi w:val="0"/>
        <w:spacing w:before="0" w:after="220"/>
        <w:ind w:left="0" w:right="0" w:firstLine="0"/>
        <w:jc w:val="both"/>
      </w:pPr>
      <w:bookmarkStart w:id="6" w:name="bookmark6"/>
      <w:bookmarkStart w:id="7" w:name="bookmark7"/>
      <w:r>
        <w:rPr>
          <w:b w:val="0"/>
          <w:bCs w:val="0"/>
          <w:color w:val="000000"/>
          <w:spacing w:val="0"/>
          <w:w w:val="100"/>
          <w:position w:val="0"/>
          <w:shd w:val="clear" w:color="auto" w:fill="auto"/>
          <w:lang w:val="cs-CZ" w:eastAsia="cs-CZ" w:bidi="cs-CZ"/>
        </w:rPr>
        <w:t>na akci:</w:t>
        <w:tab/>
      </w:r>
      <w:r>
        <w:rPr>
          <w:color w:val="000000"/>
          <w:spacing w:val="0"/>
          <w:w w:val="100"/>
          <w:position w:val="0"/>
          <w:shd w:val="clear" w:color="auto" w:fill="auto"/>
          <w:lang w:val="cs-CZ" w:eastAsia="cs-CZ" w:bidi="cs-CZ"/>
        </w:rPr>
        <w:t>III/34723 Okrouhlice - most ev. č. 34723-1</w:t>
      </w:r>
      <w:bookmarkEnd w:id="6"/>
      <w:bookmarkEnd w:id="7"/>
    </w:p>
    <w:p>
      <w:pPr>
        <w:pStyle w:val="Style2"/>
        <w:keepNext w:val="0"/>
        <w:keepLines w:val="0"/>
        <w:widowControl w:val="0"/>
        <w:shd w:val="clear" w:color="auto" w:fill="auto"/>
        <w:bidi w:val="0"/>
        <w:spacing w:before="0" w:after="220" w:line="257" w:lineRule="auto"/>
        <w:ind w:left="0" w:right="0" w:firstLine="0"/>
        <w:jc w:val="both"/>
      </w:pPr>
      <w:r>
        <w:rPr>
          <w:color w:val="000000"/>
          <w:spacing w:val="0"/>
          <w:w w:val="100"/>
          <w:position w:val="0"/>
          <w:shd w:val="clear" w:color="auto" w:fill="auto"/>
          <w:lang w:val="cs-CZ" w:eastAsia="cs-CZ" w:bidi="cs-CZ"/>
        </w:rPr>
        <w:t xml:space="preserve">a to v souladu s nabídkou dodavatele podanou v rámci výběrového řízení ze dne 20.06.2019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
        </w:numPr>
        <w:shd w:val="clear" w:color="auto" w:fill="auto"/>
        <w:tabs>
          <w:tab w:pos="697" w:val="left"/>
        </w:tabs>
        <w:bidi w:val="0"/>
        <w:spacing w:before="0" w:after="120" w:line="259"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2"/>
        <w:keepNext w:val="0"/>
        <w:keepLines w:val="0"/>
        <w:widowControl w:val="0"/>
        <w:numPr>
          <w:ilvl w:val="0"/>
          <w:numId w:val="1"/>
        </w:numPr>
        <w:shd w:val="clear" w:color="auto" w:fill="auto"/>
        <w:tabs>
          <w:tab w:pos="697" w:val="left"/>
        </w:tabs>
        <w:bidi w:val="0"/>
        <w:spacing w:before="0" w:after="520" w:line="252"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3</w:t>
      </w:r>
    </w:p>
    <w:p>
      <w:pPr>
        <w:pStyle w:val="Style29"/>
        <w:keepNext/>
        <w:keepLines/>
        <w:widowControl w:val="0"/>
        <w:shd w:val="clear" w:color="auto" w:fill="auto"/>
        <w:bidi w:val="0"/>
        <w:spacing w:before="0" w:after="120"/>
        <w:ind w:left="0" w:right="0" w:firstLine="0"/>
        <w:jc w:val="center"/>
      </w:pPr>
      <w:bookmarkStart w:id="8" w:name="bookmark8"/>
      <w:bookmarkStart w:id="9" w:name="bookmark9"/>
      <w:r>
        <w:rPr>
          <w:color w:val="000000"/>
          <w:spacing w:val="0"/>
          <w:w w:val="100"/>
          <w:position w:val="0"/>
          <w:shd w:val="clear" w:color="auto" w:fill="auto"/>
          <w:lang w:val="cs-CZ" w:eastAsia="cs-CZ" w:bidi="cs-CZ"/>
        </w:rPr>
        <w:t>Rozsah a obsah předmětu plnění</w:t>
      </w:r>
      <w:bookmarkEnd w:id="8"/>
      <w:bookmarkEnd w:id="9"/>
    </w:p>
    <w:p>
      <w:pPr>
        <w:pStyle w:val="Style2"/>
        <w:keepNext w:val="0"/>
        <w:keepLines w:val="0"/>
        <w:widowControl w:val="0"/>
        <w:shd w:val="clear" w:color="auto" w:fill="auto"/>
        <w:bidi w:val="0"/>
        <w:spacing w:before="0" w:after="120" w:line="257"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29"/>
        <w:keepNext/>
        <w:keepLines/>
        <w:widowControl w:val="0"/>
        <w:numPr>
          <w:ilvl w:val="1"/>
          <w:numId w:val="1"/>
        </w:numPr>
        <w:shd w:val="clear" w:color="auto" w:fill="auto"/>
        <w:tabs>
          <w:tab w:pos="697" w:val="left"/>
        </w:tabs>
        <w:bidi w:val="0"/>
        <w:spacing w:before="0" w:after="120"/>
        <w:ind w:left="0" w:right="0" w:firstLine="0"/>
        <w:jc w:val="both"/>
      </w:pPr>
      <w:bookmarkStart w:id="10" w:name="bookmark10"/>
      <w:bookmarkStart w:id="11" w:name="bookmark11"/>
      <w:r>
        <w:rPr>
          <w:color w:val="000000"/>
          <w:spacing w:val="0"/>
          <w:w w:val="100"/>
          <w:position w:val="0"/>
          <w:shd w:val="clear" w:color="auto" w:fill="auto"/>
          <w:lang w:val="cs-CZ" w:eastAsia="cs-CZ" w:bidi="cs-CZ"/>
        </w:rPr>
        <w:t>Přípravné činnosti před zahájením stavby spočívající zejména v činnostech:</w:t>
      </w:r>
      <w:bookmarkEnd w:id="10"/>
      <w:bookmarkEnd w:id="11"/>
    </w:p>
    <w:p>
      <w:pPr>
        <w:pStyle w:val="Style2"/>
        <w:keepNext w:val="0"/>
        <w:keepLines w:val="0"/>
        <w:widowControl w:val="0"/>
        <w:numPr>
          <w:ilvl w:val="0"/>
          <w:numId w:val="3"/>
        </w:numPr>
        <w:shd w:val="clear" w:color="auto" w:fill="auto"/>
        <w:tabs>
          <w:tab w:pos="1134" w:val="left"/>
        </w:tabs>
        <w:bidi w:val="0"/>
        <w:spacing w:before="0" w:after="120" w:line="240" w:lineRule="auto"/>
        <w:ind w:left="1120" w:right="0" w:hanging="40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2"/>
        <w:keepNext w:val="0"/>
        <w:keepLines w:val="0"/>
        <w:widowControl w:val="0"/>
        <w:numPr>
          <w:ilvl w:val="0"/>
          <w:numId w:val="3"/>
        </w:numPr>
        <w:shd w:val="clear" w:color="auto" w:fill="auto"/>
        <w:tabs>
          <w:tab w:pos="1134" w:val="left"/>
        </w:tabs>
        <w:bidi w:val="0"/>
        <w:spacing w:before="0" w:after="120" w:line="257" w:lineRule="auto"/>
        <w:ind w:left="1120" w:right="0" w:hanging="40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2"/>
        <w:keepNext w:val="0"/>
        <w:keepLines w:val="0"/>
        <w:widowControl w:val="0"/>
        <w:numPr>
          <w:ilvl w:val="0"/>
          <w:numId w:val="3"/>
        </w:numPr>
        <w:shd w:val="clear" w:color="auto" w:fill="auto"/>
        <w:tabs>
          <w:tab w:pos="1134" w:val="left"/>
        </w:tabs>
        <w:bidi w:val="0"/>
        <w:spacing w:before="0" w:after="120" w:line="252" w:lineRule="auto"/>
        <w:ind w:left="1120" w:right="0" w:hanging="40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2"/>
        <w:keepNext w:val="0"/>
        <w:keepLines w:val="0"/>
        <w:widowControl w:val="0"/>
        <w:numPr>
          <w:ilvl w:val="0"/>
          <w:numId w:val="3"/>
        </w:numPr>
        <w:shd w:val="clear" w:color="auto" w:fill="auto"/>
        <w:tabs>
          <w:tab w:pos="1134" w:val="left"/>
        </w:tabs>
        <w:bidi w:val="0"/>
        <w:spacing w:before="0" w:after="120" w:line="257" w:lineRule="auto"/>
        <w:ind w:left="1120" w:right="0" w:hanging="400"/>
        <w:jc w:val="both"/>
      </w:pPr>
      <w:r>
        <w:rPr>
          <w:color w:val="000000"/>
          <w:spacing w:val="0"/>
          <w:w w:val="100"/>
          <w:position w:val="0"/>
          <w:shd w:val="clear" w:color="auto" w:fill="auto"/>
          <w:lang w:val="cs-CZ" w:eastAsia="cs-CZ" w:bidi="cs-CZ"/>
        </w:rPr>
        <w:t>prohlídka staveniště před zahájením vlastních stavebních prací</w:t>
      </w:r>
    </w:p>
    <w:p>
      <w:pPr>
        <w:pStyle w:val="Style2"/>
        <w:keepNext w:val="0"/>
        <w:keepLines w:val="0"/>
        <w:widowControl w:val="0"/>
        <w:numPr>
          <w:ilvl w:val="0"/>
          <w:numId w:val="3"/>
        </w:numPr>
        <w:shd w:val="clear" w:color="auto" w:fill="auto"/>
        <w:tabs>
          <w:tab w:pos="1134" w:val="left"/>
        </w:tabs>
        <w:bidi w:val="0"/>
        <w:spacing w:before="0" w:after="220" w:line="252" w:lineRule="auto"/>
        <w:ind w:left="1120" w:right="0" w:hanging="40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9"/>
        <w:keepNext/>
        <w:keepLines/>
        <w:widowControl w:val="0"/>
        <w:numPr>
          <w:ilvl w:val="1"/>
          <w:numId w:val="1"/>
        </w:numPr>
        <w:shd w:val="clear" w:color="auto" w:fill="auto"/>
        <w:tabs>
          <w:tab w:pos="697" w:val="left"/>
        </w:tabs>
        <w:bidi w:val="0"/>
        <w:spacing w:before="0" w:after="120"/>
        <w:ind w:left="0" w:right="0" w:firstLine="0"/>
        <w:jc w:val="both"/>
      </w:pPr>
      <w:bookmarkStart w:id="12" w:name="bookmark12"/>
      <w:bookmarkStart w:id="13" w:name="bookmark13"/>
      <w:r>
        <w:rPr>
          <w:color w:val="000000"/>
          <w:spacing w:val="0"/>
          <w:w w:val="100"/>
          <w:position w:val="0"/>
          <w:shd w:val="clear" w:color="auto" w:fill="auto"/>
          <w:lang w:val="cs-CZ" w:eastAsia="cs-CZ" w:bidi="cs-CZ"/>
        </w:rPr>
        <w:t>Práce spojené s prováděním stavby spočívající zejména v činnostech:</w:t>
      </w:r>
      <w:bookmarkEnd w:id="12"/>
      <w:bookmarkEnd w:id="13"/>
    </w:p>
    <w:p>
      <w:pPr>
        <w:pStyle w:val="Style2"/>
        <w:keepNext w:val="0"/>
        <w:keepLines w:val="0"/>
        <w:widowControl w:val="0"/>
        <w:numPr>
          <w:ilvl w:val="0"/>
          <w:numId w:val="3"/>
        </w:numPr>
        <w:shd w:val="clear" w:color="auto" w:fill="auto"/>
        <w:tabs>
          <w:tab w:pos="1134" w:val="left"/>
        </w:tabs>
        <w:bidi w:val="0"/>
        <w:spacing w:before="0" w:after="120" w:line="259" w:lineRule="auto"/>
        <w:ind w:left="1180" w:right="0" w:hanging="46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 xml:space="preserve">minimálně ve 2 dnech v průběhu kalendářního týdne, </w:t>
      </w:r>
      <w:r>
        <w:rPr>
          <w:color w:val="000000"/>
          <w:spacing w:val="0"/>
          <w:w w:val="100"/>
          <w:position w:val="0"/>
          <w:shd w:val="clear" w:color="auto" w:fill="auto"/>
          <w:lang w:val="cs-CZ" w:eastAsia="cs-CZ" w:bidi="cs-CZ"/>
        </w:rPr>
        <w:t>pokud nebude se zadavatelem dohodnuto jinak</w:t>
      </w:r>
    </w:p>
    <w:p>
      <w:pPr>
        <w:pStyle w:val="Style2"/>
        <w:keepNext w:val="0"/>
        <w:keepLines w:val="0"/>
        <w:widowControl w:val="0"/>
        <w:numPr>
          <w:ilvl w:val="0"/>
          <w:numId w:val="3"/>
        </w:numPr>
        <w:shd w:val="clear" w:color="auto" w:fill="auto"/>
        <w:tabs>
          <w:tab w:pos="1113" w:val="left"/>
        </w:tabs>
        <w:bidi w:val="0"/>
        <w:spacing w:before="0" w:after="120" w:line="271" w:lineRule="auto"/>
        <w:ind w:left="1120" w:right="0" w:hanging="42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2"/>
        <w:keepNext w:val="0"/>
        <w:keepLines w:val="0"/>
        <w:widowControl w:val="0"/>
        <w:numPr>
          <w:ilvl w:val="0"/>
          <w:numId w:val="3"/>
        </w:numPr>
        <w:shd w:val="clear" w:color="auto" w:fill="auto"/>
        <w:tabs>
          <w:tab w:pos="1113" w:val="left"/>
        </w:tabs>
        <w:bidi w:val="0"/>
        <w:spacing w:before="0" w:after="120" w:line="271" w:lineRule="auto"/>
        <w:ind w:left="1120" w:right="0" w:hanging="42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2"/>
        <w:keepNext w:val="0"/>
        <w:keepLines w:val="0"/>
        <w:widowControl w:val="0"/>
        <w:numPr>
          <w:ilvl w:val="0"/>
          <w:numId w:val="3"/>
        </w:numPr>
        <w:shd w:val="clear" w:color="auto" w:fill="auto"/>
        <w:tabs>
          <w:tab w:pos="1113" w:val="left"/>
        </w:tabs>
        <w:bidi w:val="0"/>
        <w:spacing w:before="0" w:after="120" w:line="257" w:lineRule="auto"/>
        <w:ind w:left="1120" w:right="0" w:hanging="420"/>
        <w:jc w:val="both"/>
      </w:pPr>
      <w:r>
        <w:rPr>
          <w:color w:val="000000"/>
          <w:spacing w:val="0"/>
          <w:w w:val="100"/>
          <w:position w:val="0"/>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2"/>
        <w:keepNext w:val="0"/>
        <w:keepLines w:val="0"/>
        <w:widowControl w:val="0"/>
        <w:numPr>
          <w:ilvl w:val="0"/>
          <w:numId w:val="3"/>
        </w:numPr>
        <w:shd w:val="clear" w:color="auto" w:fill="auto"/>
        <w:tabs>
          <w:tab w:pos="1113" w:val="left"/>
        </w:tabs>
        <w:bidi w:val="0"/>
        <w:spacing w:before="0" w:after="120"/>
        <w:ind w:left="1120" w:right="0" w:hanging="420"/>
        <w:jc w:val="both"/>
      </w:pP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2"/>
        <w:keepNext w:val="0"/>
        <w:keepLines w:val="0"/>
        <w:widowControl w:val="0"/>
        <w:numPr>
          <w:ilvl w:val="0"/>
          <w:numId w:val="3"/>
        </w:numPr>
        <w:shd w:val="clear" w:color="auto" w:fill="auto"/>
        <w:tabs>
          <w:tab w:pos="1113" w:val="left"/>
        </w:tabs>
        <w:bidi w:val="0"/>
        <w:spacing w:before="0" w:after="120" w:line="257" w:lineRule="auto"/>
        <w:ind w:left="1120" w:right="0" w:hanging="420"/>
        <w:jc w:val="both"/>
      </w:pPr>
      <w:r>
        <w:rPr>
          <w:color w:val="000000"/>
          <w:spacing w:val="0"/>
          <w:w w:val="100"/>
          <w:position w:val="0"/>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2"/>
        <w:keepNext w:val="0"/>
        <w:keepLines w:val="0"/>
        <w:widowControl w:val="0"/>
        <w:numPr>
          <w:ilvl w:val="0"/>
          <w:numId w:val="3"/>
        </w:numPr>
        <w:shd w:val="clear" w:color="auto" w:fill="auto"/>
        <w:tabs>
          <w:tab w:pos="1113" w:val="left"/>
        </w:tabs>
        <w:bidi w:val="0"/>
        <w:spacing w:before="0" w:after="120" w:line="240" w:lineRule="auto"/>
        <w:ind w:left="1120" w:right="0" w:hanging="42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2"/>
        <w:keepNext w:val="0"/>
        <w:keepLines w:val="0"/>
        <w:widowControl w:val="0"/>
        <w:numPr>
          <w:ilvl w:val="0"/>
          <w:numId w:val="3"/>
        </w:numPr>
        <w:shd w:val="clear" w:color="auto" w:fill="auto"/>
        <w:tabs>
          <w:tab w:pos="1113" w:val="left"/>
        </w:tabs>
        <w:bidi w:val="0"/>
        <w:spacing w:before="0" w:after="120" w:line="257" w:lineRule="auto"/>
        <w:ind w:left="1120" w:right="0" w:hanging="42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2"/>
        <w:keepNext w:val="0"/>
        <w:keepLines w:val="0"/>
        <w:widowControl w:val="0"/>
        <w:numPr>
          <w:ilvl w:val="0"/>
          <w:numId w:val="3"/>
        </w:numPr>
        <w:shd w:val="clear" w:color="auto" w:fill="auto"/>
        <w:tabs>
          <w:tab w:pos="1113" w:val="left"/>
        </w:tabs>
        <w:bidi w:val="0"/>
        <w:spacing w:before="0" w:after="120"/>
        <w:ind w:left="1120" w:right="0" w:hanging="420"/>
        <w:jc w:val="both"/>
      </w:pPr>
      <w:r>
        <w:rPr>
          <w:color w:val="000000"/>
          <w:spacing w:val="0"/>
          <w:w w:val="100"/>
          <w:position w:val="0"/>
          <w:shd w:val="clear" w:color="auto" w:fill="auto"/>
          <w:lang w:val="cs-CZ" w:eastAsia="cs-CZ" w:bidi="cs-CZ"/>
        </w:rPr>
        <w:t>kontrola dodržování schválených technologických postupů</w:t>
      </w:r>
    </w:p>
    <w:p>
      <w:pPr>
        <w:pStyle w:val="Style2"/>
        <w:keepNext w:val="0"/>
        <w:keepLines w:val="0"/>
        <w:widowControl w:val="0"/>
        <w:numPr>
          <w:ilvl w:val="0"/>
          <w:numId w:val="3"/>
        </w:numPr>
        <w:shd w:val="clear" w:color="auto" w:fill="auto"/>
        <w:tabs>
          <w:tab w:pos="1113" w:val="left"/>
        </w:tabs>
        <w:bidi w:val="0"/>
        <w:spacing w:before="0" w:after="120" w:line="252" w:lineRule="auto"/>
        <w:ind w:left="1120" w:right="0" w:hanging="42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2"/>
        <w:keepNext w:val="0"/>
        <w:keepLines w:val="0"/>
        <w:widowControl w:val="0"/>
        <w:numPr>
          <w:ilvl w:val="0"/>
          <w:numId w:val="3"/>
        </w:numPr>
        <w:shd w:val="clear" w:color="auto" w:fill="auto"/>
        <w:tabs>
          <w:tab w:pos="1113" w:val="left"/>
        </w:tabs>
        <w:bidi w:val="0"/>
        <w:spacing w:before="0" w:after="120"/>
        <w:ind w:left="1120" w:right="0" w:hanging="42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2"/>
        <w:keepNext w:val="0"/>
        <w:keepLines w:val="0"/>
        <w:widowControl w:val="0"/>
        <w:numPr>
          <w:ilvl w:val="0"/>
          <w:numId w:val="3"/>
        </w:numPr>
        <w:shd w:val="clear" w:color="auto" w:fill="auto"/>
        <w:tabs>
          <w:tab w:pos="1113" w:val="left"/>
        </w:tabs>
        <w:bidi w:val="0"/>
        <w:spacing w:before="0" w:after="120" w:line="259" w:lineRule="auto"/>
        <w:ind w:left="1120" w:right="0" w:hanging="42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2"/>
        <w:keepNext w:val="0"/>
        <w:keepLines w:val="0"/>
        <w:widowControl w:val="0"/>
        <w:numPr>
          <w:ilvl w:val="0"/>
          <w:numId w:val="3"/>
        </w:numPr>
        <w:shd w:val="clear" w:color="auto" w:fill="auto"/>
        <w:tabs>
          <w:tab w:pos="1113" w:val="left"/>
        </w:tabs>
        <w:bidi w:val="0"/>
        <w:spacing w:before="0" w:after="120"/>
        <w:ind w:left="1120" w:right="0" w:hanging="42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2"/>
        <w:keepNext w:val="0"/>
        <w:keepLines w:val="0"/>
        <w:widowControl w:val="0"/>
        <w:numPr>
          <w:ilvl w:val="0"/>
          <w:numId w:val="3"/>
        </w:numPr>
        <w:shd w:val="clear" w:color="auto" w:fill="auto"/>
        <w:tabs>
          <w:tab w:pos="1113" w:val="left"/>
        </w:tabs>
        <w:bidi w:val="0"/>
        <w:spacing w:before="0" w:after="120" w:line="252" w:lineRule="auto"/>
        <w:ind w:left="1120" w:right="0" w:hanging="42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2"/>
        <w:keepNext w:val="0"/>
        <w:keepLines w:val="0"/>
        <w:widowControl w:val="0"/>
        <w:numPr>
          <w:ilvl w:val="0"/>
          <w:numId w:val="3"/>
        </w:numPr>
        <w:shd w:val="clear" w:color="auto" w:fill="auto"/>
        <w:tabs>
          <w:tab w:pos="1113" w:val="left"/>
        </w:tabs>
        <w:bidi w:val="0"/>
        <w:spacing w:before="0" w:after="120" w:line="252" w:lineRule="auto"/>
        <w:ind w:left="1120" w:right="0" w:hanging="42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2"/>
        <w:keepNext w:val="0"/>
        <w:keepLines w:val="0"/>
        <w:widowControl w:val="0"/>
        <w:numPr>
          <w:ilvl w:val="0"/>
          <w:numId w:val="3"/>
        </w:numPr>
        <w:shd w:val="clear" w:color="auto" w:fill="auto"/>
        <w:tabs>
          <w:tab w:pos="1113" w:val="left"/>
        </w:tabs>
        <w:bidi w:val="0"/>
        <w:spacing w:before="0" w:after="120"/>
        <w:ind w:left="0" w:right="0" w:firstLine="70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2"/>
        <w:keepNext w:val="0"/>
        <w:keepLines w:val="0"/>
        <w:widowControl w:val="0"/>
        <w:numPr>
          <w:ilvl w:val="0"/>
          <w:numId w:val="3"/>
        </w:numPr>
        <w:shd w:val="clear" w:color="auto" w:fill="auto"/>
        <w:tabs>
          <w:tab w:pos="1113" w:val="left"/>
        </w:tabs>
        <w:bidi w:val="0"/>
        <w:spacing w:before="0" w:after="120"/>
        <w:ind w:left="0" w:right="0" w:firstLine="700"/>
        <w:jc w:val="both"/>
      </w:pPr>
      <w:r>
        <w:rPr>
          <w:color w:val="000000"/>
          <w:spacing w:val="0"/>
          <w:w w:val="100"/>
          <w:position w:val="0"/>
          <w:shd w:val="clear" w:color="auto" w:fill="auto"/>
          <w:lang w:val="cs-CZ" w:eastAsia="cs-CZ" w:bidi="cs-CZ"/>
        </w:rPr>
        <w:t>příprava podkladů pro odevzdání a převzetí stavby, nebo její části</w:t>
      </w:r>
    </w:p>
    <w:p>
      <w:pPr>
        <w:pStyle w:val="Style2"/>
        <w:keepNext w:val="0"/>
        <w:keepLines w:val="0"/>
        <w:widowControl w:val="0"/>
        <w:numPr>
          <w:ilvl w:val="0"/>
          <w:numId w:val="3"/>
        </w:numPr>
        <w:shd w:val="clear" w:color="auto" w:fill="auto"/>
        <w:tabs>
          <w:tab w:pos="1113" w:val="left"/>
        </w:tabs>
        <w:bidi w:val="0"/>
        <w:spacing w:before="0" w:after="120" w:line="264" w:lineRule="auto"/>
        <w:ind w:left="1120" w:right="0" w:hanging="42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2"/>
        <w:keepNext w:val="0"/>
        <w:keepLines w:val="0"/>
        <w:widowControl w:val="0"/>
        <w:numPr>
          <w:ilvl w:val="0"/>
          <w:numId w:val="3"/>
        </w:numPr>
        <w:shd w:val="clear" w:color="auto" w:fill="auto"/>
        <w:tabs>
          <w:tab w:pos="1113" w:val="left"/>
        </w:tabs>
        <w:bidi w:val="0"/>
        <w:spacing w:before="0" w:after="120"/>
        <w:ind w:left="0" w:right="0" w:firstLine="700"/>
        <w:jc w:val="both"/>
      </w:pPr>
      <w:r>
        <w:rPr>
          <w:color w:val="000000"/>
          <w:spacing w:val="0"/>
          <w:w w:val="100"/>
          <w:position w:val="0"/>
          <w:shd w:val="clear" w:color="auto" w:fill="auto"/>
          <w:lang w:val="cs-CZ" w:eastAsia="cs-CZ" w:bidi="cs-CZ"/>
        </w:rPr>
        <w:t>kontrola vyklizení staveniště zhotovitelem</w:t>
      </w:r>
    </w:p>
    <w:p>
      <w:pPr>
        <w:pStyle w:val="Style2"/>
        <w:keepNext w:val="0"/>
        <w:keepLines w:val="0"/>
        <w:widowControl w:val="0"/>
        <w:numPr>
          <w:ilvl w:val="0"/>
          <w:numId w:val="3"/>
        </w:numPr>
        <w:shd w:val="clear" w:color="auto" w:fill="auto"/>
        <w:tabs>
          <w:tab w:pos="1113" w:val="left"/>
        </w:tabs>
        <w:bidi w:val="0"/>
        <w:spacing w:before="0" w:after="120"/>
        <w:ind w:left="0" w:right="0" w:firstLine="70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2"/>
        <w:keepNext w:val="0"/>
        <w:keepLines w:val="0"/>
        <w:widowControl w:val="0"/>
        <w:numPr>
          <w:ilvl w:val="0"/>
          <w:numId w:val="3"/>
        </w:numPr>
        <w:shd w:val="clear" w:color="auto" w:fill="auto"/>
        <w:tabs>
          <w:tab w:pos="1136" w:val="left"/>
        </w:tabs>
        <w:bidi w:val="0"/>
        <w:spacing w:before="0" w:line="257" w:lineRule="auto"/>
        <w:ind w:left="1140" w:right="0" w:hanging="42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9"/>
        <w:keepNext/>
        <w:keepLines/>
        <w:widowControl w:val="0"/>
        <w:numPr>
          <w:ilvl w:val="1"/>
          <w:numId w:val="1"/>
        </w:numPr>
        <w:shd w:val="clear" w:color="auto" w:fill="auto"/>
        <w:tabs>
          <w:tab w:pos="590" w:val="left"/>
        </w:tabs>
        <w:bidi w:val="0"/>
        <w:spacing w:before="0"/>
        <w:ind w:left="0" w:right="0" w:firstLine="0"/>
        <w:jc w:val="left"/>
      </w:pPr>
      <w:bookmarkStart w:id="14" w:name="bookmark14"/>
      <w:bookmarkStart w:id="15" w:name="bookmark15"/>
      <w:r>
        <w:rPr>
          <w:color w:val="000000"/>
          <w:spacing w:val="0"/>
          <w:w w:val="100"/>
          <w:position w:val="0"/>
          <w:shd w:val="clear" w:color="auto" w:fill="auto"/>
          <w:lang w:val="cs-CZ" w:eastAsia="cs-CZ" w:bidi="cs-CZ"/>
        </w:rPr>
        <w:t>Práce po dokončení stavby spočívající zejména v činnostech:</w:t>
      </w:r>
      <w:bookmarkEnd w:id="14"/>
      <w:bookmarkEnd w:id="15"/>
    </w:p>
    <w:p>
      <w:pPr>
        <w:pStyle w:val="Style2"/>
        <w:keepNext w:val="0"/>
        <w:keepLines w:val="0"/>
        <w:widowControl w:val="0"/>
        <w:numPr>
          <w:ilvl w:val="0"/>
          <w:numId w:val="3"/>
        </w:numPr>
        <w:shd w:val="clear" w:color="auto" w:fill="auto"/>
        <w:tabs>
          <w:tab w:pos="1136" w:val="left"/>
        </w:tabs>
        <w:bidi w:val="0"/>
        <w:spacing w:before="0" w:line="257" w:lineRule="auto"/>
        <w:ind w:left="1140" w:right="0" w:hanging="420"/>
        <w:jc w:val="both"/>
      </w:pPr>
      <w:r>
        <w:rPr>
          <w:color w:val="000000"/>
          <w:spacing w:val="0"/>
          <w:w w:val="100"/>
          <w:position w:val="0"/>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2"/>
        <w:keepNext w:val="0"/>
        <w:keepLines w:val="0"/>
        <w:widowControl w:val="0"/>
        <w:numPr>
          <w:ilvl w:val="0"/>
          <w:numId w:val="3"/>
        </w:numPr>
        <w:shd w:val="clear" w:color="auto" w:fill="auto"/>
        <w:tabs>
          <w:tab w:pos="1136" w:val="left"/>
        </w:tabs>
        <w:bidi w:val="0"/>
        <w:spacing w:before="0" w:line="257" w:lineRule="auto"/>
        <w:ind w:left="1140" w:right="0" w:hanging="420"/>
        <w:jc w:val="both"/>
      </w:pPr>
      <w:r>
        <w:rPr>
          <w:color w:val="000000"/>
          <w:spacing w:val="0"/>
          <w:w w:val="100"/>
          <w:position w:val="0"/>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2"/>
        <w:keepNext w:val="0"/>
        <w:keepLines w:val="0"/>
        <w:widowControl w:val="0"/>
        <w:numPr>
          <w:ilvl w:val="0"/>
          <w:numId w:val="3"/>
        </w:numPr>
        <w:shd w:val="clear" w:color="auto" w:fill="auto"/>
        <w:tabs>
          <w:tab w:pos="1136" w:val="left"/>
        </w:tabs>
        <w:bidi w:val="0"/>
        <w:spacing w:before="0" w:after="480" w:line="264" w:lineRule="auto"/>
        <w:ind w:left="1140" w:right="0" w:hanging="420"/>
        <w:jc w:val="both"/>
      </w:pPr>
      <w:r>
        <w:rPr>
          <w:color w:val="000000"/>
          <w:spacing w:val="0"/>
          <w:w w:val="100"/>
          <w:position w:val="0"/>
          <w:shd w:val="clear" w:color="auto" w:fill="auto"/>
          <w:lang w:val="cs-CZ" w:eastAsia="cs-CZ" w:bidi="cs-CZ"/>
        </w:rPr>
        <w:t>zpracování podkladů pro závěrečné vyúčtování stavby po odstranění event. kolaudačních závad.</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4</w:t>
      </w:r>
    </w:p>
    <w:p>
      <w:pPr>
        <w:pStyle w:val="Style29"/>
        <w:keepNext/>
        <w:keepLines/>
        <w:widowControl w:val="0"/>
        <w:shd w:val="clear" w:color="auto" w:fill="auto"/>
        <w:bidi w:val="0"/>
        <w:spacing w:before="0" w:line="254"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Čas plnění</w:t>
      </w:r>
      <w:bookmarkEnd w:id="16"/>
      <w:bookmarkEnd w:id="17"/>
    </w:p>
    <w:p>
      <w:pPr>
        <w:pStyle w:val="Style2"/>
        <w:keepNext w:val="0"/>
        <w:keepLines w:val="0"/>
        <w:widowControl w:val="0"/>
        <w:numPr>
          <w:ilvl w:val="0"/>
          <w:numId w:val="5"/>
        </w:numPr>
        <w:shd w:val="clear" w:color="auto" w:fill="auto"/>
        <w:tabs>
          <w:tab w:pos="590" w:val="left"/>
        </w:tabs>
        <w:bidi w:val="0"/>
        <w:spacing w:before="0"/>
        <w:ind w:left="0" w:right="0" w:firstLine="0"/>
        <w:jc w:val="left"/>
      </w:pPr>
      <w:r>
        <w:rPr>
          <w:color w:val="000000"/>
          <w:spacing w:val="0"/>
          <w:w w:val="100"/>
          <w:position w:val="0"/>
          <w:shd w:val="clear" w:color="auto" w:fill="auto"/>
          <w:lang w:val="cs-CZ" w:eastAsia="cs-CZ" w:bidi="cs-CZ"/>
        </w:rPr>
        <w:t>TDS zahájí svoji činnost dnem prvního zápisu ve stavebním deníku.</w:t>
      </w:r>
    </w:p>
    <w:p>
      <w:pPr>
        <w:pStyle w:val="Style2"/>
        <w:keepNext w:val="0"/>
        <w:keepLines w:val="0"/>
        <w:widowControl w:val="0"/>
        <w:numPr>
          <w:ilvl w:val="0"/>
          <w:numId w:val="5"/>
        </w:numPr>
        <w:shd w:val="clear" w:color="auto" w:fill="auto"/>
        <w:tabs>
          <w:tab w:pos="590" w:val="left"/>
        </w:tabs>
        <w:bidi w:val="0"/>
        <w:spacing w:before="0" w:after="480" w:line="257" w:lineRule="auto"/>
        <w:ind w:left="0" w:right="0" w:firstLine="0"/>
        <w:jc w:val="both"/>
      </w:pPr>
      <w:r>
        <w:rPr>
          <w:color w:val="000000"/>
          <w:spacing w:val="0"/>
          <w:w w:val="100"/>
          <w:position w:val="0"/>
          <w:shd w:val="clear" w:color="auto" w:fill="auto"/>
          <w:lang w:val="cs-CZ" w:eastAsia="cs-CZ" w:bidi="cs-CZ"/>
        </w:rPr>
        <w:t>TDS ukončí činnost předáním a převzetím dokončené stavby mezi zhotovitelem a objednatelem na základě předávacího protokolu.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29"/>
        <w:keepNext/>
        <w:keepLines/>
        <w:widowControl w:val="0"/>
        <w:shd w:val="clear" w:color="auto" w:fill="auto"/>
        <w:bidi w:val="0"/>
        <w:spacing w:before="0" w:line="254"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Odměna TDS, platební podmínky</w:t>
      </w:r>
      <w:bookmarkEnd w:id="18"/>
      <w:bookmarkEnd w:id="19"/>
    </w:p>
    <w:p>
      <w:pPr>
        <w:pStyle w:val="Style2"/>
        <w:keepNext w:val="0"/>
        <w:keepLines w:val="0"/>
        <w:widowControl w:val="0"/>
        <w:numPr>
          <w:ilvl w:val="0"/>
          <w:numId w:val="7"/>
        </w:numPr>
        <w:shd w:val="clear" w:color="auto" w:fill="auto"/>
        <w:tabs>
          <w:tab w:pos="590" w:val="left"/>
        </w:tabs>
        <w:bidi w:val="0"/>
        <w:spacing w:before="0" w:after="360" w:line="252"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2"/>
        <w:keepNext w:val="0"/>
        <w:keepLines w:val="0"/>
        <w:widowControl w:val="0"/>
        <w:shd w:val="clear" w:color="auto" w:fill="auto"/>
        <w:bidi w:val="0"/>
        <w:spacing w:before="0" w:after="360"/>
        <w:ind w:left="0" w:right="0" w:firstLine="580"/>
        <w:jc w:val="both"/>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center"/>
        <w:tblLayout w:type="fixed"/>
      </w:tblPr>
      <w:tblGrid>
        <w:gridCol w:w="4309"/>
        <w:gridCol w:w="3737"/>
      </w:tblGrid>
      <w:tr>
        <w:trPr>
          <w:trHeight w:val="504"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20.000,- Kč bez DPH</w:t>
            </w:r>
          </w:p>
        </w:tc>
      </w:tr>
      <w:tr>
        <w:trPr>
          <w:trHeight w:val="49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25.000,- Kč bez DPH</w:t>
            </w:r>
          </w:p>
        </w:tc>
      </w:tr>
      <w:tr>
        <w:trPr>
          <w:trHeight w:val="490"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45.000,- Kč</w:t>
            </w:r>
          </w:p>
        </w:tc>
      </w:tr>
      <w:tr>
        <w:trPr>
          <w:trHeight w:val="425"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9.450,- Kč</w:t>
            </w:r>
          </w:p>
        </w:tc>
      </w:tr>
      <w:tr>
        <w:trPr>
          <w:trHeight w:val="565"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54.450,- Kč</w:t>
            </w:r>
          </w:p>
        </w:tc>
      </w:tr>
    </w:tbl>
    <w:p>
      <w:pPr>
        <w:widowControl w:val="0"/>
        <w:spacing w:after="359" w:line="1" w:lineRule="exact"/>
      </w:pPr>
    </w:p>
    <w:p>
      <w:pPr>
        <w:widowControl w:val="0"/>
        <w:spacing w:line="1" w:lineRule="exact"/>
      </w:pPr>
    </w:p>
    <w:p>
      <w:pPr>
        <w:pStyle w:val="Style25"/>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 xml:space="preserve">b) </w:t>
      </w:r>
      <w:r>
        <w:rPr>
          <w:i w:val="0"/>
          <w:iCs w:val="0"/>
          <w:color w:val="000000"/>
          <w:spacing w:val="0"/>
          <w:w w:val="100"/>
          <w:position w:val="0"/>
          <w:sz w:val="22"/>
          <w:szCs w:val="22"/>
          <w:u w:val="single"/>
          <w:shd w:val="clear" w:color="auto" w:fill="auto"/>
          <w:lang w:val="cs-CZ" w:eastAsia="cs-CZ" w:bidi="cs-CZ"/>
        </w:rPr>
        <w:t>Výkon TDS - práce spojené s prováděním stavby</w:t>
      </w:r>
    </w:p>
    <w:tbl>
      <w:tblPr>
        <w:tblOverlap w:val="never"/>
        <w:jc w:val="center"/>
        <w:tblLayout w:type="fixed"/>
      </w:tblPr>
      <w:tblGrid>
        <w:gridCol w:w="4309"/>
        <w:gridCol w:w="3740"/>
      </w:tblGrid>
      <w:tr>
        <w:trPr>
          <w:trHeight w:val="698"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600,- Kč bez DPH</w:t>
            </w:r>
          </w:p>
        </w:tc>
      </w:tr>
      <w:tr>
        <w:trPr>
          <w:trHeight w:val="680" w:hRule="exact"/>
        </w:trPr>
        <w:tc>
          <w:tcPr>
            <w:tcBorders>
              <w:top w:val="single" w:sz="4"/>
              <w:left w:val="single" w:sz="4"/>
              <w:bottom w:val="single" w:sz="4"/>
            </w:tcBorders>
            <w:shd w:val="clear" w:color="auto" w:fill="FFFFFF"/>
            <w:vAlign w:val="top"/>
          </w:tcPr>
          <w:p>
            <w:pPr>
              <w:pStyle w:val="Style22"/>
              <w:keepNext w:val="0"/>
              <w:keepLines w:val="0"/>
              <w:widowControl w:val="0"/>
              <w:shd w:val="clear" w:color="auto" w:fill="auto"/>
              <w:bidi w:val="0"/>
              <w:spacing w:before="80" w:after="0" w:line="257"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700,- Kč bez DPH</w:t>
            </w:r>
          </w:p>
        </w:tc>
      </w:tr>
    </w:tbl>
    <w:p>
      <w:pPr>
        <w:pStyle w:val="Style2"/>
        <w:keepNext w:val="0"/>
        <w:keepLines w:val="0"/>
        <w:widowControl w:val="0"/>
        <w:numPr>
          <w:ilvl w:val="0"/>
          <w:numId w:val="7"/>
        </w:numPr>
        <w:shd w:val="clear" w:color="auto" w:fill="auto"/>
        <w:tabs>
          <w:tab w:pos="561" w:val="left"/>
        </w:tabs>
        <w:bidi w:val="0"/>
        <w:spacing w:before="0" w:line="257"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2"/>
        <w:keepNext w:val="0"/>
        <w:keepLines w:val="0"/>
        <w:widowControl w:val="0"/>
        <w:numPr>
          <w:ilvl w:val="0"/>
          <w:numId w:val="7"/>
        </w:numPr>
        <w:shd w:val="clear" w:color="auto" w:fill="auto"/>
        <w:tabs>
          <w:tab w:pos="561" w:val="left"/>
        </w:tabs>
        <w:bidi w:val="0"/>
        <w:spacing w:before="0" w:line="257"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2"/>
        <w:keepNext w:val="0"/>
        <w:keepLines w:val="0"/>
        <w:widowControl w:val="0"/>
        <w:numPr>
          <w:ilvl w:val="0"/>
          <w:numId w:val="7"/>
        </w:numPr>
        <w:shd w:val="clear" w:color="auto" w:fill="auto"/>
        <w:tabs>
          <w:tab w:pos="561" w:val="left"/>
        </w:tabs>
        <w:bidi w:val="0"/>
        <w:spacing w:before="0" w:line="264"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2"/>
        <w:keepNext w:val="0"/>
        <w:keepLines w:val="0"/>
        <w:widowControl w:val="0"/>
        <w:numPr>
          <w:ilvl w:val="0"/>
          <w:numId w:val="7"/>
        </w:numPr>
        <w:shd w:val="clear" w:color="auto" w:fill="auto"/>
        <w:tabs>
          <w:tab w:pos="561"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7"/>
        </w:numPr>
        <w:shd w:val="clear" w:color="auto" w:fill="auto"/>
        <w:tabs>
          <w:tab w:pos="561" w:val="left"/>
        </w:tabs>
        <w:bidi w:val="0"/>
        <w:spacing w:before="0" w:line="240" w:lineRule="auto"/>
        <w:ind w:left="0" w:right="0" w:firstLine="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2"/>
        <w:keepNext w:val="0"/>
        <w:keepLines w:val="0"/>
        <w:widowControl w:val="0"/>
        <w:numPr>
          <w:ilvl w:val="0"/>
          <w:numId w:val="7"/>
        </w:numPr>
        <w:shd w:val="clear" w:color="auto" w:fill="auto"/>
        <w:tabs>
          <w:tab w:pos="561" w:val="left"/>
        </w:tabs>
        <w:bidi w:val="0"/>
        <w:spacing w:before="0"/>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2"/>
        <w:keepNext w:val="0"/>
        <w:keepLines w:val="0"/>
        <w:widowControl w:val="0"/>
        <w:numPr>
          <w:ilvl w:val="0"/>
          <w:numId w:val="7"/>
        </w:numPr>
        <w:shd w:val="clear" w:color="auto" w:fill="auto"/>
        <w:tabs>
          <w:tab w:pos="561"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2"/>
        <w:keepNext w:val="0"/>
        <w:keepLines w:val="0"/>
        <w:widowControl w:val="0"/>
        <w:numPr>
          <w:ilvl w:val="0"/>
          <w:numId w:val="7"/>
        </w:numPr>
        <w:shd w:val="clear" w:color="auto" w:fill="auto"/>
        <w:tabs>
          <w:tab w:pos="561"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smlouvaje souhrnem všech dílčích plnění, jimiž se rozumí plnění činností provedených dle čl. 3.</w:t>
      </w:r>
    </w:p>
    <w:p>
      <w:pPr>
        <w:pStyle w:val="Style2"/>
        <w:keepNext w:val="0"/>
        <w:keepLines w:val="0"/>
        <w:widowControl w:val="0"/>
        <w:numPr>
          <w:ilvl w:val="0"/>
          <w:numId w:val="7"/>
        </w:numPr>
        <w:shd w:val="clear" w:color="auto" w:fill="auto"/>
        <w:tabs>
          <w:tab w:pos="635" w:val="left"/>
        </w:tabs>
        <w:bidi w:val="0"/>
        <w:spacing w:before="0"/>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2"/>
        <w:keepNext w:val="0"/>
        <w:keepLines w:val="0"/>
        <w:widowControl w:val="0"/>
        <w:numPr>
          <w:ilvl w:val="0"/>
          <w:numId w:val="7"/>
        </w:numPr>
        <w:shd w:val="clear" w:color="auto" w:fill="auto"/>
        <w:tabs>
          <w:tab w:pos="610" w:val="left"/>
        </w:tabs>
        <w:bidi w:val="0"/>
        <w:spacing w:before="0"/>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2"/>
        <w:keepNext w:val="0"/>
        <w:keepLines w:val="0"/>
        <w:widowControl w:val="0"/>
        <w:numPr>
          <w:ilvl w:val="0"/>
          <w:numId w:val="7"/>
        </w:numPr>
        <w:shd w:val="clear" w:color="auto" w:fill="auto"/>
        <w:tabs>
          <w:tab w:pos="610"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2"/>
        <w:keepNext w:val="0"/>
        <w:keepLines w:val="0"/>
        <w:widowControl w:val="0"/>
        <w:numPr>
          <w:ilvl w:val="0"/>
          <w:numId w:val="7"/>
        </w:numPr>
        <w:shd w:val="clear" w:color="auto" w:fill="auto"/>
        <w:tabs>
          <w:tab w:pos="610" w:val="left"/>
        </w:tabs>
        <w:bidi w:val="0"/>
        <w:spacing w:before="0" w:line="252"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2"/>
        <w:keepNext w:val="0"/>
        <w:keepLines w:val="0"/>
        <w:widowControl w:val="0"/>
        <w:numPr>
          <w:ilvl w:val="0"/>
          <w:numId w:val="7"/>
        </w:numPr>
        <w:shd w:val="clear" w:color="auto" w:fill="auto"/>
        <w:tabs>
          <w:tab w:pos="610" w:val="left"/>
        </w:tabs>
        <w:bidi w:val="0"/>
        <w:spacing w:before="0" w:after="54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9"/>
        <w:keepNext/>
        <w:keepLines/>
        <w:widowControl w:val="0"/>
        <w:shd w:val="clear" w:color="auto" w:fill="auto"/>
        <w:bidi w:val="0"/>
        <w:spacing w:before="0" w:line="254"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Práva a povinnosti smluvních stran</w:t>
      </w:r>
      <w:bookmarkEnd w:id="20"/>
      <w:bookmarkEnd w:id="21"/>
    </w:p>
    <w:p>
      <w:pPr>
        <w:pStyle w:val="Style2"/>
        <w:keepNext w:val="0"/>
        <w:keepLines w:val="0"/>
        <w:widowControl w:val="0"/>
        <w:numPr>
          <w:ilvl w:val="0"/>
          <w:numId w:val="9"/>
        </w:numPr>
        <w:shd w:val="clear" w:color="auto" w:fill="auto"/>
        <w:tabs>
          <w:tab w:pos="561" w:val="left"/>
        </w:tabs>
        <w:bidi w:val="0"/>
        <w:spacing w:before="0" w:line="259"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2"/>
        <w:keepNext w:val="0"/>
        <w:keepLines w:val="0"/>
        <w:widowControl w:val="0"/>
        <w:numPr>
          <w:ilvl w:val="0"/>
          <w:numId w:val="9"/>
        </w:numPr>
        <w:shd w:val="clear" w:color="auto" w:fill="auto"/>
        <w:tabs>
          <w:tab w:pos="556" w:val="left"/>
        </w:tabs>
        <w:bidi w:val="0"/>
        <w:spacing w:before="0" w:line="264"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p>
    <w:p>
      <w:pPr>
        <w:pStyle w:val="Style2"/>
        <w:keepNext w:val="0"/>
        <w:keepLines w:val="0"/>
        <w:widowControl w:val="0"/>
        <w:numPr>
          <w:ilvl w:val="0"/>
          <w:numId w:val="9"/>
        </w:numPr>
        <w:shd w:val="clear" w:color="auto" w:fill="auto"/>
        <w:tabs>
          <w:tab w:pos="556" w:val="left"/>
        </w:tabs>
        <w:bidi w:val="0"/>
        <w:spacing w:before="0" w:after="220" w:line="257"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29"/>
        <w:keepNext/>
        <w:keepLines/>
        <w:widowControl w:val="0"/>
        <w:shd w:val="clear" w:color="auto" w:fill="auto"/>
        <w:bidi w:val="0"/>
        <w:spacing w:before="0" w:after="0"/>
        <w:ind w:left="1300" w:right="0" w:firstLine="0"/>
        <w:jc w:val="both"/>
      </w:pPr>
      <w:bookmarkStart w:id="22" w:name="bookmark22"/>
      <w:bookmarkStart w:id="23" w:name="bookmark23"/>
      <w:r>
        <w:rPr>
          <w:color w:val="000000"/>
          <w:spacing w:val="0"/>
          <w:w w:val="100"/>
          <w:position w:val="0"/>
          <w:shd w:val="clear" w:color="auto" w:fill="auto"/>
          <w:lang w:val="cs-CZ" w:eastAsia="cs-CZ" w:bidi="cs-CZ"/>
        </w:rPr>
        <w:t>Odpovědný TDS — Mosty a inženýrské konstrukce</w:t>
      </w:r>
      <w:bookmarkEnd w:id="22"/>
      <w:bookmarkEnd w:id="23"/>
    </w:p>
    <w:p>
      <w:pPr>
        <w:pStyle w:val="Style2"/>
        <w:keepNext w:val="0"/>
        <w:keepLines w:val="0"/>
        <w:widowControl w:val="0"/>
        <w:shd w:val="clear" w:color="auto" w:fill="auto"/>
        <w:bidi w:val="0"/>
        <w:spacing w:before="0" w:after="0" w:line="257" w:lineRule="auto"/>
        <w:ind w:left="1300" w:right="0" w:firstLine="0"/>
        <w:jc w:val="both"/>
      </w:pPr>
      <w:r>
        <w:rPr>
          <w:color w:val="000000"/>
          <w:spacing w:val="0"/>
          <w:w w:val="100"/>
          <w:position w:val="0"/>
          <w:shd w:val="clear" w:color="auto" w:fill="auto"/>
          <w:lang w:val="cs-CZ" w:eastAsia="cs-CZ" w:bidi="cs-CZ"/>
        </w:rPr>
        <w:t>(jméno, příjmení, titul, číslo autorizace):</w:t>
      </w:r>
    </w:p>
    <w:p>
      <w:pPr>
        <w:pStyle w:val="Style2"/>
        <w:keepNext w:val="0"/>
        <w:keepLines w:val="0"/>
        <w:widowControl w:val="0"/>
        <w:shd w:val="clear" w:color="auto" w:fill="auto"/>
        <w:tabs>
          <w:tab w:pos="1688" w:val="left"/>
        </w:tabs>
        <w:bidi w:val="0"/>
        <w:spacing w:before="0" w:after="220" w:line="257" w:lineRule="auto"/>
        <w:ind w:left="0" w:right="0" w:firstLine="0"/>
        <w:jc w:val="center"/>
      </w:pPr>
      <w:r>
        <w:rPr>
          <w:color w:val="000000"/>
          <w:spacing w:val="0"/>
          <w:w w:val="100"/>
          <w:position w:val="0"/>
          <w:shd w:val="clear" w:color="auto" w:fill="auto"/>
          <w:lang w:val="cs-CZ" w:eastAsia="cs-CZ" w:bidi="cs-CZ"/>
        </w:rPr>
        <w:t>. ČKAIT</w:t>
        <w:tab/>
        <w:t>, tel.</w:t>
      </w:r>
    </w:p>
    <w:p>
      <w:pPr>
        <w:pStyle w:val="Style2"/>
        <w:keepNext w:val="0"/>
        <w:keepLines w:val="0"/>
        <w:widowControl w:val="0"/>
        <w:numPr>
          <w:ilvl w:val="0"/>
          <w:numId w:val="9"/>
        </w:numPr>
        <w:shd w:val="clear" w:color="auto" w:fill="auto"/>
        <w:tabs>
          <w:tab w:pos="556" w:val="left"/>
        </w:tabs>
        <w:bidi w:val="0"/>
        <w:spacing w:before="0" w:line="257" w:lineRule="auto"/>
        <w:ind w:left="0" w:right="0" w:firstLine="0"/>
        <w:jc w:val="both"/>
      </w:pPr>
      <w:r>
        <w:rPr>
          <w:b/>
          <w:bCs/>
          <w:color w:val="000000"/>
          <w:spacing w:val="0"/>
          <w:w w:val="100"/>
          <w:position w:val="0"/>
          <w:shd w:val="clear" w:color="auto" w:fill="auto"/>
          <w:lang w:val="cs-CZ" w:eastAsia="cs-CZ" w:bidi="cs-CZ"/>
        </w:rPr>
        <w:t xml:space="preserve">Dodavatel odpovídá za plnění těchto osob tak, jako by plnil sám. </w:t>
      </w: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2"/>
        <w:keepNext w:val="0"/>
        <w:keepLines w:val="0"/>
        <w:widowControl w:val="0"/>
        <w:numPr>
          <w:ilvl w:val="0"/>
          <w:numId w:val="9"/>
        </w:numPr>
        <w:shd w:val="clear" w:color="auto" w:fill="auto"/>
        <w:tabs>
          <w:tab w:pos="556" w:val="left"/>
        </w:tabs>
        <w:bidi w:val="0"/>
        <w:spacing w:before="0" w:line="257"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2"/>
        <w:keepNext w:val="0"/>
        <w:keepLines w:val="0"/>
        <w:widowControl w:val="0"/>
        <w:numPr>
          <w:ilvl w:val="0"/>
          <w:numId w:val="9"/>
        </w:numPr>
        <w:shd w:val="clear" w:color="auto" w:fill="auto"/>
        <w:tabs>
          <w:tab w:pos="556" w:val="left"/>
        </w:tabs>
        <w:bidi w:val="0"/>
        <w:spacing w:before="0" w:line="257"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2"/>
        <w:keepNext w:val="0"/>
        <w:keepLines w:val="0"/>
        <w:widowControl w:val="0"/>
        <w:numPr>
          <w:ilvl w:val="0"/>
          <w:numId w:val="9"/>
        </w:numPr>
        <w:shd w:val="clear" w:color="auto" w:fill="auto"/>
        <w:tabs>
          <w:tab w:pos="556"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2"/>
        <w:keepNext w:val="0"/>
        <w:keepLines w:val="0"/>
        <w:widowControl w:val="0"/>
        <w:numPr>
          <w:ilvl w:val="0"/>
          <w:numId w:val="9"/>
        </w:numPr>
        <w:shd w:val="clear" w:color="auto" w:fill="auto"/>
        <w:tabs>
          <w:tab w:pos="55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2"/>
        <w:keepNext w:val="0"/>
        <w:keepLines w:val="0"/>
        <w:widowControl w:val="0"/>
        <w:numPr>
          <w:ilvl w:val="0"/>
          <w:numId w:val="9"/>
        </w:numPr>
        <w:shd w:val="clear" w:color="auto" w:fill="auto"/>
        <w:tabs>
          <w:tab w:pos="556" w:val="left"/>
        </w:tabs>
        <w:bidi w:val="0"/>
        <w:spacing w:before="0" w:after="480"/>
        <w:ind w:left="0" w:right="0" w:firstLine="0"/>
        <w:jc w:val="both"/>
      </w:pPr>
      <w:r>
        <w:rPr>
          <w:color w:val="000000"/>
          <w:spacing w:val="0"/>
          <w:w w:val="100"/>
          <w:position w:val="0"/>
          <w:shd w:val="clear" w:color="auto" w:fill="auto"/>
          <w:lang w:val="cs-CZ" w:eastAsia="cs-CZ" w:bidi="cs-CZ"/>
        </w:rPr>
        <w:t>Dle § 2e) zákona č. 320/2001 Sb., o finanční kontrole ve veřejné správě a o změně některých zákonů (zákon o finanční kontrole), je TDS osobou povinnou spolupůsobit při výkonu finanční kontroly.</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7</w:t>
      </w:r>
    </w:p>
    <w:p>
      <w:pPr>
        <w:pStyle w:val="Style29"/>
        <w:keepNext/>
        <w:keepLines/>
        <w:widowControl w:val="0"/>
        <w:shd w:val="clear" w:color="auto" w:fill="auto"/>
        <w:bidi w:val="0"/>
        <w:spacing w:before="0"/>
        <w:ind w:left="0" w:right="0" w:firstLine="0"/>
        <w:jc w:val="center"/>
      </w:pPr>
      <w:bookmarkStart w:id="24" w:name="bookmark24"/>
      <w:bookmarkStart w:id="25" w:name="bookmark25"/>
      <w:r>
        <w:rPr>
          <w:color w:val="000000"/>
          <w:spacing w:val="0"/>
          <w:w w:val="100"/>
          <w:position w:val="0"/>
          <w:shd w:val="clear" w:color="auto" w:fill="auto"/>
          <w:lang w:val="cs-CZ" w:eastAsia="cs-CZ" w:bidi="cs-CZ"/>
        </w:rPr>
        <w:t>Změna závazku</w:t>
      </w:r>
      <w:bookmarkEnd w:id="24"/>
      <w:bookmarkEnd w:id="25"/>
    </w:p>
    <w:p>
      <w:pPr>
        <w:pStyle w:val="Style2"/>
        <w:keepNext w:val="0"/>
        <w:keepLines w:val="0"/>
        <w:widowControl w:val="0"/>
        <w:numPr>
          <w:ilvl w:val="0"/>
          <w:numId w:val="11"/>
        </w:numPr>
        <w:shd w:val="clear" w:color="auto" w:fill="auto"/>
        <w:tabs>
          <w:tab w:pos="556" w:val="left"/>
        </w:tabs>
        <w:bidi w:val="0"/>
        <w:spacing w:before="0" w:line="257"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2"/>
        <w:keepNext w:val="0"/>
        <w:keepLines w:val="0"/>
        <w:widowControl w:val="0"/>
        <w:numPr>
          <w:ilvl w:val="0"/>
          <w:numId w:val="11"/>
        </w:numPr>
        <w:shd w:val="clear" w:color="auto" w:fill="auto"/>
        <w:tabs>
          <w:tab w:pos="556" w:val="left"/>
        </w:tabs>
        <w:bidi w:val="0"/>
        <w:spacing w:before="0" w:after="640" w:line="257" w:lineRule="auto"/>
        <w:ind w:left="0" w:right="0" w:firstLine="0"/>
        <w:jc w:val="both"/>
      </w:pPr>
      <w:r>
        <w:rPr>
          <w:b/>
          <w:bCs/>
          <w:color w:val="000000"/>
          <w:spacing w:val="0"/>
          <w:w w:val="100"/>
          <w:position w:val="0"/>
          <w:shd w:val="clear" w:color="auto" w:fill="auto"/>
          <w:lang w:val="cs-CZ" w:eastAsia="cs-CZ" w:bidi="cs-CZ"/>
        </w:rPr>
        <w:t xml:space="preserve">K </w:t>
      </w:r>
      <w:r>
        <w:rPr>
          <w:color w:val="000000"/>
          <w:spacing w:val="0"/>
          <w:w w:val="100"/>
          <w:position w:val="0"/>
          <w:shd w:val="clear" w:color="auto" w:fill="auto"/>
          <w:lang w:val="cs-CZ" w:eastAsia="cs-CZ" w:bidi="cs-CZ"/>
        </w:rPr>
        <w:t>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8</w:t>
      </w:r>
    </w:p>
    <w:p>
      <w:pPr>
        <w:pStyle w:val="Style29"/>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Sankce</w:t>
      </w:r>
      <w:bookmarkEnd w:id="26"/>
      <w:bookmarkEnd w:id="27"/>
    </w:p>
    <w:p>
      <w:pPr>
        <w:pStyle w:val="Style2"/>
        <w:keepNext w:val="0"/>
        <w:keepLines w:val="0"/>
        <w:widowControl w:val="0"/>
        <w:numPr>
          <w:ilvl w:val="0"/>
          <w:numId w:val="13"/>
        </w:numPr>
        <w:shd w:val="clear" w:color="auto" w:fill="auto"/>
        <w:tabs>
          <w:tab w:pos="556" w:val="left"/>
        </w:tabs>
        <w:bidi w:val="0"/>
        <w:spacing w:before="0"/>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pokutuje možné ukládat opakovaně, dokud nedojde ke zjednání nápravy.</w:t>
      </w:r>
    </w:p>
    <w:p>
      <w:pPr>
        <w:pStyle w:val="Style2"/>
        <w:keepNext w:val="0"/>
        <w:keepLines w:val="0"/>
        <w:widowControl w:val="0"/>
        <w:numPr>
          <w:ilvl w:val="0"/>
          <w:numId w:val="13"/>
        </w:numPr>
        <w:shd w:val="clear" w:color="auto" w:fill="auto"/>
        <w:tabs>
          <w:tab w:pos="556" w:val="left"/>
        </w:tabs>
        <w:bidi w:val="0"/>
        <w:spacing w:before="0" w:line="264"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2"/>
        <w:keepNext w:val="0"/>
        <w:keepLines w:val="0"/>
        <w:widowControl w:val="0"/>
        <w:numPr>
          <w:ilvl w:val="0"/>
          <w:numId w:val="13"/>
        </w:numPr>
        <w:shd w:val="clear" w:color="auto" w:fill="auto"/>
        <w:tabs>
          <w:tab w:pos="556" w:val="left"/>
        </w:tabs>
        <w:bidi w:val="0"/>
        <w:spacing w:before="0" w:line="257"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ve výši 0,2 % z dlužné částky za každý den prodlení.</w:t>
      </w:r>
    </w:p>
    <w:p>
      <w:pPr>
        <w:pStyle w:val="Style2"/>
        <w:keepNext w:val="0"/>
        <w:keepLines w:val="0"/>
        <w:widowControl w:val="0"/>
        <w:numPr>
          <w:ilvl w:val="0"/>
          <w:numId w:val="13"/>
        </w:numPr>
        <w:shd w:val="clear" w:color="auto" w:fill="auto"/>
        <w:tabs>
          <w:tab w:pos="559" w:val="left"/>
        </w:tabs>
        <w:bidi w:val="0"/>
        <w:spacing w:before="0" w:after="380"/>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29"/>
        <w:keepNext/>
        <w:keepLines/>
        <w:widowControl w:val="0"/>
        <w:shd w:val="clear" w:color="auto" w:fill="auto"/>
        <w:bidi w:val="0"/>
        <w:spacing w:before="0" w:line="254"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Odpovědnost za škodu</w:t>
      </w:r>
      <w:bookmarkEnd w:id="28"/>
      <w:bookmarkEnd w:id="29"/>
    </w:p>
    <w:p>
      <w:pPr>
        <w:pStyle w:val="Style2"/>
        <w:keepNext w:val="0"/>
        <w:keepLines w:val="0"/>
        <w:widowControl w:val="0"/>
        <w:numPr>
          <w:ilvl w:val="0"/>
          <w:numId w:val="15"/>
        </w:numPr>
        <w:shd w:val="clear" w:color="auto" w:fill="auto"/>
        <w:tabs>
          <w:tab w:pos="559" w:val="left"/>
        </w:tabs>
        <w:bidi w:val="0"/>
        <w:spacing w:before="0" w:line="257" w:lineRule="auto"/>
        <w:ind w:left="0" w:right="0" w:firstLine="0"/>
        <w:jc w:val="both"/>
      </w:pPr>
      <w:r>
        <w:rPr>
          <w:b/>
          <w:bCs/>
          <w:color w:val="000000"/>
          <w:spacing w:val="0"/>
          <w:w w:val="100"/>
          <w:position w:val="0"/>
          <w:shd w:val="clear" w:color="auto" w:fill="auto"/>
          <w:lang w:val="cs-CZ" w:eastAsia="cs-CZ" w:bidi="cs-CZ"/>
        </w:rPr>
        <w:t xml:space="preserve">TDS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TDS.</w:t>
      </w:r>
    </w:p>
    <w:p>
      <w:pPr>
        <w:pStyle w:val="Style2"/>
        <w:keepNext w:val="0"/>
        <w:keepLines w:val="0"/>
        <w:widowControl w:val="0"/>
        <w:numPr>
          <w:ilvl w:val="0"/>
          <w:numId w:val="15"/>
        </w:numPr>
        <w:shd w:val="clear" w:color="auto" w:fill="auto"/>
        <w:tabs>
          <w:tab w:pos="559" w:val="left"/>
        </w:tabs>
        <w:bidi w:val="0"/>
        <w:spacing w:before="0" w:line="257" w:lineRule="auto"/>
        <w:ind w:left="0" w:right="0" w:firstLine="0"/>
        <w:jc w:val="both"/>
      </w:pPr>
      <w:r>
        <w:rPr>
          <w:b/>
          <w:bCs/>
          <w:color w:val="000000"/>
          <w:spacing w:val="0"/>
          <w:w w:val="100"/>
          <w:position w:val="0"/>
          <w:shd w:val="clear" w:color="auto" w:fill="auto"/>
          <w:lang w:val="cs-CZ" w:eastAsia="cs-CZ" w:bidi="cs-CZ"/>
        </w:rPr>
        <w:t xml:space="preserve">TDS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za </w:t>
      </w:r>
      <w:r>
        <w:rPr>
          <w:color w:val="000000"/>
          <w:spacing w:val="0"/>
          <w:w w:val="100"/>
          <w:position w:val="0"/>
          <w:shd w:val="clear" w:color="auto" w:fill="auto"/>
          <w:lang w:val="cs-CZ" w:eastAsia="cs-CZ" w:bidi="cs-CZ"/>
        </w:rPr>
        <w:t xml:space="preserve">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p>
    <w:p>
      <w:pPr>
        <w:pStyle w:val="Style2"/>
        <w:keepNext w:val="0"/>
        <w:keepLines w:val="0"/>
        <w:widowControl w:val="0"/>
        <w:numPr>
          <w:ilvl w:val="0"/>
          <w:numId w:val="15"/>
        </w:numPr>
        <w:shd w:val="clear" w:color="auto" w:fill="auto"/>
        <w:tabs>
          <w:tab w:pos="559" w:val="left"/>
        </w:tabs>
        <w:bidi w:val="0"/>
        <w:spacing w:before="0" w:after="620" w:line="264"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29"/>
        <w:keepNext/>
        <w:keepLines/>
        <w:widowControl w:val="0"/>
        <w:shd w:val="clear" w:color="auto" w:fill="auto"/>
        <w:bidi w:val="0"/>
        <w:spacing w:before="0" w:line="254"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Ostatní ujednání, závěrečná ustanovení</w:t>
      </w:r>
      <w:bookmarkEnd w:id="30"/>
      <w:bookmarkEnd w:id="31"/>
    </w:p>
    <w:p>
      <w:pPr>
        <w:pStyle w:val="Style2"/>
        <w:keepNext w:val="0"/>
        <w:keepLines w:val="0"/>
        <w:widowControl w:val="0"/>
        <w:numPr>
          <w:ilvl w:val="0"/>
          <w:numId w:val="17"/>
        </w:numPr>
        <w:shd w:val="clear" w:color="auto" w:fill="auto"/>
        <w:tabs>
          <w:tab w:pos="602"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2"/>
        <w:keepNext w:val="0"/>
        <w:keepLines w:val="0"/>
        <w:widowControl w:val="0"/>
        <w:numPr>
          <w:ilvl w:val="0"/>
          <w:numId w:val="17"/>
        </w:numPr>
        <w:shd w:val="clear" w:color="auto" w:fill="auto"/>
        <w:tabs>
          <w:tab w:pos="609" w:val="left"/>
        </w:tabs>
        <w:bidi w:val="0"/>
        <w:spacing w:before="0"/>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17"/>
        </w:numPr>
        <w:shd w:val="clear" w:color="auto" w:fill="auto"/>
        <w:tabs>
          <w:tab w:pos="613" w:val="left"/>
        </w:tabs>
        <w:bidi w:val="0"/>
        <w:spacing w:before="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17"/>
        </w:numPr>
        <w:shd w:val="clear" w:color="auto" w:fill="auto"/>
        <w:tabs>
          <w:tab w:pos="602"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2"/>
        <w:keepNext w:val="0"/>
        <w:keepLines w:val="0"/>
        <w:widowControl w:val="0"/>
        <w:numPr>
          <w:ilvl w:val="0"/>
          <w:numId w:val="17"/>
        </w:numPr>
        <w:shd w:val="clear" w:color="auto" w:fill="auto"/>
        <w:tabs>
          <w:tab w:pos="609"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2"/>
        <w:keepNext w:val="0"/>
        <w:keepLines w:val="0"/>
        <w:widowControl w:val="0"/>
        <w:numPr>
          <w:ilvl w:val="0"/>
          <w:numId w:val="17"/>
        </w:numPr>
        <w:shd w:val="clear" w:color="auto" w:fill="auto"/>
        <w:tabs>
          <w:tab w:pos="609"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
        <w:keepNext w:val="0"/>
        <w:keepLines w:val="0"/>
        <w:widowControl w:val="0"/>
        <w:numPr>
          <w:ilvl w:val="0"/>
          <w:numId w:val="17"/>
        </w:numPr>
        <w:shd w:val="clear" w:color="auto" w:fill="auto"/>
        <w:tabs>
          <w:tab w:pos="606" w:val="left"/>
        </w:tabs>
        <w:bidi w:val="0"/>
        <w:spacing w:before="0" w:line="259"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2"/>
        <w:keepNext w:val="0"/>
        <w:keepLines w:val="0"/>
        <w:widowControl w:val="0"/>
        <w:numPr>
          <w:ilvl w:val="0"/>
          <w:numId w:val="17"/>
        </w:numPr>
        <w:shd w:val="clear" w:color="auto" w:fill="auto"/>
        <w:tabs>
          <w:tab w:pos="591" w:val="left"/>
        </w:tabs>
        <w:bidi w:val="0"/>
        <w:spacing w:before="0"/>
        <w:ind w:left="0" w:right="0" w:firstLine="0"/>
        <w:jc w:val="both"/>
        <w:sectPr>
          <w:footnotePr>
            <w:pos w:val="pageBottom"/>
            <w:numFmt w:val="decimal"/>
            <w:numRestart w:val="continuous"/>
          </w:footnotePr>
          <w:type w:val="continuous"/>
          <w:pgSz w:w="11900" w:h="16840"/>
          <w:pgMar w:top="1760" w:left="1104" w:right="924" w:bottom="1914" w:header="1332" w:footer="3" w:gutter="0"/>
          <w:cols w:space="720"/>
          <w:noEndnote/>
          <w:rtlGutter w:val="0"/>
          <w:docGrid w:linePitch="360"/>
        </w:sectPr>
      </w:pPr>
      <w:r>
        <w:rPr>
          <w:color w:val="000000"/>
          <w:spacing w:val="0"/>
          <w:w w:val="100"/>
          <w:position w:val="0"/>
          <w:shd w:val="clear" w:color="auto" w:fill="auto"/>
          <w:lang w:val="cs-CZ" w:eastAsia="cs-CZ" w:bidi="cs-CZ"/>
        </w:rPr>
        <w:t xml:space="preserve">Smlouvaje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TDS.</w:t>
      </w:r>
    </w:p>
    <w:p>
      <w:pPr>
        <w:pStyle w:val="Style2"/>
        <w:keepNext w:val="0"/>
        <w:keepLines w:val="0"/>
        <w:framePr w:w="9839" w:h="1512" w:wrap="none" w:hAnchor="page" w:x="1115" w:y="1"/>
        <w:widowControl w:val="0"/>
        <w:numPr>
          <w:ilvl w:val="0"/>
          <w:numId w:val="19"/>
        </w:numPr>
        <w:shd w:val="clear" w:color="auto" w:fill="auto"/>
        <w:tabs>
          <w:tab w:pos="554" w:val="left"/>
        </w:tabs>
        <w:bidi w:val="0"/>
        <w:spacing w:before="0" w:line="259"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2"/>
        <w:keepNext w:val="0"/>
        <w:keepLines w:val="0"/>
        <w:framePr w:w="9839" w:h="1512" w:wrap="none" w:hAnchor="page" w:x="1115" w:y="1"/>
        <w:widowControl w:val="0"/>
        <w:numPr>
          <w:ilvl w:val="0"/>
          <w:numId w:val="19"/>
        </w:numPr>
        <w:shd w:val="clear" w:color="auto" w:fill="auto"/>
        <w:tabs>
          <w:tab w:pos="688" w:val="left"/>
        </w:tabs>
        <w:bidi w:val="0"/>
        <w:spacing w:before="0" w:after="0" w:line="259"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2"/>
        <w:keepNext w:val="0"/>
        <w:keepLines w:val="0"/>
        <w:framePr w:w="4129" w:h="695" w:wrap="none" w:hAnchor="page" w:x="1122" w:y="1959"/>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Přílohy:</w:t>
      </w:r>
    </w:p>
    <w:p>
      <w:pPr>
        <w:pStyle w:val="Style2"/>
        <w:keepNext w:val="0"/>
        <w:keepLines w:val="0"/>
        <w:framePr w:w="4129" w:h="695" w:wrap="none" w:hAnchor="page" w:x="1122" w:y="19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 xml:space="preserve">Příloha </w:t>
      </w:r>
      <w:r>
        <w:rPr>
          <w:b/>
          <w:bCs/>
          <w:i/>
          <w:iCs/>
          <w:color w:val="000000"/>
          <w:spacing w:val="0"/>
          <w:w w:val="100"/>
          <w:position w:val="0"/>
          <w:shd w:val="clear" w:color="auto" w:fill="auto"/>
          <w:lang w:val="cs-CZ" w:eastAsia="cs-CZ" w:bidi="cs-CZ"/>
        </w:rPr>
        <w:t>č.</w:t>
      </w:r>
      <w:r>
        <w:rPr>
          <w:b/>
          <w:bCs/>
          <w:color w:val="000000"/>
          <w:spacing w:val="0"/>
          <w:w w:val="100"/>
          <w:position w:val="0"/>
          <w:shd w:val="clear" w:color="auto" w:fill="auto"/>
          <w:lang w:val="cs-CZ" w:eastAsia="cs-CZ" w:bidi="cs-CZ"/>
        </w:rPr>
        <w:t xml:space="preserve"> 1 - Kalkulace odměny TDS</w:t>
      </w:r>
    </w:p>
    <w:p>
      <w:pPr>
        <w:pStyle w:val="Style2"/>
        <w:keepNext w:val="0"/>
        <w:keepLines w:val="0"/>
        <w:framePr w:w="554" w:h="295" w:wrap="none" w:hAnchor="page" w:x="1118" w:y="32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p>
      <w:pPr>
        <w:pStyle w:val="Style2"/>
        <w:keepNext w:val="0"/>
        <w:keepLines w:val="0"/>
        <w:framePr w:w="1159" w:h="299" w:wrap="none" w:hAnchor="page" w:x="6065" w:y="32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2"/>
        <w:keepNext w:val="0"/>
        <w:keepLines w:val="0"/>
        <w:framePr w:w="2196" w:h="295" w:wrap="none" w:hAnchor="page" w:x="1126" w:y="40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 25.6.2019</w:t>
      </w:r>
    </w:p>
    <w:p>
      <w:pPr>
        <w:pStyle w:val="Style34"/>
        <w:keepNext/>
        <w:keepLines/>
        <w:framePr w:w="3053" w:h="497" w:wrap="none" w:hAnchor="page" w:x="6014" w:y="3824"/>
        <w:widowControl w:val="0"/>
        <w:shd w:val="clear" w:color="auto" w:fill="auto"/>
        <w:bidi w:val="0"/>
        <w:spacing w:before="0" w:after="0" w:line="240" w:lineRule="auto"/>
        <w:ind w:left="0" w:right="0" w:firstLine="0"/>
        <w:jc w:val="right"/>
      </w:pPr>
      <w:bookmarkStart w:id="32" w:name="bookmark32"/>
      <w:bookmarkStart w:id="33" w:name="bookmark33"/>
      <w:r>
        <w:rPr>
          <w:color w:val="000000"/>
          <w:spacing w:val="0"/>
          <w:w w:val="100"/>
          <w:position w:val="0"/>
          <w:shd w:val="clear" w:color="auto" w:fill="auto"/>
          <w:lang w:val="cs-CZ" w:eastAsia="cs-CZ" w:bidi="cs-CZ"/>
        </w:rPr>
        <w:t>1 1 07. 2019</w:t>
      </w:r>
      <w:bookmarkEnd w:id="32"/>
      <w:bookmarkEnd w:id="33"/>
    </w:p>
    <w:p>
      <w:pPr>
        <w:pStyle w:val="Style2"/>
        <w:keepNext w:val="0"/>
        <w:keepLines w:val="0"/>
        <w:framePr w:w="3053" w:h="497" w:wrap="none" w:hAnchor="page" w:x="6014" w:y="3824"/>
        <w:widowControl w:val="0"/>
        <w:shd w:val="clear" w:color="auto" w:fill="auto"/>
        <w:tabs>
          <w:tab w:leader="dot" w:pos="1451" w:val="left"/>
          <w:tab w:leader="dot" w:pos="2981" w:val="left"/>
        </w:tabs>
        <w:bidi w:val="0"/>
        <w:spacing w:before="0" w:after="0" w:line="180" w:lineRule="auto"/>
        <w:ind w:left="0" w:right="0" w:firstLine="0"/>
        <w:jc w:val="right"/>
      </w:pPr>
      <w:r>
        <w:rPr>
          <w:color w:val="000000"/>
          <w:spacing w:val="0"/>
          <w:w w:val="100"/>
          <w:position w:val="0"/>
          <w:shd w:val="clear" w:color="auto" w:fill="auto"/>
          <w:lang w:val="cs-CZ" w:eastAsia="cs-CZ" w:bidi="cs-CZ"/>
        </w:rPr>
        <w:t xml:space="preserve">V Jihlavě dne: </w:t>
        <w:tab/>
        <w:tab/>
      </w:r>
    </w:p>
    <w:p>
      <w:pPr>
        <w:pStyle w:val="Style2"/>
        <w:keepNext w:val="0"/>
        <w:keepLines w:val="0"/>
        <w:framePr w:w="2506" w:h="590" w:wrap="none" w:hAnchor="page" w:x="2206" w:y="6323"/>
        <w:widowControl w:val="0"/>
        <w:shd w:val="clear" w:color="auto" w:fill="auto"/>
        <w:bidi w:val="0"/>
        <w:spacing w:before="0" w:after="0" w:line="259" w:lineRule="auto"/>
        <w:ind w:left="0" w:right="0" w:firstLine="0"/>
        <w:jc w:val="center"/>
      </w:pPr>
      <w:r>
        <w:rPr>
          <w:color w:val="000000"/>
          <w:spacing w:val="0"/>
          <w:w w:val="100"/>
          <w:position w:val="0"/>
          <w:shd w:val="clear" w:color="auto" w:fill="auto"/>
          <w:lang w:val="cs-CZ" w:eastAsia="cs-CZ" w:bidi="cs-CZ"/>
        </w:rPr>
        <w:t>Ing. Antonín Pecha], CSc.</w:t>
        <w:br/>
        <w:t>jednatel společnosti</w:t>
      </w:r>
    </w:p>
    <w:p>
      <w:pPr>
        <w:pStyle w:val="Style2"/>
        <w:keepNext w:val="0"/>
        <w:keepLines w:val="0"/>
        <w:framePr w:w="2012" w:h="583" w:wrap="none" w:hAnchor="page" w:x="7296" w:y="6337"/>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Ing. Jan Mika, MBA</w:t>
        <w:br/>
        <w:t>ředitel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8" w:line="1" w:lineRule="exact"/>
      </w:pPr>
    </w:p>
    <w:p>
      <w:pPr>
        <w:widowControl w:val="0"/>
        <w:spacing w:line="1" w:lineRule="exact"/>
        <w:sectPr>
          <w:footnotePr>
            <w:pos w:val="pageBottom"/>
            <w:numFmt w:val="decimal"/>
            <w:numRestart w:val="continuous"/>
          </w:footnotePr>
          <w:pgSz w:w="11900" w:h="16840"/>
          <w:pgMar w:top="1740" w:left="1114" w:right="948" w:bottom="1572" w:header="1312" w:footer="3" w:gutter="0"/>
          <w:cols w:space="720"/>
          <w:noEndnote/>
          <w:rtlGutter w:val="0"/>
          <w:docGrid w:linePitch="360"/>
        </w:sectPr>
      </w:pPr>
    </w:p>
    <w:tbl>
      <w:tblPr>
        <w:tblOverlap w:val="never"/>
        <w:jc w:val="center"/>
        <w:tblLayout w:type="fixed"/>
      </w:tblPr>
      <w:tblGrid>
        <w:gridCol w:w="544"/>
        <w:gridCol w:w="5630"/>
        <w:gridCol w:w="1454"/>
        <w:gridCol w:w="1566"/>
      </w:tblGrid>
      <w:tr>
        <w:trPr>
          <w:trHeight w:val="482" w:hRule="exact"/>
        </w:trPr>
        <w:tc>
          <w:tcPr>
            <w:gridSpan w:val="4"/>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Příloha </w:t>
            </w:r>
            <w:r>
              <w:rPr>
                <w:b/>
                <w:bCs/>
                <w:i/>
                <w:iCs/>
                <w:color w:val="000000"/>
                <w:spacing w:val="0"/>
                <w:w w:val="100"/>
                <w:position w:val="0"/>
                <w:sz w:val="17"/>
                <w:szCs w:val="17"/>
                <w:shd w:val="clear" w:color="auto" w:fill="auto"/>
                <w:lang w:val="cs-CZ" w:eastAsia="cs-CZ" w:bidi="cs-CZ"/>
              </w:rPr>
              <w:t>č.</w:t>
            </w:r>
            <w:r>
              <w:rPr>
                <w:color w:val="000000"/>
                <w:spacing w:val="0"/>
                <w:w w:val="100"/>
                <w:position w:val="0"/>
                <w:sz w:val="17"/>
                <w:szCs w:val="17"/>
                <w:shd w:val="clear" w:color="auto" w:fill="auto"/>
                <w:lang w:val="cs-CZ" w:eastAsia="cs-CZ" w:bidi="cs-CZ"/>
              </w:rPr>
              <w:t xml:space="preserve"> 1 - 108/2019/TDS/D2/POP/HB/sl</w:t>
            </w:r>
          </w:p>
        </w:tc>
      </w:tr>
      <w:tr>
        <w:trPr>
          <w:trHeight w:val="511"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TDS</w:t>
            </w:r>
          </w:p>
        </w:tc>
      </w:tr>
      <w:tr>
        <w:trPr>
          <w:trHeight w:val="356"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'*111/34723 Okrouhlice - most ev. č. 34723-1"</w:t>
            </w:r>
          </w:p>
        </w:tc>
      </w:tr>
      <w:tr>
        <w:trPr>
          <w:trHeight w:val="324"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i/>
                <w:iCs/>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Cena v Kč bez DPH</w:t>
            </w:r>
          </w:p>
        </w:tc>
      </w:tr>
      <w:tr>
        <w:trPr>
          <w:trHeight w:val="34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3"/>
                <w:szCs w:val="13"/>
              </w:rPr>
            </w:pPr>
            <w:r>
              <w:rPr>
                <w:b/>
                <w:bCs/>
                <w:i/>
                <w:i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480"/>
              <w:jc w:val="left"/>
              <w:rPr>
                <w:sz w:val="17"/>
                <w:szCs w:val="17"/>
              </w:rPr>
            </w:pPr>
            <w:r>
              <w:rPr>
                <w:b/>
                <w:bCs/>
                <w:i/>
                <w:iCs/>
                <w:color w:val="000000"/>
                <w:spacing w:val="0"/>
                <w:w w:val="100"/>
                <w:position w:val="0"/>
                <w:sz w:val="17"/>
                <w:szCs w:val="17"/>
                <w:shd w:val="clear" w:color="auto" w:fill="auto"/>
                <w:lang w:val="cs-CZ" w:eastAsia="cs-CZ" w:bidi="cs-CZ"/>
              </w:rPr>
              <w:t>celkem</w:t>
            </w:r>
          </w:p>
        </w:tc>
      </w:tr>
      <w:tr>
        <w:trPr>
          <w:trHeight w:val="436" w:hRule="exact"/>
        </w:trPr>
        <w:tc>
          <w:tcPr>
            <w:gridSpan w:val="4"/>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r>
      <w:tr>
        <w:trPr>
          <w:trHeight w:val="695"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71"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za práci před zahájením stavby</w:t>
            </w:r>
          </w:p>
          <w:p>
            <w:pPr>
              <w:pStyle w:val="Style22"/>
              <w:keepNext w:val="0"/>
              <w:keepLines w:val="0"/>
              <w:widowControl w:val="0"/>
              <w:shd w:val="clear" w:color="auto" w:fill="auto"/>
              <w:bidi w:val="0"/>
              <w:spacing w:before="0" w:after="0" w:line="271"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se zahájením stavby, dle specifikace</w:t>
            </w:r>
            <w:r>
              <w:rPr>
                <w:b/>
                <w:bCs/>
                <w:color w:val="000000"/>
                <w:spacing w:val="0"/>
                <w:w w:val="100"/>
                <w:position w:val="0"/>
                <w:sz w:val="17"/>
                <w:szCs w:val="17"/>
                <w:shd w:val="clear" w:color="auto" w:fill="auto"/>
                <w:lang w:val="cs-CZ" w:eastAsia="cs-CZ" w:bidi="cs-CZ"/>
              </w:rPr>
              <w:t xml:space="preserve"> v </w:t>
            </w:r>
            <w:r>
              <w:rPr>
                <w:i/>
                <w:iCs/>
                <w:color w:val="000000"/>
                <w:spacing w:val="0"/>
                <w:w w:val="100"/>
                <w:position w:val="0"/>
                <w:sz w:val="17"/>
                <w:szCs w:val="17"/>
                <w:shd w:val="clear" w:color="auto" w:fill="auto"/>
                <w:lang w:val="cs-CZ" w:eastAsia="cs-CZ" w:bidi="cs-CZ"/>
              </w:rPr>
              <w:t>čl. 3.1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40"/>
              <w:jc w:val="left"/>
              <w:rPr>
                <w:sz w:val="17"/>
                <w:szCs w:val="17"/>
              </w:rPr>
            </w:pPr>
            <w:r>
              <w:rPr>
                <w:color w:val="000000"/>
                <w:spacing w:val="0"/>
                <w:w w:val="100"/>
                <w:position w:val="0"/>
                <w:sz w:val="17"/>
                <w:szCs w:val="17"/>
                <w:shd w:val="clear" w:color="auto" w:fill="auto"/>
                <w:lang w:val="cs-CZ" w:eastAsia="cs-CZ" w:bidi="cs-CZ"/>
              </w:rPr>
              <w:t>20 000,00 Kč</w:t>
            </w:r>
          </w:p>
        </w:tc>
      </w:tr>
      <w:tr>
        <w:trPr>
          <w:trHeight w:val="72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76"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za práci po dokončeni stavby</w:t>
            </w:r>
          </w:p>
          <w:p>
            <w:pPr>
              <w:pStyle w:val="Style22"/>
              <w:keepNext w:val="0"/>
              <w:keepLines w:val="0"/>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TDS za práce spojené s dokončením stavby, dle specifikace</w:t>
            </w:r>
            <w:r>
              <w:rPr>
                <w:b/>
                <w:bCs/>
                <w:color w:val="000000"/>
                <w:spacing w:val="0"/>
                <w:w w:val="100"/>
                <w:position w:val="0"/>
                <w:sz w:val="17"/>
                <w:szCs w:val="17"/>
                <w:shd w:val="clear" w:color="auto" w:fill="auto"/>
                <w:lang w:val="cs-CZ" w:eastAsia="cs-CZ" w:bidi="cs-CZ"/>
              </w:rPr>
              <w:t xml:space="preserve"> v </w:t>
            </w:r>
            <w:r>
              <w:rPr>
                <w:i/>
                <w:iCs/>
                <w:color w:val="000000"/>
                <w:spacing w:val="0"/>
                <w:w w:val="100"/>
                <w:position w:val="0"/>
                <w:sz w:val="17"/>
                <w:szCs w:val="17"/>
                <w:shd w:val="clear" w:color="auto" w:fill="auto"/>
                <w:lang w:val="cs-CZ" w:eastAsia="cs-CZ" w:bidi="cs-CZ"/>
              </w:rPr>
              <w:t>čl. 3.3.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40"/>
              <w:jc w:val="left"/>
              <w:rPr>
                <w:sz w:val="17"/>
                <w:szCs w:val="17"/>
              </w:rPr>
            </w:pPr>
            <w:r>
              <w:rPr>
                <w:color w:val="000000"/>
                <w:spacing w:val="0"/>
                <w:w w:val="100"/>
                <w:position w:val="0"/>
                <w:sz w:val="17"/>
                <w:szCs w:val="17"/>
                <w:shd w:val="clear" w:color="auto" w:fill="auto"/>
                <w:lang w:val="cs-CZ" w:eastAsia="cs-CZ" w:bidi="cs-CZ"/>
              </w:rPr>
              <w:t>25 000,00 Kč</w:t>
            </w:r>
          </w:p>
        </w:tc>
      </w:tr>
      <w:tr>
        <w:trPr>
          <w:trHeight w:val="482"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A. Cena za výkon TDS před zahájením a po dokončení stavby celkem</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40"/>
              <w:jc w:val="left"/>
              <w:rPr>
                <w:sz w:val="18"/>
                <w:szCs w:val="18"/>
              </w:rPr>
            </w:pPr>
            <w:r>
              <w:rPr>
                <w:b/>
                <w:bCs/>
                <w:color w:val="000000"/>
                <w:spacing w:val="0"/>
                <w:w w:val="100"/>
                <w:position w:val="0"/>
                <w:sz w:val="18"/>
                <w:szCs w:val="18"/>
                <w:shd w:val="clear" w:color="auto" w:fill="auto"/>
                <w:lang w:val="cs-CZ" w:eastAsia="cs-CZ" w:bidi="cs-CZ"/>
              </w:rPr>
              <w:t>45 000,00 Kč</w:t>
            </w:r>
          </w:p>
        </w:tc>
      </w:tr>
      <w:tr>
        <w:trPr>
          <w:trHeight w:val="716" w:hRule="exact"/>
        </w:trPr>
        <w:tc>
          <w:tcPr>
            <w:gridSpan w:val="2"/>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59"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2"/>
              <w:keepNext w:val="0"/>
              <w:keepLines w:val="0"/>
              <w:widowControl w:val="0"/>
              <w:shd w:val="clear" w:color="auto" w:fill="auto"/>
              <w:bidi w:val="0"/>
              <w:spacing w:before="0" w:after="0" w:line="276" w:lineRule="auto"/>
              <w:ind w:left="0" w:right="0" w:firstLine="0"/>
              <w:jc w:val="left"/>
              <w:rPr>
                <w:sz w:val="17"/>
                <w:szCs w:val="17"/>
              </w:rPr>
            </w:pPr>
            <w:r>
              <w:rPr>
                <w:b/>
                <w:bCs/>
                <w:i/>
                <w:iCs/>
                <w:color w:val="000000"/>
                <w:spacing w:val="0"/>
                <w:w w:val="100"/>
                <w:position w:val="0"/>
                <w:sz w:val="17"/>
                <w:szCs w:val="17"/>
                <w:shd w:val="clear" w:color="auto" w:fill="auto"/>
                <w:lang w:val="cs-CZ" w:eastAsia="cs-CZ" w:bidi="cs-CZ"/>
              </w:rPr>
              <w:t>Účastník uvede nabídkovou cenu TDS za práce spojené sprováděním stavby, dle specifikace</w:t>
            </w:r>
            <w:r>
              <w:rPr>
                <w:b/>
                <w:bCs/>
                <w:color w:val="000000"/>
                <w:spacing w:val="0"/>
                <w:w w:val="100"/>
                <w:position w:val="0"/>
                <w:sz w:val="17"/>
                <w:szCs w:val="17"/>
                <w:shd w:val="clear" w:color="auto" w:fill="auto"/>
                <w:lang w:val="cs-CZ" w:eastAsia="cs-CZ" w:bidi="cs-CZ"/>
              </w:rPr>
              <w:t xml:space="preserve"> v </w:t>
            </w:r>
            <w:r>
              <w:rPr>
                <w:b/>
                <w:bCs/>
                <w:i/>
                <w:iCs/>
                <w:color w:val="000000"/>
                <w:spacing w:val="0"/>
                <w:w w:val="100"/>
                <w:position w:val="0"/>
                <w:sz w:val="17"/>
                <w:szCs w:val="17"/>
                <w:shd w:val="clear" w:color="auto" w:fill="auto"/>
                <w:lang w:val="cs-CZ" w:eastAsia="cs-CZ" w:bidi="cs-CZ"/>
              </w:rPr>
              <w:t>čl 3.2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57"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7"/>
                <w:szCs w:val="17"/>
              </w:rPr>
            </w:pPr>
            <w:r>
              <w:rPr>
                <w:b/>
                <w:bCs/>
                <w:i/>
                <w:iCs/>
                <w:color w:val="000000"/>
                <w:spacing w:val="0"/>
                <w:w w:val="100"/>
                <w:position w:val="0"/>
                <w:sz w:val="17"/>
                <w:szCs w:val="17"/>
                <w:shd w:val="clear" w:color="auto" w:fill="auto"/>
                <w:lang w:val="cs-CZ" w:eastAsia="cs-CZ" w:bidi="cs-CZ"/>
              </w:rPr>
              <w:t>celkem za 10 hodin</w:t>
            </w:r>
          </w:p>
          <w:p>
            <w:pPr>
              <w:pStyle w:val="Style22"/>
              <w:keepNext w:val="0"/>
              <w:keepLines w:val="0"/>
              <w:widowControl w:val="0"/>
              <w:shd w:val="clear" w:color="auto" w:fill="auto"/>
              <w:bidi w:val="0"/>
              <w:spacing w:before="0" w:after="0" w:line="185"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k</w:t>
            </w:r>
          </w:p>
        </w:tc>
      </w:tr>
      <w:tr>
        <w:trPr>
          <w:trHeight w:val="81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7"/>
                <w:szCs w:val="17"/>
              </w:rPr>
            </w:pPr>
            <w:r>
              <w:rPr>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spojené s výkonem TDS v kanceláři</w:t>
            </w:r>
          </w:p>
          <w:p>
            <w:pPr>
              <w:pStyle w:val="Style22"/>
              <w:keepNext w:val="0"/>
              <w:keepLines w:val="0"/>
              <w:widowControl w:val="0"/>
              <w:numPr>
                <w:ilvl w:val="0"/>
                <w:numId w:val="21"/>
              </w:numPr>
              <w:shd w:val="clear" w:color="auto" w:fill="auto"/>
              <w:tabs>
                <w:tab w:pos="10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předpokládané </w:t>
            </w:r>
            <w:r>
              <w:rPr>
                <w:b/>
                <w:bCs/>
                <w:color w:val="000000"/>
                <w:spacing w:val="0"/>
                <w:w w:val="100"/>
                <w:position w:val="0"/>
                <w:sz w:val="17"/>
                <w:szCs w:val="17"/>
                <w:shd w:val="clear" w:color="auto" w:fill="auto"/>
                <w:lang w:val="cs-CZ" w:eastAsia="cs-CZ" w:bidi="cs-CZ"/>
              </w:rPr>
              <w:t>náklady bez nároku na cestové</w:t>
            </w:r>
          </w:p>
          <w:p>
            <w:pPr>
              <w:pStyle w:val="Style22"/>
              <w:keepNext w:val="0"/>
              <w:keepLines w:val="0"/>
              <w:widowControl w:val="0"/>
              <w:numPr>
                <w:ilvl w:val="0"/>
                <w:numId w:val="21"/>
              </w:numPr>
              <w:shd w:val="clear" w:color="auto" w:fill="auto"/>
              <w:tabs>
                <w:tab w:pos="10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v předpokládaném rozsahu </w:t>
            </w:r>
            <w:r>
              <w:rPr>
                <w:b/>
                <w:bCs/>
                <w:color w:val="000000"/>
                <w:spacing w:val="0"/>
                <w:w w:val="100"/>
                <w:position w:val="0"/>
                <w:sz w:val="17"/>
                <w:szCs w:val="17"/>
                <w:shd w:val="clear" w:color="auto" w:fill="auto"/>
                <w:lang w:val="cs-CZ" w:eastAsia="cs-CZ" w:bidi="cs-CZ"/>
              </w:rPr>
              <w:t>10 hodin</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600,00 Kč</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640"/>
              <w:jc w:val="left"/>
              <w:rPr>
                <w:sz w:val="17"/>
                <w:szCs w:val="17"/>
              </w:rPr>
            </w:pPr>
            <w:r>
              <w:rPr>
                <w:color w:val="000000"/>
                <w:spacing w:val="0"/>
                <w:w w:val="100"/>
                <w:position w:val="0"/>
                <w:sz w:val="17"/>
                <w:szCs w:val="17"/>
                <w:shd w:val="clear" w:color="auto" w:fill="auto"/>
                <w:lang w:val="cs-CZ" w:eastAsia="cs-CZ" w:bidi="cs-CZ"/>
              </w:rPr>
              <w:t>6 000,00 Kč</w:t>
            </w:r>
          </w:p>
        </w:tc>
      </w:tr>
      <w:tr>
        <w:trPr>
          <w:trHeight w:val="511"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80"/>
              <w:jc w:val="both"/>
              <w:rPr>
                <w:sz w:val="17"/>
                <w:szCs w:val="17"/>
              </w:rPr>
            </w:pPr>
            <w:r>
              <w:rPr>
                <w:b/>
                <w:bCs/>
                <w:color w:val="000000"/>
                <w:spacing w:val="0"/>
                <w:w w:val="100"/>
                <w:position w:val="0"/>
                <w:sz w:val="17"/>
                <w:szCs w:val="17"/>
                <w:shd w:val="clear" w:color="auto" w:fill="auto"/>
                <w:lang w:val="cs-CZ" w:eastAsia="cs-CZ" w:bidi="cs-CZ"/>
              </w:rPr>
              <w:t>4.</w:t>
            </w:r>
          </w:p>
        </w:tc>
        <w:tc>
          <w:tcPr>
            <w:vMerge w:val="restart"/>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spojené s výkonem TDS na staveništi</w:t>
            </w:r>
          </w:p>
          <w:p>
            <w:pPr>
              <w:pStyle w:val="Style22"/>
              <w:keepNext w:val="0"/>
              <w:keepLines w:val="0"/>
              <w:widowControl w:val="0"/>
              <w:numPr>
                <w:ilvl w:val="0"/>
                <w:numId w:val="23"/>
              </w:numPr>
              <w:shd w:val="clear" w:color="auto" w:fill="auto"/>
              <w:tabs>
                <w:tab w:pos="101" w:val="left"/>
              </w:tabs>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předpokládané náklady </w:t>
            </w:r>
            <w:r>
              <w:rPr>
                <w:b/>
                <w:bCs/>
                <w:color w:val="000000"/>
                <w:spacing w:val="0"/>
                <w:w w:val="100"/>
                <w:position w:val="0"/>
                <w:sz w:val="17"/>
                <w:szCs w:val="17"/>
                <w:shd w:val="clear" w:color="auto" w:fill="auto"/>
                <w:lang w:val="cs-CZ" w:eastAsia="cs-CZ" w:bidi="cs-CZ"/>
              </w:rPr>
              <w:t>včetně cestovného</w:t>
            </w:r>
          </w:p>
          <w:p>
            <w:pPr>
              <w:pStyle w:val="Style22"/>
              <w:keepNext w:val="0"/>
              <w:keepLines w:val="0"/>
              <w:widowControl w:val="0"/>
              <w:numPr>
                <w:ilvl w:val="0"/>
                <w:numId w:val="23"/>
              </w:numPr>
              <w:shd w:val="clear" w:color="auto" w:fill="auto"/>
              <w:tabs>
                <w:tab w:pos="104" w:val="left"/>
              </w:tabs>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v předpokládaném rozsahu </w:t>
            </w:r>
            <w:r>
              <w:rPr>
                <w:b/>
                <w:bCs/>
                <w:color w:val="000000"/>
                <w:spacing w:val="0"/>
                <w:w w:val="100"/>
                <w:position w:val="0"/>
                <w:sz w:val="17"/>
                <w:szCs w:val="17"/>
                <w:shd w:val="clear" w:color="auto" w:fill="auto"/>
                <w:lang w:val="cs-CZ" w:eastAsia="cs-CZ" w:bidi="cs-CZ"/>
              </w:rPr>
              <w:t xml:space="preserve">2 návštěvy/týden á 3 hodiny, celkem 18 týdnů </w:t>
            </w:r>
            <w:r>
              <w:rPr>
                <w:i/>
                <w:iCs/>
                <w:color w:val="000000"/>
                <w:spacing w:val="0"/>
                <w:w w:val="100"/>
                <w:position w:val="0"/>
                <w:sz w:val="17"/>
                <w:szCs w:val="17"/>
                <w:shd w:val="clear" w:color="auto" w:fill="auto"/>
                <w:lang w:val="cs-CZ" w:eastAsia="cs-CZ" w:bidi="cs-CZ"/>
              </w:rPr>
              <w:t xml:space="preserve">(vzorec pro výpočet hodin : 2 návštěvy x 3 hod. výkonu TDSx 18 týdnů = </w:t>
            </w:r>
            <w:r>
              <w:rPr>
                <w:b/>
                <w:bCs/>
                <w:i/>
                <w:iCs/>
                <w:color w:val="000000"/>
                <w:spacing w:val="0"/>
                <w:w w:val="100"/>
                <w:position w:val="0"/>
                <w:sz w:val="17"/>
                <w:szCs w:val="17"/>
                <w:shd w:val="clear" w:color="auto" w:fill="auto"/>
                <w:lang w:val="cs-CZ" w:eastAsia="cs-CZ" w:bidi="cs-CZ"/>
              </w:rPr>
              <w:t>108 hodin výkonu TDS celkem)</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700,00 Kč</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52"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celkem za 108 hodin *</w:t>
            </w:r>
          </w:p>
        </w:tc>
      </w:tr>
      <w:tr>
        <w:trPr>
          <w:trHeight w:val="846"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40"/>
              <w:jc w:val="left"/>
              <w:rPr>
                <w:sz w:val="17"/>
                <w:szCs w:val="17"/>
              </w:rPr>
            </w:pPr>
            <w:r>
              <w:rPr>
                <w:color w:val="000000"/>
                <w:spacing w:val="0"/>
                <w:w w:val="100"/>
                <w:position w:val="0"/>
                <w:sz w:val="17"/>
                <w:szCs w:val="17"/>
                <w:shd w:val="clear" w:color="auto" w:fill="auto"/>
                <w:lang w:val="cs-CZ" w:eastAsia="cs-CZ" w:bidi="cs-CZ"/>
              </w:rPr>
              <w:t>75 600,00 Kč</w:t>
            </w:r>
          </w:p>
        </w:tc>
      </w:tr>
      <w:tr>
        <w:trPr>
          <w:trHeight w:val="475"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B. Cena za výkon TDS při provádění stavby celkem</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40"/>
              <w:jc w:val="left"/>
              <w:rPr>
                <w:sz w:val="18"/>
                <w:szCs w:val="18"/>
              </w:rPr>
            </w:pPr>
            <w:r>
              <w:rPr>
                <w:b/>
                <w:bCs/>
                <w:color w:val="000000"/>
                <w:spacing w:val="0"/>
                <w:w w:val="100"/>
                <w:position w:val="0"/>
                <w:sz w:val="18"/>
                <w:szCs w:val="18"/>
                <w:shd w:val="clear" w:color="auto" w:fill="auto"/>
                <w:lang w:val="cs-CZ" w:eastAsia="cs-CZ" w:bidi="cs-CZ"/>
              </w:rPr>
              <w:t>81600,00 Kč</w:t>
            </w:r>
          </w:p>
        </w:tc>
      </w:tr>
      <w:tr>
        <w:trPr>
          <w:trHeight w:val="479"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-'s'</w:t>
            </w:r>
          </w:p>
          <w:p>
            <w:pPr>
              <w:pStyle w:val="Style22"/>
              <w:keepNext w:val="0"/>
              <w:keepLines w:val="0"/>
              <w:widowControl w:val="0"/>
              <w:shd w:val="clear" w:color="auto" w:fill="auto"/>
              <w:tabs>
                <w:tab w:pos="1258" w:val="left"/>
              </w:tabs>
              <w:bidi w:val="0"/>
              <w:spacing w:before="0" w:after="0" w:line="180" w:lineRule="auto"/>
              <w:ind w:left="0" w:right="0" w:firstLine="340"/>
              <w:jc w:val="left"/>
              <w:rPr>
                <w:sz w:val="12"/>
                <w:szCs w:val="12"/>
              </w:rPr>
            </w:pPr>
            <w:r>
              <w:rPr>
                <w:rFonts w:ascii="Arial" w:eastAsia="Arial" w:hAnsi="Arial" w:cs="Arial"/>
                <w:i/>
                <w:iCs/>
                <w:smallCaps/>
                <w:color w:val="000000"/>
                <w:spacing w:val="0"/>
                <w:w w:val="100"/>
                <w:position w:val="0"/>
                <w:sz w:val="8"/>
                <w:szCs w:val="8"/>
                <w:shd w:val="clear" w:color="auto" w:fill="auto"/>
                <w:lang w:val="cs-CZ" w:eastAsia="cs-CZ" w:bidi="cs-CZ"/>
              </w:rPr>
              <w:t>j</w:t>
            </w:r>
            <w:r>
              <w:rPr>
                <w:rFonts w:ascii="Arial" w:eastAsia="Arial" w:hAnsi="Arial" w:cs="Arial"/>
                <w:color w:val="000000"/>
                <w:spacing w:val="0"/>
                <w:w w:val="100"/>
                <w:position w:val="0"/>
                <w:sz w:val="8"/>
                <w:szCs w:val="8"/>
                <w:shd w:val="clear" w:color="auto" w:fill="auto"/>
                <w:lang w:val="cs-CZ" w:eastAsia="cs-CZ" w:bidi="cs-CZ"/>
              </w:rPr>
              <w:t xml:space="preserve"> i -</w:t>
              <w:tab/>
            </w:r>
            <w:r>
              <w:rPr>
                <w:rFonts w:ascii="Arial" w:eastAsia="Arial" w:hAnsi="Arial" w:cs="Arial"/>
                <w:smallCaps/>
                <w:color w:val="000000"/>
                <w:spacing w:val="0"/>
                <w:w w:val="100"/>
                <w:position w:val="0"/>
                <w:sz w:val="12"/>
                <w:szCs w:val="12"/>
                <w:shd w:val="clear" w:color="auto" w:fill="auto"/>
                <w:lang w:val="cs-CZ" w:eastAsia="cs-CZ" w:bidi="cs-CZ"/>
              </w:rPr>
              <w:t>JBmC</w:t>
            </w:r>
          </w:p>
        </w:tc>
      </w:tr>
      <w:tr>
        <w:trPr>
          <w:trHeight w:val="446"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6" w:hRule="exact"/>
        </w:trPr>
        <w:tc>
          <w:tcPr>
            <w:gridSpan w:val="2"/>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25"/>
        <w:keepNext w:val="0"/>
        <w:keepLines w:val="0"/>
        <w:widowControl w:val="0"/>
        <w:shd w:val="clear" w:color="auto" w:fill="auto"/>
        <w:bidi w:val="0"/>
        <w:spacing w:before="0" w:after="0" w:line="240" w:lineRule="auto"/>
        <w:ind w:left="655" w:right="0" w:firstLine="0"/>
        <w:jc w:val="left"/>
      </w:pPr>
      <w:r>
        <w:rPr>
          <w:color w:val="000000"/>
          <w:spacing w:val="0"/>
          <w:w w:val="100"/>
          <w:position w:val="0"/>
          <w:shd w:val="clear" w:color="auto" w:fill="auto"/>
          <w:lang w:val="cs-CZ" w:eastAsia="cs-CZ" w:bidi="cs-CZ"/>
        </w:rPr>
        <w:t>Tabulka pro zpracování ceny plněni bude jako příloha nedílnou součástí Smlouvy o zajištěni výkonu TDS na staveništi</w:t>
      </w:r>
    </w:p>
    <w:p>
      <w:pPr>
        <w:widowControl w:val="0"/>
        <w:spacing w:after="319" w:line="1" w:lineRule="exact"/>
      </w:pPr>
    </w:p>
    <w:p>
      <w:pPr>
        <w:pStyle w:val="Style49"/>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9"/>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dokončeni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w:t>
      </w:r>
      <w:r>
        <w:rPr>
          <w:b w:val="0"/>
          <w:bCs w:val="0"/>
          <w:color w:val="000000"/>
          <w:spacing w:val="0"/>
          <w:w w:val="100"/>
          <w:position w:val="0"/>
          <w:shd w:val="clear" w:color="auto" w:fill="auto"/>
          <w:lang w:val="cs-CZ" w:eastAsia="cs-CZ" w:bidi="cs-CZ"/>
        </w:rPr>
        <w:t xml:space="preserve">ve </w:t>
      </w:r>
      <w:r>
        <w:rPr>
          <w:color w:val="000000"/>
          <w:spacing w:val="0"/>
          <w:w w:val="100"/>
          <w:position w:val="0"/>
          <w:shd w:val="clear" w:color="auto" w:fill="auto"/>
          <w:lang w:val="cs-CZ" w:eastAsia="cs-CZ" w:bidi="cs-CZ"/>
        </w:rPr>
        <w:t>Smlouvě o zajištění výkonu TDS.</w:t>
      </w:r>
    </w:p>
    <w:p>
      <w:pPr>
        <w:pStyle w:val="Style49"/>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w:t>
      </w:r>
      <w:r>
        <w:rPr>
          <w:b w:val="0"/>
          <w:bCs w:val="0"/>
          <w:i w:val="0"/>
          <w:iCs w:val="0"/>
          <w:color w:val="000000"/>
          <w:spacing w:val="0"/>
          <w:w w:val="100"/>
          <w:position w:val="0"/>
          <w:u w:val="single"/>
          <w:shd w:val="clear" w:color="auto" w:fill="auto"/>
          <w:lang w:val="cs-CZ" w:eastAsia="cs-CZ" w:bidi="cs-CZ"/>
        </w:rPr>
        <w:t xml:space="preserve"> v </w:t>
      </w:r>
      <w:r>
        <w:rPr>
          <w:b w:val="0"/>
          <w:bCs w:val="0"/>
          <w:color w:val="000000"/>
          <w:spacing w:val="0"/>
          <w:w w:val="100"/>
          <w:position w:val="0"/>
          <w:u w:val="single"/>
          <w:shd w:val="clear" w:color="auto" w:fill="auto"/>
          <w:lang w:val="cs-CZ" w:eastAsia="cs-CZ" w:bidi="cs-CZ"/>
        </w:rPr>
        <w:t>kanceláři při provádění stavby</w:t>
      </w:r>
      <w:r>
        <w:rPr>
          <w:b w:val="0"/>
          <w:bCs w:val="0"/>
          <w:i w:val="0"/>
          <w:iCs w:val="0"/>
          <w:color w:val="000000"/>
          <w:spacing w:val="0"/>
          <w:w w:val="100"/>
          <w:position w:val="0"/>
          <w:u w:val="single"/>
          <w:shd w:val="clear" w:color="auto" w:fill="auto"/>
          <w:lang w:val="cs-CZ" w:eastAsia="cs-CZ" w:bidi="cs-CZ"/>
        </w:rPr>
        <w:t xml:space="preserve"> v </w:t>
      </w:r>
      <w:r>
        <w:rPr>
          <w:b w:val="0"/>
          <w:bCs w:val="0"/>
          <w:color w:val="000000"/>
          <w:spacing w:val="0"/>
          <w:w w:val="100"/>
          <w:position w:val="0"/>
          <w:u w:val="single"/>
          <w:shd w:val="clear" w:color="auto" w:fill="auto"/>
          <w:lang w:val="cs-CZ" w:eastAsia="cs-CZ" w:bidi="cs-CZ"/>
        </w:rPr>
        <w:t>rozsahu I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w:t>
      </w:r>
      <w:r>
        <w:rPr>
          <w:b w:val="0"/>
          <w:bCs w:val="0"/>
          <w:color w:val="000000"/>
          <w:spacing w:val="0"/>
          <w:w w:val="100"/>
          <w:position w:val="0"/>
          <w:shd w:val="clear" w:color="auto" w:fill="auto"/>
          <w:lang w:val="cs-CZ" w:eastAsia="cs-CZ" w:bidi="cs-CZ"/>
        </w:rPr>
        <w:t xml:space="preserve">ve </w:t>
      </w:r>
      <w:r>
        <w:rPr>
          <w:color w:val="000000"/>
          <w:spacing w:val="0"/>
          <w:w w:val="100"/>
          <w:position w:val="0"/>
          <w:shd w:val="clear" w:color="auto" w:fill="auto"/>
          <w:lang w:val="cs-CZ" w:eastAsia="cs-CZ" w:bidi="cs-CZ"/>
        </w:rPr>
        <w:t xml:space="preserve">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9"/>
        <w:keepNext w:val="0"/>
        <w:keepLines w:val="0"/>
        <w:widowControl w:val="0"/>
        <w:shd w:val="clear" w:color="auto" w:fill="auto"/>
        <w:bidi w:val="0"/>
        <w:spacing w:before="0" w:after="14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w:t>
      </w:r>
      <w:r>
        <w:rPr>
          <w:b w:val="0"/>
          <w:bCs w:val="0"/>
          <w:i w:val="0"/>
          <w:iCs w:val="0"/>
          <w:color w:val="000000"/>
          <w:spacing w:val="0"/>
          <w:w w:val="100"/>
          <w:position w:val="0"/>
          <w:u w:val="single"/>
          <w:shd w:val="clear" w:color="auto" w:fill="auto"/>
          <w:lang w:val="cs-CZ" w:eastAsia="cs-CZ" w:bidi="cs-CZ"/>
        </w:rPr>
        <w:t xml:space="preserve"> v </w:t>
      </w:r>
      <w:r>
        <w:rPr>
          <w:b w:val="0"/>
          <w:bCs w:val="0"/>
          <w:color w:val="000000"/>
          <w:spacing w:val="0"/>
          <w:w w:val="100"/>
          <w:position w:val="0"/>
          <w:u w:val="single"/>
          <w:shd w:val="clear" w:color="auto" w:fill="auto"/>
          <w:lang w:val="cs-CZ" w:eastAsia="cs-CZ" w:bidi="cs-CZ"/>
        </w:rPr>
        <w:t>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doloženě skutečnosti.</w:t>
      </w:r>
    </w:p>
    <w:p>
      <w:pPr>
        <w:pStyle w:val="Style49"/>
        <w:keepNext w:val="0"/>
        <w:keepLines w:val="0"/>
        <w:widowControl w:val="0"/>
        <w:shd w:val="clear" w:color="auto" w:fill="auto"/>
        <w:bidi w:val="0"/>
        <w:spacing w:before="0" w:after="240" w:line="264" w:lineRule="auto"/>
        <w:ind w:left="0" w:right="0" w:firstLine="0"/>
        <w:jc w:val="left"/>
      </w:pPr>
      <w:r>
        <w:rPr>
          <w:b w:val="0"/>
          <w:bCs w:val="0"/>
          <w:color w:val="000000"/>
          <w:spacing w:val="0"/>
          <w:w w:val="100"/>
          <w:position w:val="0"/>
          <w:shd w:val="clear" w:color="auto" w:fill="auto"/>
          <w:lang w:val="cs-CZ" w:eastAsia="cs-CZ" w:bidi="cs-CZ"/>
        </w:rPr>
        <w:t xml:space="preserve">* Cena za práci </w:t>
      </w:r>
      <w:r>
        <w:rPr>
          <w:color w:val="000000"/>
          <w:spacing w:val="0"/>
          <w:w w:val="100"/>
          <w:position w:val="0"/>
          <w:shd w:val="clear" w:color="auto" w:fill="auto"/>
          <w:lang w:val="cs-CZ" w:eastAsia="cs-CZ" w:bidi="cs-CZ"/>
        </w:rPr>
        <w:t xml:space="preserve">na </w:t>
      </w:r>
      <w:r>
        <w:rPr>
          <w:b w:val="0"/>
          <w:bCs w:val="0"/>
          <w:color w:val="000000"/>
          <w:spacing w:val="0"/>
          <w:w w:val="100"/>
          <w:position w:val="0"/>
          <w:shd w:val="clear" w:color="auto" w:fill="auto"/>
          <w:lang w:val="cs-CZ" w:eastAsia="cs-CZ" w:bidi="cs-CZ"/>
        </w:rPr>
        <w:t>staveništi při provádění stavby (pol. č. 3 ač. 4)</w:t>
      </w:r>
      <w:r>
        <w:rPr>
          <w:b w:val="0"/>
          <w:bCs w:val="0"/>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celkovém předpokládaném rozsahu 10 hodin</w:t>
      </w:r>
      <w:r>
        <w:rPr>
          <w:b w:val="0"/>
          <w:bCs w:val="0"/>
          <w:i w:val="0"/>
          <w:iCs w:val="0"/>
          <w:color w:val="000000"/>
          <w:spacing w:val="0"/>
          <w:w w:val="100"/>
          <w:position w:val="0"/>
          <w:shd w:val="clear" w:color="auto" w:fill="auto"/>
          <w:lang w:val="cs-CZ" w:eastAsia="cs-CZ" w:bidi="cs-CZ"/>
        </w:rPr>
        <w:t xml:space="preserve"> v </w:t>
      </w:r>
      <w:r>
        <w:rPr>
          <w:color w:val="000000"/>
          <w:spacing w:val="0"/>
          <w:w w:val="100"/>
          <w:position w:val="0"/>
          <w:shd w:val="clear" w:color="auto" w:fill="auto"/>
          <w:lang w:val="cs-CZ" w:eastAsia="cs-CZ" w:bidi="cs-CZ"/>
        </w:rPr>
        <w:t xml:space="preserve">kanceláři a 108 hodin na staveništi </w:t>
      </w:r>
      <w:r>
        <w:rPr>
          <w:b w:val="0"/>
          <w:bCs w:val="0"/>
          <w:color w:val="000000"/>
          <w:spacing w:val="0"/>
          <w:w w:val="100"/>
          <w:position w:val="0"/>
          <w:shd w:val="clear" w:color="auto" w:fill="auto"/>
          <w:lang w:val="cs-CZ" w:eastAsia="cs-CZ" w:bidi="cs-CZ"/>
        </w:rPr>
        <w:t xml:space="preserve">je uvedena pouze pro rovnocenné hodnocení podaných nabídek. Ve </w:t>
      </w:r>
      <w:r>
        <w:rPr>
          <w:color w:val="000000"/>
          <w:spacing w:val="0"/>
          <w:w w:val="100"/>
          <w:position w:val="0"/>
          <w:shd w:val="clear" w:color="auto" w:fill="auto"/>
          <w:lang w:val="cs-CZ" w:eastAsia="cs-CZ" w:bidi="cs-CZ"/>
        </w:rPr>
        <w:t>Smlouvě o zajištění výkonu TDS uvedena nebude.</w:t>
      </w:r>
    </w:p>
    <w:p>
      <w:pPr>
        <w:pStyle w:val="Style49"/>
        <w:keepNext w:val="0"/>
        <w:keepLines w:val="0"/>
        <w:widowControl w:val="0"/>
        <w:shd w:val="clear" w:color="auto" w:fill="auto"/>
        <w:bidi w:val="0"/>
        <w:spacing w:before="0" w:after="420"/>
        <w:ind w:left="0" w:right="0" w:firstLine="0"/>
        <w:jc w:val="left"/>
      </w:pPr>
      <w:r>
        <w:rPr>
          <w:b w:val="0"/>
          <w:bCs w:val="0"/>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49"/>
        <w:keepNext w:val="0"/>
        <w:keepLines w:val="0"/>
        <w:widowControl w:val="0"/>
        <w:shd w:val="clear" w:color="auto" w:fill="auto"/>
        <w:bidi w:val="0"/>
        <w:spacing w:before="0" w:after="620" w:line="240" w:lineRule="auto"/>
        <w:ind w:left="0" w:right="0" w:firstLine="0"/>
        <w:jc w:val="left"/>
      </w:pPr>
      <w:r>
        <w:rPr>
          <w:b w:val="0"/>
          <w:bCs w:val="0"/>
          <w:i w:val="0"/>
          <w:iCs w:val="0"/>
          <w:color w:val="000000"/>
          <w:spacing w:val="0"/>
          <w:w w:val="100"/>
          <w:position w:val="0"/>
          <w:shd w:val="clear" w:color="auto" w:fill="auto"/>
          <w:lang w:val="cs-CZ" w:eastAsia="cs-CZ" w:bidi="cs-CZ"/>
        </w:rPr>
        <w:t>VBmě dne 25.6.2019</w:t>
      </w:r>
    </w:p>
    <w:p>
      <w:pPr>
        <w:pStyle w:val="Style49"/>
        <w:keepNext w:val="0"/>
        <w:keepLines w:val="0"/>
        <w:widowControl w:val="0"/>
        <w:pBdr>
          <w:top w:val="single" w:sz="4" w:space="0" w:color="auto"/>
        </w:pBdr>
        <w:shd w:val="clear" w:color="auto" w:fill="auto"/>
        <w:bidi w:val="0"/>
        <w:spacing w:before="0" w:after="200" w:line="276" w:lineRule="auto"/>
        <w:ind w:left="6660" w:right="0" w:hanging="180"/>
        <w:jc w:val="left"/>
      </w:pPr>
      <w:r>
        <w:rPr>
          <w:b w:val="0"/>
          <w:bCs w:val="0"/>
          <w:color w:val="000000"/>
          <w:spacing w:val="0"/>
          <w:w w:val="100"/>
          <w:position w:val="0"/>
          <w:shd w:val="clear" w:color="auto" w:fill="auto"/>
          <w:lang w:val="cs-CZ" w:eastAsia="cs-CZ" w:bidi="cs-CZ"/>
        </w:rPr>
        <w:t>Titul, jméno, příjmení a funkce osoby oprávněné jednat za dodavatele</w:t>
      </w:r>
    </w:p>
    <w:sectPr>
      <w:footerReference w:type="default" r:id="rId8"/>
      <w:footnotePr>
        <w:pos w:val="pageBottom"/>
        <w:numFmt w:val="decimal"/>
        <w:numRestart w:val="continuous"/>
      </w:footnotePr>
      <w:pgSz w:w="11900" w:h="16840"/>
      <w:pgMar w:top="1388" w:left="1153" w:right="889" w:bottom="1388" w:header="960" w:footer="96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5715635</wp:posOffset>
              </wp:positionH>
              <wp:positionV relativeFrom="page">
                <wp:posOffset>9648825</wp:posOffset>
              </wp:positionV>
              <wp:extent cx="637540" cy="91440"/>
              <wp:wrapNone/>
              <wp:docPr id="3" name="Shape 3"/>
              <a:graphic xmlns:a="http://schemas.openxmlformats.org/drawingml/2006/main">
                <a:graphicData uri="http://schemas.microsoft.com/office/word/2010/wordprocessingShape">
                  <wps:wsp>
                    <wps:cNvSpPr txBox="1"/>
                    <wps:spPr>
                      <a:xfrm>
                        <a:ext cx="63754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29" type="#_x0000_t202" style="position:absolute;margin-left:450.05000000000001pt;margin-top:759.75pt;width:50.2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736600</wp:posOffset>
              </wp:positionH>
              <wp:positionV relativeFrom="page">
                <wp:posOffset>9657715</wp:posOffset>
              </wp:positionV>
              <wp:extent cx="3952240" cy="233045"/>
              <wp:wrapNone/>
              <wp:docPr id="5" name="Shape 5"/>
              <a:graphic xmlns:a="http://schemas.openxmlformats.org/drawingml/2006/main">
                <a:graphicData uri="http://schemas.microsoft.com/office/word/2010/wordprocessingShape">
                  <wps:wsp>
                    <wps:cNvSpPr txBox="1"/>
                    <wps:spPr>
                      <a:xfrm>
                        <a:ext cx="3952240" cy="2330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108/2019/TDS/D2/POP/HB/sl</w:t>
                          </w:r>
                        </w:p>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akce: III/34723 Okrouhlice — most ev. č. 34723-1</w:t>
                          </w:r>
                        </w:p>
                      </w:txbxContent>
                    </wps:txbx>
                    <wps:bodyPr wrap="none" lIns="0" tIns="0" rIns="0" bIns="0">
                      <a:spAutoFit/>
                    </wps:bodyPr>
                  </wps:wsp>
                </a:graphicData>
              </a:graphic>
            </wp:anchor>
          </w:drawing>
        </mc:Choice>
        <mc:Fallback>
          <w:pict>
            <v:shape id="_x0000_s1031" type="#_x0000_t202" style="position:absolute;margin-left:58.pt;margin-top:760.45000000000005pt;width:311.19999999999999pt;height:18.3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Smlouva o zajištění výkonu TDS na staveništi - </w:t>
                    </w:r>
                    <w:r>
                      <w:rPr>
                        <w:b/>
                        <w:bCs/>
                        <w:color w:val="000000"/>
                        <w:spacing w:val="0"/>
                        <w:w w:val="100"/>
                        <w:position w:val="0"/>
                        <w:sz w:val="18"/>
                        <w:szCs w:val="18"/>
                        <w:shd w:val="clear" w:color="auto" w:fill="auto"/>
                        <w:lang w:val="cs-CZ" w:eastAsia="cs-CZ" w:bidi="cs-CZ"/>
                      </w:rPr>
                      <w:t>108/2019/TDS/D2/POP/HB/sl</w:t>
                    </w:r>
                  </w:p>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akce: III/34723 Okrouhlice — most ev. č. 34723-1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711835</wp:posOffset>
              </wp:positionH>
              <wp:positionV relativeFrom="page">
                <wp:posOffset>9605645</wp:posOffset>
              </wp:positionV>
              <wp:extent cx="6236335" cy="0"/>
              <wp:wrapNone/>
              <wp:docPr id="7" name="Shape 7"/>
              <a:graphic xmlns:a="http://schemas.openxmlformats.org/drawingml/2006/main">
                <a:graphicData uri="http://schemas.microsoft.com/office/word/2010/wordprocessingShape">
                  <wps:wsp>
                    <wps:cNvCnPr/>
                    <wps:spPr>
                      <a:xfrm>
                        <a:ext cx="6236335" cy="0"/>
                      </a:xfrm>
                      <a:prstGeom prst="straightConnector1"/>
                      <a:ln w="12700">
                        <a:solidFill/>
                      </a:ln>
                    </wps:spPr>
                    <wps:bodyPr/>
                  </wps:wsp>
                </a:graphicData>
              </a:graphic>
            </wp:anchor>
          </w:drawing>
        </mc:Choice>
        <mc:Fallback>
          <w:pict>
            <v:shape o:spt="32" o:oned="true" path="m,l21600,21600e" style="position:absolute;margin-left:56.049999999999997pt;margin-top:756.35000000000002pt;width:491.0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9"/>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Nadpis #1_"/>
    <w:basedOn w:val="DefaultParagraphFont"/>
    <w:link w:val="Style5"/>
    <w:rPr>
      <w:rFonts w:ascii="Times New Roman" w:eastAsia="Times New Roman" w:hAnsi="Times New Roman" w:cs="Times New Roman"/>
      <w:b/>
      <w:bCs/>
      <w:i w:val="0"/>
      <w:iCs w:val="0"/>
      <w:smallCaps w:val="0"/>
      <w:strike w:val="0"/>
      <w:sz w:val="38"/>
      <w:szCs w:val="3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Nadpis #2_"/>
    <w:basedOn w:val="DefaultParagraphFont"/>
    <w:link w:val="Style11"/>
    <w:rPr>
      <w:rFonts w:ascii="Times New Roman" w:eastAsia="Times New Roman" w:hAnsi="Times New Roman" w:cs="Times New Roman"/>
      <w:b/>
      <w:bCs/>
      <w:i w:val="0"/>
      <w:iCs w:val="0"/>
      <w:smallCaps w:val="0"/>
      <w:strike w:val="0"/>
      <w:sz w:val="30"/>
      <w:szCs w:val="30"/>
      <w:u w:val="none"/>
    </w:rPr>
  </w:style>
  <w:style w:type="character" w:customStyle="1" w:styleId="CharStyle15">
    <w:name w:val="Základní text (3)_"/>
    <w:basedOn w:val="DefaultParagraphFont"/>
    <w:link w:val="Style14"/>
    <w:rPr>
      <w:rFonts w:ascii="Times New Roman" w:eastAsia="Times New Roman" w:hAnsi="Times New Roman" w:cs="Times New Roman"/>
      <w:b w:val="0"/>
      <w:bCs w:val="0"/>
      <w:i/>
      <w:iCs/>
      <w:smallCaps w:val="0"/>
      <w:strike w:val="0"/>
      <w:sz w:val="19"/>
      <w:szCs w:val="19"/>
      <w:u w:val="none"/>
    </w:rPr>
  </w:style>
  <w:style w:type="character" w:customStyle="1" w:styleId="CharStyle17">
    <w:name w:val="Základní text (5)_"/>
    <w:basedOn w:val="DefaultParagraphFont"/>
    <w:link w:val="Style16"/>
    <w:rPr>
      <w:rFonts w:ascii="Times New Roman" w:eastAsia="Times New Roman" w:hAnsi="Times New Roman" w:cs="Times New Roman"/>
      <w:b w:val="0"/>
      <w:bCs w:val="0"/>
      <w:i/>
      <w:iCs/>
      <w:smallCaps w:val="0"/>
      <w:strike w:val="0"/>
      <w:sz w:val="34"/>
      <w:szCs w:val="34"/>
      <w:u w:val="none"/>
    </w:rPr>
  </w:style>
  <w:style w:type="character" w:customStyle="1" w:styleId="CharStyle20">
    <w:name w:val="Základní text (4)_"/>
    <w:basedOn w:val="DefaultParagraphFont"/>
    <w:link w:val="Style19"/>
    <w:rPr>
      <w:rFonts w:ascii="Times New Roman" w:eastAsia="Times New Roman" w:hAnsi="Times New Roman" w:cs="Times New Roman"/>
      <w:b/>
      <w:bCs/>
      <w:i w:val="0"/>
      <w:iCs w:val="0"/>
      <w:smallCaps w:val="0"/>
      <w:strike w:val="0"/>
      <w:sz w:val="13"/>
      <w:szCs w:val="13"/>
      <w:u w:val="none"/>
    </w:rPr>
  </w:style>
  <w:style w:type="character" w:customStyle="1" w:styleId="CharStyle23">
    <w:name w:val="Jiné_"/>
    <w:basedOn w:val="DefaultParagraphFont"/>
    <w:link w:val="Style22"/>
    <w:rPr>
      <w:rFonts w:ascii="Times New Roman" w:eastAsia="Times New Roman" w:hAnsi="Times New Roman" w:cs="Times New Roman"/>
      <w:b w:val="0"/>
      <w:bCs w:val="0"/>
      <w:i w:val="0"/>
      <w:iCs w:val="0"/>
      <w:smallCaps w:val="0"/>
      <w:strike w:val="0"/>
      <w:sz w:val="22"/>
      <w:szCs w:val="22"/>
      <w:u w:val="none"/>
    </w:rPr>
  </w:style>
  <w:style w:type="character" w:customStyle="1" w:styleId="CharStyle26">
    <w:name w:val="Titulek tabulky_"/>
    <w:basedOn w:val="DefaultParagraphFont"/>
    <w:link w:val="Style25"/>
    <w:rPr>
      <w:rFonts w:ascii="Times New Roman" w:eastAsia="Times New Roman" w:hAnsi="Times New Roman" w:cs="Times New Roman"/>
      <w:b/>
      <w:bCs/>
      <w:i/>
      <w:iCs/>
      <w:smallCaps w:val="0"/>
      <w:strike w:val="0"/>
      <w:sz w:val="16"/>
      <w:szCs w:val="16"/>
      <w:u w:val="none"/>
    </w:rPr>
  </w:style>
  <w:style w:type="character" w:customStyle="1" w:styleId="CharStyle30">
    <w:name w:val="Nadpis #4_"/>
    <w:basedOn w:val="DefaultParagraphFont"/>
    <w:link w:val="Style29"/>
    <w:rPr>
      <w:rFonts w:ascii="Times New Roman" w:eastAsia="Times New Roman" w:hAnsi="Times New Roman" w:cs="Times New Roman"/>
      <w:b/>
      <w:bCs/>
      <w:i w:val="0"/>
      <w:iCs w:val="0"/>
      <w:smallCaps w:val="0"/>
      <w:strike w:val="0"/>
      <w:sz w:val="22"/>
      <w:szCs w:val="22"/>
      <w:u w:val="none"/>
    </w:rPr>
  </w:style>
  <w:style w:type="character" w:customStyle="1" w:styleId="CharStyle35">
    <w:name w:val="Nadpis #3_"/>
    <w:basedOn w:val="DefaultParagraphFont"/>
    <w:link w:val="Style34"/>
    <w:rPr>
      <w:rFonts w:ascii="Arial" w:eastAsia="Arial" w:hAnsi="Arial" w:cs="Arial"/>
      <w:b w:val="0"/>
      <w:bCs w:val="0"/>
      <w:i w:val="0"/>
      <w:iCs w:val="0"/>
      <w:smallCaps w:val="0"/>
      <w:strike w:val="0"/>
      <w:sz w:val="22"/>
      <w:szCs w:val="22"/>
      <w:u w:val="none"/>
    </w:rPr>
  </w:style>
  <w:style w:type="character" w:customStyle="1" w:styleId="CharStyle50">
    <w:name w:val="Základní text (2)_"/>
    <w:basedOn w:val="DefaultParagraphFont"/>
    <w:link w:val="Style49"/>
    <w:rPr>
      <w:rFonts w:ascii="Times New Roman" w:eastAsia="Times New Roman" w:hAnsi="Times New Roman" w:cs="Times New Roman"/>
      <w:b/>
      <w:bCs/>
      <w:i/>
      <w:iCs/>
      <w:smallCaps w:val="0"/>
      <w:strike w:val="0"/>
      <w:sz w:val="16"/>
      <w:szCs w:val="16"/>
      <w:u w:val="none"/>
    </w:rPr>
  </w:style>
  <w:style w:type="paragraph" w:customStyle="1" w:styleId="Style2">
    <w:name w:val="Základní text"/>
    <w:basedOn w:val="Normal"/>
    <w:link w:val="CharStyle3"/>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Nadpis #1"/>
    <w:basedOn w:val="Normal"/>
    <w:link w:val="CharStyle6"/>
    <w:pPr>
      <w:widowControl w:val="0"/>
      <w:shd w:val="clear" w:color="auto" w:fill="FFFFFF"/>
      <w:spacing w:after="38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Nadpis #2"/>
    <w:basedOn w:val="Normal"/>
    <w:link w:val="CharStyle12"/>
    <w:pPr>
      <w:widowControl w:val="0"/>
      <w:shd w:val="clear" w:color="auto" w:fill="FFFFFF"/>
      <w:spacing w:after="840"/>
      <w:ind w:left="2000"/>
      <w:outlineLvl w:val="1"/>
    </w:pPr>
    <w:rPr>
      <w:rFonts w:ascii="Times New Roman" w:eastAsia="Times New Roman" w:hAnsi="Times New Roman" w:cs="Times New Roman"/>
      <w:b/>
      <w:bCs/>
      <w:i w:val="0"/>
      <w:iCs w:val="0"/>
      <w:smallCaps w:val="0"/>
      <w:strike w:val="0"/>
      <w:sz w:val="30"/>
      <w:szCs w:val="30"/>
      <w:u w:val="none"/>
    </w:rPr>
  </w:style>
  <w:style w:type="paragraph" w:customStyle="1" w:styleId="Style14">
    <w:name w:val="Základní text (3)"/>
    <w:basedOn w:val="Normal"/>
    <w:link w:val="CharStyle15"/>
    <w:pPr>
      <w:widowControl w:val="0"/>
      <w:shd w:val="clear" w:color="auto" w:fill="FFFFFF"/>
      <w:spacing w:after="130"/>
    </w:pPr>
    <w:rPr>
      <w:rFonts w:ascii="Times New Roman" w:eastAsia="Times New Roman" w:hAnsi="Times New Roman" w:cs="Times New Roman"/>
      <w:b w:val="0"/>
      <w:bCs w:val="0"/>
      <w:i/>
      <w:iCs/>
      <w:smallCaps w:val="0"/>
      <w:strike w:val="0"/>
      <w:sz w:val="19"/>
      <w:szCs w:val="19"/>
      <w:u w:val="none"/>
    </w:rPr>
  </w:style>
  <w:style w:type="paragraph" w:customStyle="1" w:styleId="Style16">
    <w:name w:val="Základní text (5)"/>
    <w:basedOn w:val="Normal"/>
    <w:link w:val="CharStyle17"/>
    <w:pPr>
      <w:widowControl w:val="0"/>
      <w:shd w:val="clear" w:color="auto" w:fill="FFFFFF"/>
    </w:pPr>
    <w:rPr>
      <w:rFonts w:ascii="Times New Roman" w:eastAsia="Times New Roman" w:hAnsi="Times New Roman" w:cs="Times New Roman"/>
      <w:b w:val="0"/>
      <w:bCs w:val="0"/>
      <w:i/>
      <w:iCs/>
      <w:smallCaps w:val="0"/>
      <w:strike w:val="0"/>
      <w:sz w:val="34"/>
      <w:szCs w:val="34"/>
      <w:u w:val="none"/>
    </w:rPr>
  </w:style>
  <w:style w:type="paragraph" w:customStyle="1" w:styleId="Style19">
    <w:name w:val="Základní text (4)"/>
    <w:basedOn w:val="Normal"/>
    <w:link w:val="CharStyle20"/>
    <w:pPr>
      <w:widowControl w:val="0"/>
      <w:shd w:val="clear" w:color="auto" w:fill="FFFFFF"/>
      <w:spacing w:line="226" w:lineRule="auto"/>
      <w:ind w:left="2430"/>
      <w:jc w:val="right"/>
    </w:pPr>
    <w:rPr>
      <w:rFonts w:ascii="Times New Roman" w:eastAsia="Times New Roman" w:hAnsi="Times New Roman" w:cs="Times New Roman"/>
      <w:b/>
      <w:bCs/>
      <w:i w:val="0"/>
      <w:iCs w:val="0"/>
      <w:smallCaps w:val="0"/>
      <w:strike w:val="0"/>
      <w:sz w:val="13"/>
      <w:szCs w:val="13"/>
      <w:u w:val="none"/>
    </w:rPr>
  </w:style>
  <w:style w:type="paragraph" w:customStyle="1" w:styleId="Style22">
    <w:name w:val="Jiné"/>
    <w:basedOn w:val="Normal"/>
    <w:link w:val="CharStyle23"/>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5">
    <w:name w:val="Titulek tabulky"/>
    <w:basedOn w:val="Normal"/>
    <w:link w:val="CharStyle26"/>
    <w:pPr>
      <w:widowControl w:val="0"/>
      <w:shd w:val="clear" w:color="auto" w:fill="FFFFFF"/>
    </w:pPr>
    <w:rPr>
      <w:rFonts w:ascii="Times New Roman" w:eastAsia="Times New Roman" w:hAnsi="Times New Roman" w:cs="Times New Roman"/>
      <w:b/>
      <w:bCs/>
      <w:i/>
      <w:iCs/>
      <w:smallCaps w:val="0"/>
      <w:strike w:val="0"/>
      <w:sz w:val="16"/>
      <w:szCs w:val="16"/>
      <w:u w:val="none"/>
    </w:rPr>
  </w:style>
  <w:style w:type="paragraph" w:customStyle="1" w:styleId="Style29">
    <w:name w:val="Nadpis #4"/>
    <w:basedOn w:val="Normal"/>
    <w:link w:val="CharStyle30"/>
    <w:pPr>
      <w:widowControl w:val="0"/>
      <w:shd w:val="clear" w:color="auto" w:fill="FFFFFF"/>
      <w:spacing w:after="100" w:line="257"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34">
    <w:name w:val="Nadpis #3"/>
    <w:basedOn w:val="Normal"/>
    <w:link w:val="CharStyle35"/>
    <w:pPr>
      <w:widowControl w:val="0"/>
      <w:shd w:val="clear" w:color="auto" w:fill="FFFFFF"/>
      <w:jc w:val="right"/>
      <w:outlineLvl w:val="2"/>
    </w:pPr>
    <w:rPr>
      <w:rFonts w:ascii="Arial" w:eastAsia="Arial" w:hAnsi="Arial" w:cs="Arial"/>
      <w:b w:val="0"/>
      <w:bCs w:val="0"/>
      <w:i w:val="0"/>
      <w:iCs w:val="0"/>
      <w:smallCaps w:val="0"/>
      <w:strike w:val="0"/>
      <w:sz w:val="22"/>
      <w:szCs w:val="22"/>
      <w:u w:val="none"/>
    </w:rPr>
  </w:style>
  <w:style w:type="paragraph" w:customStyle="1" w:styleId="Style49">
    <w:name w:val="Základní text (2)"/>
    <w:basedOn w:val="Normal"/>
    <w:link w:val="CharStyle50"/>
    <w:pPr>
      <w:widowControl w:val="0"/>
      <w:shd w:val="clear" w:color="auto" w:fill="FFFFFF"/>
      <w:spacing w:after="170" w:line="259"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