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70" w:rsidRDefault="00CD5A70" w:rsidP="00CD5A70">
      <w:pPr>
        <w:jc w:val="center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                                                                            Číslo objednatele:   1/00068713/2015/2/2019</w:t>
      </w:r>
    </w:p>
    <w:p w:rsidR="00CD5A70" w:rsidRDefault="00CD5A70" w:rsidP="00CD5A70">
      <w:pPr>
        <w:jc w:val="right"/>
        <w:rPr>
          <w:rFonts w:cs="Verdana"/>
          <w:b/>
          <w:bCs/>
          <w:i/>
          <w:iCs/>
          <w:sz w:val="32"/>
          <w:szCs w:val="32"/>
        </w:rPr>
      </w:pPr>
    </w:p>
    <w:p w:rsidR="00CD5A70" w:rsidRDefault="00CD5A70" w:rsidP="00CD5A70">
      <w:pPr>
        <w:jc w:val="center"/>
        <w:rPr>
          <w:rFonts w:cs="Verdana"/>
          <w:b/>
          <w:bCs/>
          <w:i/>
          <w:iCs/>
          <w:sz w:val="32"/>
          <w:szCs w:val="32"/>
        </w:rPr>
      </w:pPr>
      <w:r>
        <w:rPr>
          <w:rFonts w:cs="Verdana"/>
          <w:b/>
          <w:bCs/>
          <w:i/>
          <w:iCs/>
          <w:sz w:val="32"/>
          <w:szCs w:val="32"/>
        </w:rPr>
        <w:t>Dodatek č. 2</w:t>
      </w:r>
    </w:p>
    <w:p w:rsidR="00CD5A70" w:rsidRDefault="00CD5A70" w:rsidP="00CD5A70">
      <w:pPr>
        <w:jc w:val="center"/>
        <w:rPr>
          <w:rFonts w:cs="Verdana"/>
          <w:b/>
          <w:bCs/>
          <w:i/>
          <w:iCs/>
          <w:sz w:val="32"/>
          <w:szCs w:val="32"/>
        </w:rPr>
      </w:pPr>
      <w:r>
        <w:rPr>
          <w:rFonts w:cs="Verdana"/>
          <w:b/>
          <w:bCs/>
          <w:i/>
          <w:iCs/>
          <w:sz w:val="32"/>
          <w:szCs w:val="32"/>
        </w:rPr>
        <w:t>k</w:t>
      </w:r>
    </w:p>
    <w:p w:rsidR="00CD5A70" w:rsidRDefault="00CD5A70" w:rsidP="00CD5A70">
      <w:pPr>
        <w:rPr>
          <w:rFonts w:cs="Verdana"/>
          <w:sz w:val="18"/>
          <w:szCs w:val="18"/>
        </w:rPr>
      </w:pPr>
      <w:r>
        <w:rPr>
          <w:rFonts w:cs="Verdana"/>
          <w:b/>
          <w:bCs/>
          <w:i/>
          <w:iCs/>
          <w:sz w:val="32"/>
          <w:szCs w:val="32"/>
        </w:rPr>
        <w:t xml:space="preserve">příkazní smlouvě </w:t>
      </w:r>
      <w:r>
        <w:rPr>
          <w:rFonts w:cs="Verdana"/>
          <w:b/>
          <w:bCs/>
          <w:i/>
          <w:sz w:val="32"/>
          <w:szCs w:val="32"/>
        </w:rPr>
        <w:t xml:space="preserve">č. 04 – 15 – 54 </w:t>
      </w:r>
      <w:r>
        <w:rPr>
          <w:sz w:val="18"/>
          <w:szCs w:val="18"/>
        </w:rPr>
        <w:t xml:space="preserve">ze dne </w:t>
      </w:r>
      <w:proofErr w:type="gramStart"/>
      <w:r>
        <w:rPr>
          <w:sz w:val="18"/>
          <w:szCs w:val="18"/>
        </w:rPr>
        <w:t>16.3.2015</w:t>
      </w:r>
      <w:proofErr w:type="gramEnd"/>
      <w:r>
        <w:rPr>
          <w:sz w:val="18"/>
          <w:szCs w:val="18"/>
        </w:rPr>
        <w:t xml:space="preserve"> (</w:t>
      </w:r>
      <w:r>
        <w:rPr>
          <w:rFonts w:cs="Verdana"/>
          <w:bCs/>
          <w:i/>
          <w:sz w:val="18"/>
          <w:szCs w:val="18"/>
        </w:rPr>
        <w:t>dále jen „Smlouva“) ve znění Dodatku č. 1  ze dne 16. 6. 2015</w:t>
      </w:r>
      <w:r>
        <w:rPr>
          <w:rFonts w:cs="Verdana"/>
          <w:sz w:val="18"/>
          <w:szCs w:val="18"/>
        </w:rPr>
        <w:t xml:space="preserve">uzavřené dle </w:t>
      </w:r>
      <w:r>
        <w:rPr>
          <w:sz w:val="18"/>
          <w:szCs w:val="18"/>
        </w:rPr>
        <w:t>§ 2430 a násl. zákona č. 89/2012 Sb., občanského zákoníku, ve znění pozdějších předpisů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mezi těmito účastníky:</w:t>
      </w:r>
    </w:p>
    <w:p w:rsidR="00CD5A70" w:rsidRDefault="00CD5A70" w:rsidP="00CD5A70">
      <w:pPr>
        <w:rPr>
          <w:rFonts w:ascii="Calibri" w:hAnsi="Calibri"/>
          <w:sz w:val="18"/>
          <w:szCs w:val="18"/>
        </w:rPr>
      </w:pPr>
    </w:p>
    <w:p w:rsidR="00CD5A70" w:rsidRDefault="00CD5A70" w:rsidP="00CD5A70">
      <w:pPr>
        <w:jc w:val="center"/>
        <w:rPr>
          <w:rFonts w:cs="Verdana"/>
          <w:sz w:val="18"/>
          <w:szCs w:val="18"/>
        </w:rPr>
      </w:pPr>
    </w:p>
    <w:p w:rsidR="00CD5A70" w:rsidRDefault="00CD5A70" w:rsidP="00CD5A70">
      <w:pPr>
        <w:spacing w:before="0" w:line="312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Příkazce</w:t>
      </w:r>
    </w:p>
    <w:p w:rsidR="00CD5A70" w:rsidRDefault="00CD5A70" w:rsidP="00CD5A70">
      <w:pPr>
        <w:spacing w:before="0" w:line="312" w:lineRule="auto"/>
        <w:ind w:left="2829" w:hanging="2829"/>
        <w:rPr>
          <w:rFonts w:cs="Arial"/>
          <w:b/>
          <w:sz w:val="20"/>
          <w:szCs w:val="20"/>
        </w:rPr>
      </w:pPr>
      <w:r>
        <w:rPr>
          <w:sz w:val="18"/>
          <w:szCs w:val="18"/>
        </w:rPr>
        <w:t>Organizace</w:t>
      </w:r>
      <w:r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</w:rPr>
        <w:tab/>
      </w:r>
      <w:r>
        <w:rPr>
          <w:b/>
          <w:sz w:val="20"/>
          <w:szCs w:val="20"/>
        </w:rPr>
        <w:t>Střední zdravotnická škola a Vyšší odborná škola zdravotnická, Kolín, Karoliny Světlé 135</w:t>
      </w:r>
    </w:p>
    <w:p w:rsidR="00CD5A70" w:rsidRDefault="00CD5A70" w:rsidP="00CD5A70">
      <w:pPr>
        <w:widowControl w:val="0"/>
        <w:spacing w:before="0" w:line="312" w:lineRule="auto"/>
        <w:ind w:left="902" w:hanging="902"/>
        <w:rPr>
          <w:sz w:val="18"/>
          <w:szCs w:val="18"/>
        </w:rPr>
      </w:pPr>
      <w:r>
        <w:rPr>
          <w:sz w:val="18"/>
          <w:szCs w:val="18"/>
        </w:rPr>
        <w:t xml:space="preserve">Se sídlem: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Cs/>
          <w:sz w:val="18"/>
          <w:szCs w:val="18"/>
        </w:rPr>
        <w:t>Karoliny Světlé 135, 280 50 Kolín</w:t>
      </w:r>
    </w:p>
    <w:p w:rsidR="00CD5A70" w:rsidRDefault="00CD5A70" w:rsidP="00CD5A70">
      <w:pPr>
        <w:widowControl w:val="0"/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 xml:space="preserve">IČO: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00068713</w:t>
      </w:r>
    </w:p>
    <w:p w:rsidR="00CD5A70" w:rsidRDefault="00CD5A70" w:rsidP="00CD5A70">
      <w:pPr>
        <w:widowControl w:val="0"/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 xml:space="preserve">Zastoupený: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Mgr. Danielou Křepelkovou, ředitelkou školy</w:t>
      </w:r>
    </w:p>
    <w:p w:rsidR="00CD5A70" w:rsidRDefault="00CD5A70" w:rsidP="00CD5A70">
      <w:pPr>
        <w:widowControl w:val="0"/>
        <w:spacing w:before="0" w:line="312" w:lineRule="auto"/>
        <w:ind w:left="900" w:hanging="900"/>
        <w:rPr>
          <w:sz w:val="18"/>
          <w:szCs w:val="18"/>
        </w:rPr>
      </w:pPr>
    </w:p>
    <w:p w:rsidR="00CD5A70" w:rsidRDefault="00CD5A70" w:rsidP="00CD5A70">
      <w:pPr>
        <w:widowControl w:val="0"/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 xml:space="preserve">Kontaktní osoba: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Mgr. Daniela Křepelková, ředitelka školy</w:t>
      </w:r>
    </w:p>
    <w:p w:rsidR="00CD5A70" w:rsidRDefault="00CD5A70" w:rsidP="00CD5A70">
      <w:pPr>
        <w:widowControl w:val="0"/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 xml:space="preserve"> (dále jen „Příkazce“)</w:t>
      </w: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>a</w:t>
      </w: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</w:p>
    <w:p w:rsidR="00CD5A70" w:rsidRDefault="00CD5A70" w:rsidP="00CD5A70">
      <w:pPr>
        <w:tabs>
          <w:tab w:val="left" w:pos="2835"/>
        </w:tabs>
        <w:spacing w:before="0" w:line="312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Příkazník</w:t>
      </w:r>
    </w:p>
    <w:p w:rsidR="00CD5A70" w:rsidRDefault="00CD5A70" w:rsidP="00CD5A70">
      <w:pPr>
        <w:tabs>
          <w:tab w:val="left" w:pos="2835"/>
        </w:tabs>
        <w:spacing w:before="0" w:line="312" w:lineRule="auto"/>
        <w:rPr>
          <w:b/>
          <w:sz w:val="18"/>
          <w:szCs w:val="18"/>
        </w:rPr>
      </w:pPr>
      <w:r>
        <w:rPr>
          <w:sz w:val="18"/>
          <w:szCs w:val="18"/>
        </w:rPr>
        <w:t>Obchodní firma:</w:t>
      </w:r>
      <w:r>
        <w:rPr>
          <w:sz w:val="18"/>
          <w:szCs w:val="18"/>
        </w:rPr>
        <w:tab/>
      </w:r>
      <w:proofErr w:type="spellStart"/>
      <w:r>
        <w:rPr>
          <w:b/>
          <w:sz w:val="20"/>
          <w:szCs w:val="20"/>
        </w:rPr>
        <w:t>Energy</w:t>
      </w:r>
      <w:proofErr w:type="spellEnd"/>
      <w:r>
        <w:rPr>
          <w:b/>
          <w:sz w:val="20"/>
          <w:szCs w:val="20"/>
        </w:rPr>
        <w:t xml:space="preserve"> Benefit Centre a.s.</w:t>
      </w: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>Se sídlem:</w:t>
      </w:r>
      <w:r>
        <w:rPr>
          <w:sz w:val="18"/>
          <w:szCs w:val="18"/>
        </w:rPr>
        <w:tab/>
        <w:t>Křenova 438/3, 162 00 Praha 6</w:t>
      </w: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>IČ:</w:t>
      </w:r>
      <w:r>
        <w:rPr>
          <w:sz w:val="18"/>
          <w:szCs w:val="18"/>
        </w:rPr>
        <w:tab/>
        <w:t>29029210</w:t>
      </w: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>DIČ:</w:t>
      </w:r>
      <w:r>
        <w:rPr>
          <w:sz w:val="18"/>
          <w:szCs w:val="18"/>
        </w:rPr>
        <w:tab/>
      </w: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 xml:space="preserve">Číslo účtu: </w:t>
      </w:r>
      <w:r>
        <w:rPr>
          <w:sz w:val="18"/>
          <w:szCs w:val="18"/>
        </w:rPr>
        <w:tab/>
      </w:r>
    </w:p>
    <w:p w:rsidR="00CD5A70" w:rsidRDefault="00CD5A70" w:rsidP="00CD5A70">
      <w:pPr>
        <w:tabs>
          <w:tab w:val="left" w:pos="2835"/>
        </w:tabs>
        <w:spacing w:before="0" w:line="312" w:lineRule="auto"/>
        <w:ind w:left="2832" w:hanging="2832"/>
        <w:rPr>
          <w:sz w:val="18"/>
          <w:szCs w:val="18"/>
        </w:rPr>
      </w:pPr>
      <w:r>
        <w:rPr>
          <w:sz w:val="18"/>
          <w:szCs w:val="18"/>
        </w:rPr>
        <w:t>Zápis v rejstříku:</w:t>
      </w:r>
      <w:r>
        <w:rPr>
          <w:sz w:val="18"/>
          <w:szCs w:val="18"/>
        </w:rPr>
        <w:tab/>
        <w:t>Společnost je zapsána v obchodním rejstříku vedeném Městským soudem v Praze, oddíl B, vložka 15915</w:t>
      </w: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>Zastoupený:</w:t>
      </w:r>
      <w:r>
        <w:rPr>
          <w:sz w:val="18"/>
          <w:szCs w:val="18"/>
        </w:rPr>
        <w:tab/>
        <w:t>Ing. Miroslavem Hořejším, předsedou představenstva</w:t>
      </w: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>Oprávněná kontaktní osoba:</w:t>
      </w:r>
      <w:r>
        <w:rPr>
          <w:sz w:val="18"/>
          <w:szCs w:val="18"/>
        </w:rPr>
        <w:tab/>
        <w:t>Ing. Libor Novák – ředitel společnosti</w:t>
      </w: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Ing. Jiří </w:t>
      </w:r>
      <w:proofErr w:type="spellStart"/>
      <w:r>
        <w:rPr>
          <w:sz w:val="18"/>
          <w:szCs w:val="18"/>
        </w:rPr>
        <w:t>Cveček</w:t>
      </w:r>
      <w:proofErr w:type="spellEnd"/>
      <w:r>
        <w:rPr>
          <w:sz w:val="18"/>
          <w:szCs w:val="18"/>
        </w:rPr>
        <w:t xml:space="preserve"> – projektový ředitel</w:t>
      </w: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  <w:r>
        <w:rPr>
          <w:sz w:val="18"/>
          <w:szCs w:val="18"/>
        </w:rPr>
        <w:t>(dále jen „Příkazník“)</w:t>
      </w:r>
    </w:p>
    <w:p w:rsidR="00CD5A70" w:rsidRDefault="00CD5A70" w:rsidP="00CD5A70">
      <w:pPr>
        <w:tabs>
          <w:tab w:val="left" w:pos="2835"/>
        </w:tabs>
        <w:spacing w:before="0" w:line="312" w:lineRule="auto"/>
        <w:rPr>
          <w:sz w:val="18"/>
          <w:szCs w:val="18"/>
        </w:rPr>
      </w:pPr>
    </w:p>
    <w:p w:rsidR="00CD5A70" w:rsidRDefault="00CD5A70" w:rsidP="00CD5A70">
      <w:pPr>
        <w:pStyle w:val="Nadpis1"/>
        <w:spacing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I.</w:t>
      </w:r>
    </w:p>
    <w:p w:rsidR="00CD5A70" w:rsidRDefault="00CD5A70" w:rsidP="00CD5A70">
      <w:pPr>
        <w:pStyle w:val="Nadpis2"/>
        <w:spacing w:line="312" w:lineRule="auto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Předmět dodatku</w:t>
      </w:r>
    </w:p>
    <w:p w:rsidR="00CD5A70" w:rsidRDefault="00CD5A70" w:rsidP="00CD5A70">
      <w:pPr>
        <w:spacing w:line="312" w:lineRule="auto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Předmětem tohoto</w:t>
      </w:r>
      <w:r>
        <w:rPr>
          <w:rFonts w:cs="Verdana"/>
          <w:b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 xml:space="preserve">dodatku </w:t>
      </w:r>
      <w:proofErr w:type="gramStart"/>
      <w:r>
        <w:rPr>
          <w:rFonts w:cs="Verdana"/>
          <w:sz w:val="18"/>
          <w:szCs w:val="18"/>
        </w:rPr>
        <w:t xml:space="preserve">je </w:t>
      </w:r>
      <w:r>
        <w:rPr>
          <w:rFonts w:cs="Verdana"/>
          <w:b/>
          <w:sz w:val="18"/>
          <w:szCs w:val="18"/>
        </w:rPr>
        <w:t xml:space="preserve"> upřesnění</w:t>
      </w:r>
      <w:proofErr w:type="gramEnd"/>
      <w:r>
        <w:rPr>
          <w:rFonts w:cs="Verdana"/>
          <w:b/>
          <w:sz w:val="18"/>
          <w:szCs w:val="18"/>
        </w:rPr>
        <w:t xml:space="preserve"> platebních podmínek obsažených ve výše zmíněné příkazní smlouvě k akci „S</w:t>
      </w:r>
      <w:r>
        <w:rPr>
          <w:b/>
          <w:sz w:val="18"/>
          <w:szCs w:val="18"/>
        </w:rPr>
        <w:t>nížení energetické náročnosti budovy Střední zdravotnické školy a Vyšší odborné školy v Kolíně“</w:t>
      </w:r>
      <w:r>
        <w:rPr>
          <w:rFonts w:cs="Verdana"/>
          <w:sz w:val="18"/>
          <w:szCs w:val="18"/>
        </w:rPr>
        <w:t>. Žádost o dotaci byla podána v rámci 39. výzvy OPŽP 2014 – 2020.</w:t>
      </w:r>
    </w:p>
    <w:p w:rsidR="00CD5A70" w:rsidRDefault="00CD5A70" w:rsidP="00CD5A70">
      <w:pPr>
        <w:pStyle w:val="Nadpis1"/>
        <w:spacing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</w:t>
      </w:r>
    </w:p>
    <w:p w:rsidR="00CD5A70" w:rsidRDefault="00CD5A70" w:rsidP="00CD5A70">
      <w:pPr>
        <w:pStyle w:val="slovanodstavec"/>
        <w:numPr>
          <w:ilvl w:val="0"/>
          <w:numId w:val="3"/>
        </w:numPr>
        <w:spacing w:line="312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Čl. I. odst. 3. smlouvy se tímto dodatkem upravuje následovně</w:t>
      </w:r>
    </w:p>
    <w:p w:rsidR="00CD5A70" w:rsidRDefault="00CD5A70" w:rsidP="00CD5A70">
      <w:pPr>
        <w:pStyle w:val="rove2-slovantext"/>
        <w:numPr>
          <w:ilvl w:val="0"/>
          <w:numId w:val="0"/>
        </w:numPr>
        <w:tabs>
          <w:tab w:val="num" w:pos="397"/>
        </w:tabs>
        <w:ind w:left="397"/>
      </w:pPr>
      <w:r>
        <w:t>Příkazník provede a zajistí pro Příkazce zpracování a podání projektové žádostí a manažerské řízení přípravy projektu pro „Snížení energetické náročnosti budovy Střední zdravotnické školy a Vyšší odborné školy v Kolíně“ a to v následujícím rozsahu:</w:t>
      </w:r>
    </w:p>
    <w:p w:rsidR="00CD5A70" w:rsidRDefault="00CD5A70" w:rsidP="00CD5A70">
      <w:pPr>
        <w:numPr>
          <w:ilvl w:val="0"/>
          <w:numId w:val="4"/>
        </w:numPr>
        <w:spacing w:before="80" w:line="288" w:lineRule="auto"/>
        <w:ind w:left="709" w:right="23" w:hanging="284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Podání projektové žádosti</w:t>
      </w:r>
    </w:p>
    <w:p w:rsidR="00CD5A70" w:rsidRDefault="00CD5A70" w:rsidP="00CD5A70">
      <w:pPr>
        <w:pStyle w:val="rove2-slovantext"/>
        <w:numPr>
          <w:ilvl w:val="0"/>
          <w:numId w:val="5"/>
        </w:numPr>
        <w:tabs>
          <w:tab w:val="left" w:pos="708"/>
        </w:tabs>
        <w:ind w:left="1134" w:hanging="425"/>
        <w:rPr>
          <w:szCs w:val="18"/>
        </w:rPr>
      </w:pPr>
      <w:r>
        <w:rPr>
          <w:szCs w:val="18"/>
        </w:rPr>
        <w:t>Příprava projektové žádosti a její zpracování tak, aby byla zabezpečena maximální úspěšnost projektu s cílem dosáhnout co nejvyšší možné podpory.</w:t>
      </w:r>
    </w:p>
    <w:p w:rsidR="00CD5A70" w:rsidRDefault="00CD5A70" w:rsidP="00CD5A70">
      <w:pPr>
        <w:pStyle w:val="rove2-slovantext"/>
        <w:numPr>
          <w:ilvl w:val="0"/>
          <w:numId w:val="5"/>
        </w:numPr>
        <w:tabs>
          <w:tab w:val="left" w:pos="708"/>
        </w:tabs>
        <w:ind w:left="1134" w:hanging="425"/>
        <w:rPr>
          <w:szCs w:val="18"/>
        </w:rPr>
      </w:pPr>
      <w:r>
        <w:rPr>
          <w:szCs w:val="18"/>
        </w:rPr>
        <w:t>Zajištění veškerých podkladů a náležitostí k úplnosti žádosti, zejména:</w:t>
      </w:r>
    </w:p>
    <w:p w:rsidR="00CD5A70" w:rsidRDefault="00CD5A70" w:rsidP="00CD5A70">
      <w:pPr>
        <w:pStyle w:val="Odstavecseseznamem"/>
        <w:numPr>
          <w:ilvl w:val="0"/>
          <w:numId w:val="6"/>
        </w:numPr>
        <w:suppressAutoHyphens w:val="0"/>
        <w:spacing w:before="40" w:after="0" w:line="276" w:lineRule="auto"/>
        <w:ind w:left="1701" w:right="23" w:hanging="567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Aktuální výpis z katastru nemovitostí a snímek katastrální mapy.</w:t>
      </w:r>
    </w:p>
    <w:p w:rsidR="00CD5A70" w:rsidRDefault="00CD5A70" w:rsidP="00CD5A70">
      <w:pPr>
        <w:pStyle w:val="Odstavecseseznamem"/>
        <w:numPr>
          <w:ilvl w:val="0"/>
          <w:numId w:val="6"/>
        </w:numPr>
        <w:suppressAutoHyphens w:val="0"/>
        <w:spacing w:before="40" w:after="0" w:line="276" w:lineRule="auto"/>
        <w:ind w:left="1701" w:right="23" w:hanging="567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Prohlášení o plátcovství DPH.</w:t>
      </w:r>
    </w:p>
    <w:p w:rsidR="00CD5A70" w:rsidRDefault="00CD5A70" w:rsidP="00CD5A70">
      <w:pPr>
        <w:pStyle w:val="Odstavecseseznamem"/>
        <w:numPr>
          <w:ilvl w:val="0"/>
          <w:numId w:val="6"/>
        </w:numPr>
        <w:suppressAutoHyphens w:val="0"/>
        <w:spacing w:before="40" w:after="0" w:line="276" w:lineRule="auto"/>
        <w:ind w:left="1701" w:right="23" w:hanging="567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Čestné prohlášení o prokázání zajištění vlastních zdrojů.</w:t>
      </w:r>
    </w:p>
    <w:p w:rsidR="00CD5A70" w:rsidRDefault="00CD5A70" w:rsidP="00CD5A70">
      <w:pPr>
        <w:pStyle w:val="Odstavecseseznamem"/>
        <w:numPr>
          <w:ilvl w:val="0"/>
          <w:numId w:val="6"/>
        </w:numPr>
        <w:suppressAutoHyphens w:val="0"/>
        <w:spacing w:before="40" w:after="0" w:line="276" w:lineRule="auto"/>
        <w:ind w:left="1701" w:right="23" w:hanging="567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Doklad, kterým je určena osoba pověřená jednáním se SFŽP.</w:t>
      </w:r>
    </w:p>
    <w:p w:rsidR="00CD5A70" w:rsidRDefault="00CD5A70" w:rsidP="00CD5A70">
      <w:pPr>
        <w:pStyle w:val="rove2-slovantext"/>
        <w:numPr>
          <w:ilvl w:val="0"/>
          <w:numId w:val="5"/>
        </w:numPr>
        <w:tabs>
          <w:tab w:val="left" w:pos="708"/>
        </w:tabs>
        <w:ind w:left="1134" w:hanging="425"/>
        <w:rPr>
          <w:szCs w:val="18"/>
        </w:rPr>
      </w:pPr>
      <w:r>
        <w:rPr>
          <w:szCs w:val="18"/>
        </w:rPr>
        <w:t>Zpracování a podání žádosti v tištěné podobě i v elektronickém prostředí MS 2014+ a případné doplnění žádosti.</w:t>
      </w:r>
    </w:p>
    <w:p w:rsidR="00CD5A70" w:rsidRDefault="00CD5A70" w:rsidP="00CD5A70">
      <w:pPr>
        <w:numPr>
          <w:ilvl w:val="0"/>
          <w:numId w:val="4"/>
        </w:numPr>
        <w:spacing w:before="80" w:line="288" w:lineRule="auto"/>
        <w:ind w:left="709" w:right="23" w:hanging="284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Manažerské řízení přípravy projektu</w:t>
      </w:r>
    </w:p>
    <w:p w:rsidR="00CD5A70" w:rsidRDefault="00CD5A70" w:rsidP="00CD5A70">
      <w:pPr>
        <w:pStyle w:val="rove2-slovantext"/>
        <w:numPr>
          <w:ilvl w:val="0"/>
          <w:numId w:val="5"/>
        </w:numPr>
        <w:tabs>
          <w:tab w:val="left" w:pos="708"/>
        </w:tabs>
        <w:ind w:left="1134" w:hanging="425"/>
        <w:rPr>
          <w:szCs w:val="18"/>
        </w:rPr>
      </w:pPr>
      <w:r>
        <w:rPr>
          <w:szCs w:val="18"/>
        </w:rPr>
        <w:t>Manažerské řízení v průběhu celého procesu podání žádosti, její akceptace a v době hodnocení projektu – komplexní zabezpečení požadavků SFŽP.</w:t>
      </w:r>
    </w:p>
    <w:p w:rsidR="00CD5A70" w:rsidRDefault="00CD5A70" w:rsidP="00CD5A70">
      <w:pPr>
        <w:pStyle w:val="rove2-slovantext"/>
        <w:numPr>
          <w:ilvl w:val="0"/>
          <w:numId w:val="5"/>
        </w:numPr>
        <w:tabs>
          <w:tab w:val="left" w:pos="708"/>
        </w:tabs>
        <w:ind w:left="1134" w:hanging="425"/>
        <w:rPr>
          <w:szCs w:val="18"/>
        </w:rPr>
      </w:pPr>
      <w:r>
        <w:rPr>
          <w:szCs w:val="18"/>
        </w:rPr>
        <w:t>Zpracování finanční a ekonomické analýzy pro potřeby CBA.</w:t>
      </w:r>
    </w:p>
    <w:p w:rsidR="00CD5A70" w:rsidRDefault="00CD5A70" w:rsidP="00CD5A70">
      <w:pPr>
        <w:pStyle w:val="rove2-slovantext"/>
        <w:numPr>
          <w:ilvl w:val="0"/>
          <w:numId w:val="5"/>
        </w:numPr>
        <w:tabs>
          <w:tab w:val="left" w:pos="708"/>
        </w:tabs>
        <w:ind w:left="1134" w:hanging="425"/>
        <w:rPr>
          <w:szCs w:val="18"/>
        </w:rPr>
      </w:pPr>
      <w:r>
        <w:rPr>
          <w:szCs w:val="18"/>
        </w:rPr>
        <w:t>Zpracování kumulativního rozpočtu (</w:t>
      </w:r>
      <w:proofErr w:type="spellStart"/>
      <w:r>
        <w:rPr>
          <w:szCs w:val="18"/>
        </w:rPr>
        <w:t>technicko-ekonomická</w:t>
      </w:r>
      <w:proofErr w:type="spellEnd"/>
      <w:r>
        <w:rPr>
          <w:szCs w:val="18"/>
        </w:rPr>
        <w:t xml:space="preserve"> analýza).</w:t>
      </w:r>
    </w:p>
    <w:p w:rsidR="00CD5A70" w:rsidRDefault="00CD5A70" w:rsidP="00CD5A70">
      <w:pPr>
        <w:pStyle w:val="rove2-slovantext"/>
        <w:numPr>
          <w:ilvl w:val="0"/>
          <w:numId w:val="5"/>
        </w:numPr>
        <w:tabs>
          <w:tab w:val="left" w:pos="708"/>
        </w:tabs>
        <w:ind w:left="1134" w:hanging="425"/>
        <w:rPr>
          <w:szCs w:val="18"/>
        </w:rPr>
      </w:pPr>
      <w:r>
        <w:rPr>
          <w:szCs w:val="18"/>
        </w:rPr>
        <w:t>Koordinace zpracování dokumentace pro stavební povolení, resp. provedení stavby v souladu s energetickým posudkem a EŠOB, kontrola a optimalizace navrhovaného rozpočtu.</w:t>
      </w:r>
    </w:p>
    <w:p w:rsidR="00CD5A70" w:rsidRDefault="00CD5A70" w:rsidP="00CD5A70">
      <w:pPr>
        <w:pStyle w:val="rove2-slovantext"/>
        <w:numPr>
          <w:ilvl w:val="0"/>
          <w:numId w:val="5"/>
        </w:numPr>
        <w:tabs>
          <w:tab w:val="left" w:pos="708"/>
        </w:tabs>
        <w:ind w:left="1134" w:hanging="425"/>
        <w:rPr>
          <w:szCs w:val="18"/>
        </w:rPr>
      </w:pPr>
      <w:r>
        <w:rPr>
          <w:szCs w:val="18"/>
        </w:rPr>
        <w:t>Zpracování veškerých dalších podkladových studií a analýz, mimo energetických posudků, dle specifických požadavků a typu projektu, nezbytných pro podání žádosti o dotaci.</w:t>
      </w:r>
    </w:p>
    <w:p w:rsidR="00CD5A70" w:rsidRDefault="00CD5A70" w:rsidP="00CD5A70">
      <w:pPr>
        <w:pStyle w:val="rove2-slovantext"/>
        <w:numPr>
          <w:ilvl w:val="0"/>
          <w:numId w:val="5"/>
        </w:numPr>
        <w:tabs>
          <w:tab w:val="left" w:pos="708"/>
        </w:tabs>
        <w:ind w:left="1134" w:hanging="425"/>
        <w:rPr>
          <w:szCs w:val="18"/>
        </w:rPr>
      </w:pPr>
      <w:r>
        <w:rPr>
          <w:szCs w:val="18"/>
        </w:rPr>
        <w:t>Jednání se SFŽP v době akceptace žádosti a v době hodnocení projektu – zabezpečení požadavků SFŽP a případné doplnění žádosti.</w:t>
      </w:r>
    </w:p>
    <w:p w:rsidR="00CD5A70" w:rsidRDefault="00CD5A70" w:rsidP="00CD5A70">
      <w:pPr>
        <w:pStyle w:val="slovanodstavec"/>
        <w:numPr>
          <w:ilvl w:val="0"/>
          <w:numId w:val="0"/>
        </w:numPr>
        <w:spacing w:line="312" w:lineRule="auto"/>
        <w:ind w:left="360"/>
        <w:rPr>
          <w:b w:val="0"/>
          <w:sz w:val="18"/>
          <w:szCs w:val="18"/>
        </w:rPr>
      </w:pPr>
    </w:p>
    <w:p w:rsidR="00CD5A70" w:rsidRDefault="00CD5A70" w:rsidP="00CD5A70">
      <w:pPr>
        <w:pStyle w:val="slovanodstavec"/>
        <w:numPr>
          <w:ilvl w:val="0"/>
          <w:numId w:val="3"/>
        </w:numPr>
        <w:spacing w:line="312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Čl. III. odst. 2. smlouvy se tímto dodatkem upravuje následovně:</w:t>
      </w:r>
    </w:p>
    <w:p w:rsidR="00CD5A70" w:rsidRDefault="00CD5A70" w:rsidP="00CD5A70">
      <w:pPr>
        <w:pStyle w:val="rove3-slovantext"/>
        <w:numPr>
          <w:ilvl w:val="0"/>
          <w:numId w:val="0"/>
        </w:numPr>
        <w:tabs>
          <w:tab w:val="left" w:pos="708"/>
        </w:tabs>
        <w:ind w:left="397"/>
      </w:pPr>
      <w:r>
        <w:t xml:space="preserve">Cena za činnost dle čl. I, bod 3. je sjednána ve výši </w:t>
      </w:r>
      <w:r>
        <w:rPr>
          <w:b/>
        </w:rPr>
        <w:t>85 000,- Kč bez DPH</w:t>
      </w:r>
      <w:r>
        <w:t xml:space="preserve"> a bude příkazcem uhrazena ve dvou platbách následovně: </w:t>
      </w:r>
    </w:p>
    <w:p w:rsidR="00CD5A70" w:rsidRDefault="00CD5A70" w:rsidP="00CD5A70">
      <w:pPr>
        <w:pStyle w:val="rove3-slovantext"/>
        <w:numPr>
          <w:ilvl w:val="0"/>
          <w:numId w:val="7"/>
        </w:numPr>
        <w:tabs>
          <w:tab w:val="left" w:pos="708"/>
        </w:tabs>
      </w:pPr>
      <w:r>
        <w:lastRenderedPageBreak/>
        <w:t xml:space="preserve">Odměna </w:t>
      </w:r>
      <w:r>
        <w:rPr>
          <w:b/>
        </w:rPr>
        <w:t>za zpracování a podání projektové žádosti</w:t>
      </w:r>
      <w:r>
        <w:t xml:space="preserve"> sjednaná ve výši </w:t>
      </w:r>
      <w:r>
        <w:rPr>
          <w:b/>
        </w:rPr>
        <w:t>30 000,- Kč bez DPH</w:t>
      </w:r>
      <w:r>
        <w:t xml:space="preserve"> bude Příkazcem uhrazena bezprostředně po akceptaci žádosti v rámci 1. vlny výzev programu OPŽP 2014 – 2020.</w:t>
      </w:r>
    </w:p>
    <w:p w:rsidR="00CD5A70" w:rsidRDefault="00CD5A70" w:rsidP="00CD5A70">
      <w:pPr>
        <w:pStyle w:val="rove3-slovantext"/>
        <w:numPr>
          <w:ilvl w:val="0"/>
          <w:numId w:val="7"/>
        </w:numPr>
        <w:tabs>
          <w:tab w:val="left" w:pos="708"/>
        </w:tabs>
      </w:pPr>
      <w:r>
        <w:t xml:space="preserve">Odměna </w:t>
      </w:r>
      <w:r>
        <w:rPr>
          <w:b/>
        </w:rPr>
        <w:t>za manažerské řízení přípravy projektu</w:t>
      </w:r>
      <w:r>
        <w:t xml:space="preserve"> sjednaná ve výši </w:t>
      </w:r>
      <w:r>
        <w:rPr>
          <w:b/>
        </w:rPr>
        <w:t>55 000,- Kč bez DPH</w:t>
      </w:r>
      <w:r>
        <w:t xml:space="preserve"> bude Příkazcem uhrazena bezprostředně po vydání Rozhodnutí o přidělení dotace (</w:t>
      </w:r>
      <w:proofErr w:type="spellStart"/>
      <w:r>
        <w:t>RoPD</w:t>
      </w:r>
      <w:proofErr w:type="spellEnd"/>
      <w:r>
        <w:t xml:space="preserve">). </w:t>
      </w:r>
    </w:p>
    <w:p w:rsidR="00CD5A70" w:rsidRDefault="00CD5A70" w:rsidP="00CD5A70">
      <w:pPr>
        <w:pStyle w:val="rove3-slovantext"/>
        <w:numPr>
          <w:ilvl w:val="0"/>
          <w:numId w:val="0"/>
        </w:numPr>
        <w:tabs>
          <w:tab w:val="left" w:pos="708"/>
        </w:tabs>
        <w:ind w:left="1117"/>
      </w:pPr>
    </w:p>
    <w:p w:rsidR="00CD5A70" w:rsidRDefault="00CD5A70" w:rsidP="00CD5A70">
      <w:pPr>
        <w:pStyle w:val="Nadpis1"/>
        <w:spacing w:line="312" w:lineRule="auto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III.</w:t>
      </w:r>
    </w:p>
    <w:p w:rsidR="00CD5A70" w:rsidRDefault="00CD5A70" w:rsidP="00CD5A70">
      <w:pPr>
        <w:pStyle w:val="Nadpis2"/>
        <w:spacing w:line="312" w:lineRule="auto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Závěrečná ujednání</w:t>
      </w:r>
    </w:p>
    <w:p w:rsidR="00CD5A70" w:rsidRDefault="00CD5A70" w:rsidP="00CD5A70">
      <w:pPr>
        <w:pStyle w:val="Odstavecseseznamem"/>
        <w:numPr>
          <w:ilvl w:val="0"/>
          <w:numId w:val="8"/>
        </w:numPr>
        <w:tabs>
          <w:tab w:val="left" w:pos="2835"/>
        </w:tabs>
        <w:spacing w:before="24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Veškerá ustanovení smlouvy, která nepodléhají změnám uvedeným v tomto Dodatku, zůstávají tímto Dodatkem nedotčena.</w:t>
      </w:r>
    </w:p>
    <w:p w:rsidR="00CD5A70" w:rsidRDefault="00CD5A70" w:rsidP="00CD5A70">
      <w:pPr>
        <w:widowControl w:val="0"/>
        <w:numPr>
          <w:ilvl w:val="0"/>
          <w:numId w:val="8"/>
        </w:numPr>
        <w:spacing w:before="0" w:line="312" w:lineRule="auto"/>
        <w:ind w:left="357" w:hanging="357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Platnost a účinnost tohoto dodatku nastává dnem jeho podpisu oběma smluvními stranami.</w:t>
      </w:r>
    </w:p>
    <w:p w:rsidR="00CD5A70" w:rsidRDefault="00CD5A70" w:rsidP="00CD5A70">
      <w:pPr>
        <w:widowControl w:val="0"/>
        <w:numPr>
          <w:ilvl w:val="0"/>
          <w:numId w:val="8"/>
        </w:numPr>
        <w:spacing w:before="0" w:line="312" w:lineRule="auto"/>
        <w:ind w:left="357" w:hanging="357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Tento dodatek </w:t>
      </w:r>
      <w:r>
        <w:rPr>
          <w:rFonts w:cs="Verdana"/>
          <w:bCs/>
          <w:sz w:val="18"/>
          <w:szCs w:val="18"/>
        </w:rPr>
        <w:t>je</w:t>
      </w:r>
      <w:r>
        <w:rPr>
          <w:rFonts w:cs="Verdana"/>
          <w:sz w:val="18"/>
          <w:szCs w:val="18"/>
        </w:rPr>
        <w:t xml:space="preserve"> vyhotoven ve dvou stejnopisech, z nichž každá smluvní strana obdrží jeden.</w:t>
      </w:r>
    </w:p>
    <w:p w:rsidR="00B63540" w:rsidRPr="00B63540" w:rsidRDefault="00CD5A70" w:rsidP="00B63540">
      <w:pPr>
        <w:widowControl w:val="0"/>
        <w:numPr>
          <w:ilvl w:val="0"/>
          <w:numId w:val="8"/>
        </w:numPr>
        <w:spacing w:before="0" w:line="312" w:lineRule="auto"/>
        <w:ind w:left="357" w:hanging="357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Obě smluvní strany prohlašují, že tento dodatek byl sepsán podle jejich pravé a svobodné vůle, nikoli v tísni nebo za jinak jednostranně nevýhodných podmínek. Dodatek si důkladně přečetly, souhlasí bez výhrad s jeho obsahem a na důkaz toho připojují své podpisy. </w:t>
      </w:r>
    </w:p>
    <w:p w:rsidR="00B63540" w:rsidRDefault="00B63540" w:rsidP="00B63540">
      <w:pPr>
        <w:rPr>
          <w:rFonts w:cs="Verdana"/>
          <w:sz w:val="18"/>
          <w:szCs w:val="18"/>
        </w:rPr>
      </w:pPr>
    </w:p>
    <w:p w:rsidR="00CD5A70" w:rsidRDefault="00CD5A70" w:rsidP="00B63540">
      <w:pPr>
        <w:rPr>
          <w:rFonts w:cs="Verdana"/>
          <w:sz w:val="18"/>
          <w:szCs w:val="18"/>
        </w:rPr>
      </w:pPr>
    </w:p>
    <w:p w:rsidR="00B63540" w:rsidRDefault="00B63540" w:rsidP="00B63540">
      <w:pPr>
        <w:rPr>
          <w:rFonts w:cs="Verdana"/>
          <w:sz w:val="18"/>
          <w:szCs w:val="18"/>
        </w:rPr>
      </w:pPr>
    </w:p>
    <w:p w:rsidR="00B63540" w:rsidRDefault="00B63540" w:rsidP="00B63540">
      <w:pPr>
        <w:rPr>
          <w:rFonts w:cs="Verdana"/>
          <w:sz w:val="18"/>
          <w:szCs w:val="18"/>
        </w:rPr>
      </w:pPr>
    </w:p>
    <w:p w:rsidR="00D15D37" w:rsidRPr="006236AD" w:rsidRDefault="00D15D37" w:rsidP="00D15D37">
      <w:pPr>
        <w:spacing w:before="0" w:line="312" w:lineRule="auto"/>
        <w:jc w:val="left"/>
        <w:rPr>
          <w:rFonts w:cs="Verdana"/>
          <w:i/>
          <w:iCs/>
          <w:sz w:val="18"/>
          <w:szCs w:val="18"/>
        </w:rPr>
      </w:pPr>
      <w:r>
        <w:rPr>
          <w:rFonts w:cs="Verdana"/>
          <w:sz w:val="18"/>
          <w:szCs w:val="18"/>
        </w:rPr>
        <w:t xml:space="preserve">                        </w:t>
      </w:r>
      <w:r>
        <w:rPr>
          <w:rFonts w:cs="Verdana"/>
          <w:i/>
          <w:iCs/>
          <w:sz w:val="18"/>
          <w:szCs w:val="18"/>
        </w:rPr>
        <w:t xml:space="preserve">   </w:t>
      </w:r>
      <w:r>
        <w:rPr>
          <w:rFonts w:cs="Verdana"/>
          <w:i/>
          <w:iCs/>
          <w:sz w:val="18"/>
          <w:szCs w:val="18"/>
        </w:rPr>
        <w:t xml:space="preserve">                    </w:t>
      </w:r>
    </w:p>
    <w:p w:rsidR="00D15D37" w:rsidRPr="006236AD" w:rsidRDefault="00D15D37" w:rsidP="00D15D37">
      <w:pPr>
        <w:spacing w:before="0" w:line="312" w:lineRule="auto"/>
        <w:jc w:val="left"/>
        <w:rPr>
          <w:rFonts w:cs="Verdana"/>
          <w:i/>
          <w:iCs/>
          <w:sz w:val="18"/>
          <w:szCs w:val="18"/>
        </w:rPr>
      </w:pPr>
      <w:r>
        <w:rPr>
          <w:rFonts w:cs="Verdana"/>
          <w:i/>
          <w:iCs/>
          <w:sz w:val="18"/>
          <w:szCs w:val="18"/>
        </w:rPr>
        <w:t xml:space="preserve">                        </w:t>
      </w:r>
    </w:p>
    <w:p w:rsidR="00B63540" w:rsidRPr="00D15D37" w:rsidRDefault="00D15D37" w:rsidP="00D15D37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                         </w:t>
      </w:r>
      <w:bookmarkStart w:id="0" w:name="_GoBack"/>
      <w:bookmarkEnd w:id="0"/>
      <w:r>
        <w:rPr>
          <w:rFonts w:cs="Verdana"/>
          <w:sz w:val="18"/>
          <w:szCs w:val="18"/>
        </w:rPr>
        <w:t xml:space="preserve"> </w:t>
      </w:r>
      <w:r>
        <w:rPr>
          <w:rFonts w:cs="Verdana"/>
          <w:i/>
          <w:iCs/>
          <w:sz w:val="18"/>
          <w:szCs w:val="18"/>
        </w:rPr>
        <w:t>2. 5. 2019</w:t>
      </w:r>
      <w:r>
        <w:rPr>
          <w:rFonts w:cs="Verdana"/>
          <w:sz w:val="18"/>
          <w:szCs w:val="18"/>
        </w:rPr>
        <w:t xml:space="preserve">                                                                             25. 4. 2019</w:t>
      </w:r>
    </w:p>
    <w:p w:rsidR="00B63540" w:rsidRDefault="00B63540" w:rsidP="00B63540">
      <w:pPr>
        <w:spacing w:before="0" w:line="312" w:lineRule="auto"/>
        <w:jc w:val="left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V Kolíně, dne …………………………….</w:t>
      </w:r>
      <w:r w:rsidR="00F944CC">
        <w:rPr>
          <w:rFonts w:cs="Verdana"/>
          <w:sz w:val="18"/>
          <w:szCs w:val="18"/>
        </w:rPr>
        <w:t xml:space="preserve">                                          V Praze,  </w:t>
      </w:r>
      <w:proofErr w:type="gramStart"/>
      <w:r w:rsidR="00F944CC">
        <w:rPr>
          <w:rFonts w:cs="Verdana"/>
          <w:sz w:val="18"/>
          <w:szCs w:val="18"/>
        </w:rPr>
        <w:t xml:space="preserve">dne </w:t>
      </w:r>
      <w:r w:rsidR="00FD1FEE">
        <w:rPr>
          <w:rFonts w:cs="Verdana"/>
          <w:sz w:val="18"/>
          <w:szCs w:val="18"/>
        </w:rPr>
        <w:t xml:space="preserve"> ..........................</w:t>
      </w:r>
      <w:proofErr w:type="gramEnd"/>
    </w:p>
    <w:p w:rsidR="00B63540" w:rsidRDefault="00B63540" w:rsidP="00B63540">
      <w:pPr>
        <w:spacing w:before="0" w:line="312" w:lineRule="auto"/>
        <w:jc w:val="left"/>
        <w:rPr>
          <w:rFonts w:cs="Verdana"/>
          <w:i/>
          <w:iCs/>
          <w:sz w:val="18"/>
          <w:szCs w:val="18"/>
        </w:rPr>
      </w:pPr>
    </w:p>
    <w:p w:rsidR="00B63540" w:rsidRDefault="00B63540" w:rsidP="00B63540">
      <w:pPr>
        <w:spacing w:before="0" w:line="312" w:lineRule="auto"/>
        <w:jc w:val="left"/>
        <w:rPr>
          <w:rFonts w:cs="Verdana"/>
          <w:i/>
          <w:iCs/>
          <w:sz w:val="18"/>
          <w:szCs w:val="18"/>
        </w:rPr>
      </w:pPr>
    </w:p>
    <w:p w:rsidR="00B63540" w:rsidRDefault="00B63540" w:rsidP="00B63540">
      <w:pPr>
        <w:spacing w:before="0" w:line="312" w:lineRule="auto"/>
        <w:jc w:val="left"/>
        <w:rPr>
          <w:rFonts w:cs="Verdana"/>
          <w:i/>
          <w:iCs/>
          <w:sz w:val="18"/>
          <w:szCs w:val="18"/>
        </w:rPr>
      </w:pPr>
    </w:p>
    <w:p w:rsidR="00B63540" w:rsidRDefault="00B63540" w:rsidP="00B63540">
      <w:pPr>
        <w:spacing w:before="0" w:line="312" w:lineRule="auto"/>
        <w:jc w:val="left"/>
        <w:rPr>
          <w:rFonts w:cs="Verdana"/>
          <w:i/>
          <w:iCs/>
          <w:sz w:val="18"/>
          <w:szCs w:val="18"/>
        </w:rPr>
      </w:pPr>
    </w:p>
    <w:p w:rsidR="00B63540" w:rsidRDefault="00B63540" w:rsidP="00B63540">
      <w:pPr>
        <w:spacing w:before="0" w:line="312" w:lineRule="auto"/>
        <w:jc w:val="left"/>
        <w:rPr>
          <w:rFonts w:cs="Verdana"/>
          <w:sz w:val="18"/>
          <w:szCs w:val="18"/>
        </w:rPr>
      </w:pPr>
    </w:p>
    <w:p w:rsidR="00B63540" w:rsidRDefault="00B63540" w:rsidP="00B63540">
      <w:pPr>
        <w:spacing w:before="0" w:line="312" w:lineRule="auto"/>
        <w:jc w:val="left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………………………………………</w:t>
      </w:r>
      <w:r w:rsidR="00F944CC">
        <w:rPr>
          <w:rFonts w:cs="Verdana"/>
          <w:sz w:val="18"/>
          <w:szCs w:val="18"/>
        </w:rPr>
        <w:t xml:space="preserve">                                                      ..........................................</w:t>
      </w:r>
    </w:p>
    <w:p w:rsidR="00B63540" w:rsidRDefault="00B63540" w:rsidP="00B63540">
      <w:pPr>
        <w:keepNext/>
        <w:spacing w:before="0" w:line="312" w:lineRule="auto"/>
        <w:rPr>
          <w:b/>
          <w:sz w:val="18"/>
          <w:szCs w:val="18"/>
          <w:lang w:bidi="en-US"/>
        </w:rPr>
      </w:pPr>
      <w:r>
        <w:rPr>
          <w:b/>
          <w:sz w:val="18"/>
          <w:szCs w:val="18"/>
          <w:lang w:bidi="en-US"/>
        </w:rPr>
        <w:t xml:space="preserve">Střední  zdravotnická  škola   a  Vyšší </w:t>
      </w:r>
      <w:r w:rsidR="00F944CC">
        <w:rPr>
          <w:b/>
          <w:sz w:val="18"/>
          <w:szCs w:val="18"/>
          <w:lang w:bidi="en-US"/>
        </w:rPr>
        <w:t xml:space="preserve">                             </w:t>
      </w:r>
      <w:proofErr w:type="spellStart"/>
      <w:r w:rsidR="00F944CC">
        <w:rPr>
          <w:b/>
          <w:sz w:val="18"/>
          <w:szCs w:val="18"/>
          <w:lang w:bidi="en-US"/>
        </w:rPr>
        <w:t>Energy</w:t>
      </w:r>
      <w:proofErr w:type="spellEnd"/>
      <w:r w:rsidR="00F944CC">
        <w:rPr>
          <w:b/>
          <w:sz w:val="18"/>
          <w:szCs w:val="18"/>
          <w:lang w:bidi="en-US"/>
        </w:rPr>
        <w:t xml:space="preserve">  Benefit  </w:t>
      </w:r>
      <w:proofErr w:type="gramStart"/>
      <w:r w:rsidR="00F944CC">
        <w:rPr>
          <w:b/>
          <w:sz w:val="18"/>
          <w:szCs w:val="18"/>
          <w:lang w:bidi="en-US"/>
        </w:rPr>
        <w:t>Centre  a.</w:t>
      </w:r>
      <w:proofErr w:type="gramEnd"/>
      <w:r w:rsidR="00F944CC">
        <w:rPr>
          <w:b/>
          <w:sz w:val="18"/>
          <w:szCs w:val="18"/>
          <w:lang w:bidi="en-US"/>
        </w:rPr>
        <w:t>s.</w:t>
      </w:r>
    </w:p>
    <w:p w:rsidR="00B63540" w:rsidRPr="00F944CC" w:rsidRDefault="00B63540" w:rsidP="00B63540">
      <w:pPr>
        <w:keepNext/>
        <w:spacing w:before="0" w:line="312" w:lineRule="auto"/>
        <w:rPr>
          <w:sz w:val="18"/>
          <w:szCs w:val="18"/>
          <w:lang w:bidi="en-US"/>
        </w:rPr>
      </w:pPr>
      <w:proofErr w:type="gramStart"/>
      <w:r>
        <w:rPr>
          <w:b/>
          <w:sz w:val="18"/>
          <w:szCs w:val="18"/>
          <w:lang w:bidi="en-US"/>
        </w:rPr>
        <w:t>odborná   škola</w:t>
      </w:r>
      <w:proofErr w:type="gramEnd"/>
      <w:r>
        <w:rPr>
          <w:b/>
          <w:sz w:val="18"/>
          <w:szCs w:val="18"/>
          <w:lang w:bidi="en-US"/>
        </w:rPr>
        <w:t xml:space="preserve">   zdravotnická,  Kolín,</w:t>
      </w:r>
      <w:r w:rsidR="00F944CC">
        <w:rPr>
          <w:b/>
          <w:sz w:val="18"/>
          <w:szCs w:val="18"/>
          <w:lang w:bidi="en-US"/>
        </w:rPr>
        <w:t xml:space="preserve">                              </w:t>
      </w:r>
      <w:r w:rsidR="00F944CC">
        <w:rPr>
          <w:sz w:val="18"/>
          <w:szCs w:val="18"/>
          <w:lang w:bidi="en-US"/>
        </w:rPr>
        <w:t>Ing.  Miroslav  Hořejší, předseda</w:t>
      </w:r>
    </w:p>
    <w:p w:rsidR="00B63540" w:rsidRDefault="00B63540" w:rsidP="00B63540">
      <w:pPr>
        <w:keepNext/>
        <w:spacing w:before="0" w:line="312" w:lineRule="auto"/>
        <w:rPr>
          <w:b/>
          <w:sz w:val="18"/>
          <w:szCs w:val="18"/>
          <w:lang w:bidi="en-US"/>
        </w:rPr>
      </w:pPr>
      <w:r>
        <w:rPr>
          <w:b/>
          <w:sz w:val="18"/>
          <w:szCs w:val="18"/>
          <w:lang w:bidi="en-US"/>
        </w:rPr>
        <w:t xml:space="preserve">Karoliny Světlé </w:t>
      </w:r>
      <w:proofErr w:type="gramStart"/>
      <w:r>
        <w:rPr>
          <w:b/>
          <w:sz w:val="18"/>
          <w:szCs w:val="18"/>
          <w:lang w:bidi="en-US"/>
        </w:rPr>
        <w:t>135</w:t>
      </w:r>
      <w:r w:rsidR="00F944CC">
        <w:rPr>
          <w:b/>
          <w:sz w:val="18"/>
          <w:szCs w:val="18"/>
          <w:lang w:bidi="en-US"/>
        </w:rPr>
        <w:t xml:space="preserve">                                                           </w:t>
      </w:r>
      <w:r w:rsidR="00F944CC" w:rsidRPr="00F944CC">
        <w:rPr>
          <w:sz w:val="18"/>
          <w:szCs w:val="18"/>
          <w:lang w:bidi="en-US"/>
        </w:rPr>
        <w:t xml:space="preserve"> představenstva</w:t>
      </w:r>
      <w:proofErr w:type="gramEnd"/>
    </w:p>
    <w:p w:rsidR="00F944CC" w:rsidRDefault="00B63540" w:rsidP="00F944CC">
      <w:pPr>
        <w:spacing w:before="0" w:line="312" w:lineRule="auto"/>
        <w:jc w:val="left"/>
        <w:rPr>
          <w:rFonts w:cs="Verdana"/>
          <w:sz w:val="18"/>
          <w:szCs w:val="18"/>
        </w:rPr>
      </w:pPr>
      <w:r>
        <w:rPr>
          <w:sz w:val="18"/>
          <w:szCs w:val="18"/>
          <w:lang w:bidi="en-US"/>
        </w:rPr>
        <w:t xml:space="preserve">Mgr. Daniela Křepelková, ředitelka </w:t>
      </w:r>
      <w:proofErr w:type="gramStart"/>
      <w:r>
        <w:rPr>
          <w:sz w:val="18"/>
          <w:szCs w:val="18"/>
          <w:lang w:bidi="en-US"/>
        </w:rPr>
        <w:t>školy</w:t>
      </w:r>
      <w:r w:rsidR="00F944CC">
        <w:rPr>
          <w:sz w:val="18"/>
          <w:szCs w:val="18"/>
          <w:lang w:bidi="en-US"/>
        </w:rPr>
        <w:t xml:space="preserve">                                </w:t>
      </w:r>
      <w:r w:rsidR="005E7A8A">
        <w:rPr>
          <w:i/>
          <w:sz w:val="18"/>
          <w:szCs w:val="18"/>
          <w:lang w:bidi="en-US"/>
        </w:rPr>
        <w:t>Příkazník</w:t>
      </w:r>
      <w:proofErr w:type="gramEnd"/>
    </w:p>
    <w:p w:rsidR="00B63540" w:rsidRDefault="00B63540" w:rsidP="00B63540">
      <w:pPr>
        <w:spacing w:before="0" w:line="312" w:lineRule="auto"/>
        <w:jc w:val="left"/>
        <w:rPr>
          <w:rFonts w:cs="Verdana"/>
          <w:sz w:val="18"/>
          <w:szCs w:val="18"/>
        </w:rPr>
      </w:pPr>
      <w:r>
        <w:rPr>
          <w:i/>
          <w:sz w:val="18"/>
          <w:szCs w:val="18"/>
          <w:lang w:bidi="en-US"/>
        </w:rPr>
        <w:t>Příkazce</w:t>
      </w:r>
    </w:p>
    <w:p w:rsidR="00B63540" w:rsidRPr="00B63540" w:rsidRDefault="00B63540" w:rsidP="00F944CC">
      <w:pPr>
        <w:spacing w:before="0" w:line="312" w:lineRule="auto"/>
        <w:jc w:val="left"/>
        <w:rPr>
          <w:rFonts w:cs="Verdana"/>
          <w:sz w:val="18"/>
          <w:szCs w:val="18"/>
        </w:rPr>
        <w:sectPr w:rsidR="00B63540" w:rsidRPr="00B63540">
          <w:pgSz w:w="11906" w:h="16838"/>
          <w:pgMar w:top="1418" w:right="1418" w:bottom="1418" w:left="1418" w:header="397" w:footer="397" w:gutter="0"/>
          <w:cols w:space="708"/>
        </w:sectPr>
      </w:pPr>
    </w:p>
    <w:p w:rsidR="00115ED0" w:rsidRDefault="00115ED0"/>
    <w:sectPr w:rsidR="00115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0A2"/>
    <w:multiLevelType w:val="hybridMultilevel"/>
    <w:tmpl w:val="8972674A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>
      <w:start w:val="1"/>
      <w:numFmt w:val="lowerRoman"/>
      <w:lvlText w:val="%3."/>
      <w:lvlJc w:val="right"/>
      <w:pPr>
        <w:ind w:left="2557" w:hanging="180"/>
      </w:pPr>
    </w:lvl>
    <w:lvl w:ilvl="3" w:tplc="0405000F">
      <w:start w:val="1"/>
      <w:numFmt w:val="decimal"/>
      <w:lvlText w:val="%4."/>
      <w:lvlJc w:val="left"/>
      <w:pPr>
        <w:ind w:left="3277" w:hanging="360"/>
      </w:pPr>
    </w:lvl>
    <w:lvl w:ilvl="4" w:tplc="04050019">
      <w:start w:val="1"/>
      <w:numFmt w:val="lowerLetter"/>
      <w:lvlText w:val="%5."/>
      <w:lvlJc w:val="left"/>
      <w:pPr>
        <w:ind w:left="3997" w:hanging="360"/>
      </w:pPr>
    </w:lvl>
    <w:lvl w:ilvl="5" w:tplc="0405001B">
      <w:start w:val="1"/>
      <w:numFmt w:val="lowerRoman"/>
      <w:lvlText w:val="%6."/>
      <w:lvlJc w:val="right"/>
      <w:pPr>
        <w:ind w:left="4717" w:hanging="180"/>
      </w:pPr>
    </w:lvl>
    <w:lvl w:ilvl="6" w:tplc="0405000F">
      <w:start w:val="1"/>
      <w:numFmt w:val="decimal"/>
      <w:lvlText w:val="%7."/>
      <w:lvlJc w:val="left"/>
      <w:pPr>
        <w:ind w:left="5437" w:hanging="360"/>
      </w:pPr>
    </w:lvl>
    <w:lvl w:ilvl="7" w:tplc="04050019">
      <w:start w:val="1"/>
      <w:numFmt w:val="lowerLetter"/>
      <w:lvlText w:val="%8."/>
      <w:lvlJc w:val="left"/>
      <w:pPr>
        <w:ind w:left="6157" w:hanging="360"/>
      </w:pPr>
    </w:lvl>
    <w:lvl w:ilvl="8" w:tplc="0405001B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23663395"/>
    <w:multiLevelType w:val="hybridMultilevel"/>
    <w:tmpl w:val="E7B46B46"/>
    <w:lvl w:ilvl="0" w:tplc="D79ABCB0">
      <w:start w:val="1"/>
      <w:numFmt w:val="lowerLetter"/>
      <w:lvlText w:val="%1)"/>
      <w:lvlJc w:val="left"/>
      <w:pPr>
        <w:ind w:left="1593" w:hanging="360"/>
      </w:pPr>
      <w:rPr>
        <w:rFonts w:ascii="Verdana" w:hAnsi="Verdana" w:cs="Times New Roman" w:hint="default"/>
        <w:b/>
        <w:sz w:val="18"/>
        <w:szCs w:val="18"/>
      </w:rPr>
    </w:lvl>
    <w:lvl w:ilvl="1" w:tplc="FF12F8F4">
      <w:start w:val="1"/>
      <w:numFmt w:val="lowerLetter"/>
      <w:lvlText w:val="%2."/>
      <w:lvlJc w:val="left"/>
      <w:pPr>
        <w:ind w:left="2313" w:hanging="360"/>
      </w:pPr>
      <w:rPr>
        <w:rFonts w:ascii="Times New Roman" w:hAnsi="Times New Roman" w:cs="Times New Roman"/>
      </w:rPr>
    </w:lvl>
    <w:lvl w:ilvl="2" w:tplc="72A6D958">
      <w:start w:val="1"/>
      <w:numFmt w:val="lowerRoman"/>
      <w:lvlText w:val="%3."/>
      <w:lvlJc w:val="right"/>
      <w:pPr>
        <w:ind w:left="3033" w:hanging="180"/>
      </w:pPr>
      <w:rPr>
        <w:rFonts w:ascii="Times New Roman" w:hAnsi="Times New Roman" w:cs="Times New Roman"/>
      </w:rPr>
    </w:lvl>
    <w:lvl w:ilvl="3" w:tplc="B3705FE2">
      <w:start w:val="1"/>
      <w:numFmt w:val="decimal"/>
      <w:lvlText w:val="%4."/>
      <w:lvlJc w:val="left"/>
      <w:pPr>
        <w:ind w:left="3753" w:hanging="360"/>
      </w:pPr>
      <w:rPr>
        <w:rFonts w:ascii="Times New Roman" w:hAnsi="Times New Roman" w:cs="Times New Roman"/>
      </w:rPr>
    </w:lvl>
    <w:lvl w:ilvl="4" w:tplc="D4B6F736">
      <w:start w:val="1"/>
      <w:numFmt w:val="lowerLetter"/>
      <w:lvlText w:val="%5."/>
      <w:lvlJc w:val="left"/>
      <w:pPr>
        <w:ind w:left="4473" w:hanging="360"/>
      </w:pPr>
      <w:rPr>
        <w:rFonts w:ascii="Times New Roman" w:hAnsi="Times New Roman" w:cs="Times New Roman"/>
      </w:rPr>
    </w:lvl>
    <w:lvl w:ilvl="5" w:tplc="6C708658">
      <w:start w:val="1"/>
      <w:numFmt w:val="lowerRoman"/>
      <w:lvlText w:val="%6."/>
      <w:lvlJc w:val="right"/>
      <w:pPr>
        <w:ind w:left="5193" w:hanging="180"/>
      </w:pPr>
      <w:rPr>
        <w:rFonts w:ascii="Times New Roman" w:hAnsi="Times New Roman" w:cs="Times New Roman"/>
      </w:rPr>
    </w:lvl>
    <w:lvl w:ilvl="6" w:tplc="6EE6C7A0">
      <w:start w:val="1"/>
      <w:numFmt w:val="decimal"/>
      <w:lvlText w:val="%7."/>
      <w:lvlJc w:val="left"/>
      <w:pPr>
        <w:ind w:left="5913" w:hanging="360"/>
      </w:pPr>
      <w:rPr>
        <w:rFonts w:ascii="Times New Roman" w:hAnsi="Times New Roman" w:cs="Times New Roman"/>
      </w:rPr>
    </w:lvl>
    <w:lvl w:ilvl="7" w:tplc="C87CCAC8">
      <w:start w:val="1"/>
      <w:numFmt w:val="lowerLetter"/>
      <w:lvlText w:val="%8."/>
      <w:lvlJc w:val="left"/>
      <w:pPr>
        <w:ind w:left="6633" w:hanging="360"/>
      </w:pPr>
      <w:rPr>
        <w:rFonts w:ascii="Times New Roman" w:hAnsi="Times New Roman" w:cs="Times New Roman"/>
      </w:rPr>
    </w:lvl>
    <w:lvl w:ilvl="8" w:tplc="0F3E2F50">
      <w:start w:val="1"/>
      <w:numFmt w:val="lowerRoman"/>
      <w:lvlText w:val="%9."/>
      <w:lvlJc w:val="right"/>
      <w:pPr>
        <w:ind w:left="7353" w:hanging="180"/>
      </w:pPr>
      <w:rPr>
        <w:rFonts w:ascii="Times New Roman" w:hAnsi="Times New Roman" w:cs="Times New Roman"/>
      </w:rPr>
    </w:lvl>
  </w:abstractNum>
  <w:abstractNum w:abstractNumId="2">
    <w:nsid w:val="23A24369"/>
    <w:multiLevelType w:val="hybridMultilevel"/>
    <w:tmpl w:val="24007442"/>
    <w:lvl w:ilvl="0" w:tplc="8A683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>
    <w:nsid w:val="278314A5"/>
    <w:multiLevelType w:val="hybridMultilevel"/>
    <w:tmpl w:val="4300D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51CCF"/>
    <w:multiLevelType w:val="hybridMultilevel"/>
    <w:tmpl w:val="4F863C3A"/>
    <w:lvl w:ilvl="0" w:tplc="9716B988">
      <w:start w:val="5"/>
      <w:numFmt w:val="bullet"/>
      <w:lvlText w:val="-"/>
      <w:lvlJc w:val="left"/>
      <w:pPr>
        <w:ind w:left="128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0D6D55"/>
    <w:multiLevelType w:val="hybridMultilevel"/>
    <w:tmpl w:val="5BF4278E"/>
    <w:lvl w:ilvl="0" w:tplc="C3BC99C8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2552" w:firstLine="0"/>
      </w:pPr>
      <w:rPr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539"/>
        </w:tabs>
        <w:ind w:left="539" w:hanging="397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7F6755BB"/>
    <w:multiLevelType w:val="hybridMultilevel"/>
    <w:tmpl w:val="7FD6D880"/>
    <w:lvl w:ilvl="0" w:tplc="BF2C8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7">
      <w:start w:val="1"/>
      <w:numFmt w:val="lowerLetter"/>
      <w:lvlText w:val="%3)"/>
      <w:lvlJc w:val="left"/>
      <w:pPr>
        <w:ind w:left="605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70"/>
    <w:rsid w:val="00115ED0"/>
    <w:rsid w:val="003813D4"/>
    <w:rsid w:val="0059726B"/>
    <w:rsid w:val="005E7A8A"/>
    <w:rsid w:val="00B63540"/>
    <w:rsid w:val="00CD5A70"/>
    <w:rsid w:val="00D15D37"/>
    <w:rsid w:val="00F944CC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A70"/>
    <w:pPr>
      <w:spacing w:before="120" w:after="0" w:line="240" w:lineRule="auto"/>
      <w:jc w:val="both"/>
    </w:pPr>
    <w:rPr>
      <w:rFonts w:ascii="Verdana" w:eastAsia="Times New Roman" w:hAnsi="Verdana" w:cs="Times New Roman"/>
      <w:sz w:val="17"/>
      <w:szCs w:val="17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5A70"/>
    <w:pPr>
      <w:keepNext/>
      <w:widowControl w:val="0"/>
      <w:spacing w:before="3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5A70"/>
    <w:pPr>
      <w:keepNext/>
      <w:spacing w:after="60"/>
      <w:jc w:val="center"/>
      <w:outlineLvl w:val="1"/>
    </w:pPr>
    <w:rPr>
      <w:b/>
      <w:bCs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5A70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D5A70"/>
    <w:rPr>
      <w:rFonts w:ascii="Verdana" w:eastAsia="Times New Roman" w:hAnsi="Verdana" w:cs="Times New Roman"/>
      <w:b/>
      <w:bCs/>
      <w:i/>
      <w:iCs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"/>
    <w:link w:val="Odstavecseseznamem"/>
    <w:uiPriority w:val="34"/>
    <w:locked/>
    <w:rsid w:val="00CD5A70"/>
    <w:rPr>
      <w:rFonts w:ascii="Arial" w:hAnsi="Arial" w:cs="Arial"/>
      <w:sz w:val="21"/>
      <w:szCs w:val="24"/>
      <w:lang w:eastAsia="zh-CN"/>
    </w:r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CD5A70"/>
    <w:pPr>
      <w:suppressAutoHyphens/>
      <w:spacing w:before="0" w:after="210" w:line="300" w:lineRule="auto"/>
      <w:ind w:left="720"/>
    </w:pPr>
    <w:rPr>
      <w:rFonts w:ascii="Arial" w:eastAsiaTheme="minorHAnsi" w:hAnsi="Arial" w:cs="Arial"/>
      <w:sz w:val="21"/>
      <w:szCs w:val="24"/>
      <w:lang w:eastAsia="zh-CN"/>
    </w:rPr>
  </w:style>
  <w:style w:type="paragraph" w:customStyle="1" w:styleId="slovanodstavec">
    <w:name w:val="Číslovaný odstavec"/>
    <w:basedOn w:val="Normln"/>
    <w:rsid w:val="00CD5A70"/>
    <w:pPr>
      <w:numPr>
        <w:numId w:val="1"/>
      </w:numPr>
    </w:pPr>
    <w:rPr>
      <w:b/>
    </w:rPr>
  </w:style>
  <w:style w:type="paragraph" w:customStyle="1" w:styleId="rove1-slolnku">
    <w:name w:val="Úroveň 1 - číslo článku"/>
    <w:basedOn w:val="Odstavecseseznamem"/>
    <w:next w:val="Normln"/>
    <w:qFormat/>
    <w:rsid w:val="00CD5A70"/>
    <w:pPr>
      <w:keepNext/>
      <w:numPr>
        <w:numId w:val="2"/>
      </w:numPr>
      <w:tabs>
        <w:tab w:val="num" w:pos="360"/>
        <w:tab w:val="num" w:pos="720"/>
      </w:tabs>
      <w:spacing w:before="360" w:after="0" w:line="312" w:lineRule="auto"/>
      <w:ind w:left="0" w:hanging="360"/>
      <w:jc w:val="center"/>
    </w:pPr>
    <w:rPr>
      <w:rFonts w:ascii="Verdana" w:hAnsi="Verdana"/>
      <w:b/>
      <w:sz w:val="18"/>
      <w:szCs w:val="20"/>
    </w:rPr>
  </w:style>
  <w:style w:type="character" w:customStyle="1" w:styleId="rove2-slovantextChar">
    <w:name w:val="Úroveň 2 - číslovaný text Char"/>
    <w:link w:val="rove2-slovantext"/>
    <w:locked/>
    <w:rsid w:val="00CD5A70"/>
    <w:rPr>
      <w:rFonts w:ascii="Verdana" w:hAnsi="Verdana"/>
      <w:sz w:val="18"/>
      <w:szCs w:val="24"/>
      <w:lang w:eastAsia="zh-CN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CD5A70"/>
    <w:pPr>
      <w:numPr>
        <w:ilvl w:val="1"/>
        <w:numId w:val="2"/>
      </w:numPr>
      <w:spacing w:before="120" w:after="120" w:line="312" w:lineRule="auto"/>
    </w:pPr>
    <w:rPr>
      <w:rFonts w:ascii="Verdana" w:hAnsi="Verdana" w:cstheme="minorBidi"/>
      <w:sz w:val="18"/>
    </w:rPr>
  </w:style>
  <w:style w:type="character" w:customStyle="1" w:styleId="rove3-slovantextChar">
    <w:name w:val="Úroveň 3 - číslovaný text Char"/>
    <w:link w:val="rove3-slovantext"/>
    <w:locked/>
    <w:rsid w:val="00CD5A70"/>
    <w:rPr>
      <w:rFonts w:ascii="Verdana" w:hAnsi="Verdana"/>
      <w:sz w:val="18"/>
      <w:szCs w:val="24"/>
      <w:lang w:eastAsia="zh-CN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CD5A70"/>
    <w:pPr>
      <w:numPr>
        <w:ilvl w:val="2"/>
        <w:numId w:val="2"/>
      </w:numPr>
      <w:spacing w:before="120" w:after="120" w:line="312" w:lineRule="auto"/>
    </w:pPr>
    <w:rPr>
      <w:rFonts w:ascii="Verdana" w:hAnsi="Verdana" w:cstheme="minorBidi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54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54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A70"/>
    <w:pPr>
      <w:spacing w:before="120" w:after="0" w:line="240" w:lineRule="auto"/>
      <w:jc w:val="both"/>
    </w:pPr>
    <w:rPr>
      <w:rFonts w:ascii="Verdana" w:eastAsia="Times New Roman" w:hAnsi="Verdana" w:cs="Times New Roman"/>
      <w:sz w:val="17"/>
      <w:szCs w:val="17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5A70"/>
    <w:pPr>
      <w:keepNext/>
      <w:widowControl w:val="0"/>
      <w:spacing w:before="3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5A70"/>
    <w:pPr>
      <w:keepNext/>
      <w:spacing w:after="60"/>
      <w:jc w:val="center"/>
      <w:outlineLvl w:val="1"/>
    </w:pPr>
    <w:rPr>
      <w:b/>
      <w:bCs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5A70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D5A70"/>
    <w:rPr>
      <w:rFonts w:ascii="Verdana" w:eastAsia="Times New Roman" w:hAnsi="Verdana" w:cs="Times New Roman"/>
      <w:b/>
      <w:bCs/>
      <w:i/>
      <w:iCs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"/>
    <w:link w:val="Odstavecseseznamem"/>
    <w:uiPriority w:val="34"/>
    <w:locked/>
    <w:rsid w:val="00CD5A70"/>
    <w:rPr>
      <w:rFonts w:ascii="Arial" w:hAnsi="Arial" w:cs="Arial"/>
      <w:sz w:val="21"/>
      <w:szCs w:val="24"/>
      <w:lang w:eastAsia="zh-CN"/>
    </w:r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CD5A70"/>
    <w:pPr>
      <w:suppressAutoHyphens/>
      <w:spacing w:before="0" w:after="210" w:line="300" w:lineRule="auto"/>
      <w:ind w:left="720"/>
    </w:pPr>
    <w:rPr>
      <w:rFonts w:ascii="Arial" w:eastAsiaTheme="minorHAnsi" w:hAnsi="Arial" w:cs="Arial"/>
      <w:sz w:val="21"/>
      <w:szCs w:val="24"/>
      <w:lang w:eastAsia="zh-CN"/>
    </w:rPr>
  </w:style>
  <w:style w:type="paragraph" w:customStyle="1" w:styleId="slovanodstavec">
    <w:name w:val="Číslovaný odstavec"/>
    <w:basedOn w:val="Normln"/>
    <w:rsid w:val="00CD5A70"/>
    <w:pPr>
      <w:numPr>
        <w:numId w:val="1"/>
      </w:numPr>
    </w:pPr>
    <w:rPr>
      <w:b/>
    </w:rPr>
  </w:style>
  <w:style w:type="paragraph" w:customStyle="1" w:styleId="rove1-slolnku">
    <w:name w:val="Úroveň 1 - číslo článku"/>
    <w:basedOn w:val="Odstavecseseznamem"/>
    <w:next w:val="Normln"/>
    <w:qFormat/>
    <w:rsid w:val="00CD5A70"/>
    <w:pPr>
      <w:keepNext/>
      <w:numPr>
        <w:numId w:val="2"/>
      </w:numPr>
      <w:tabs>
        <w:tab w:val="num" w:pos="360"/>
        <w:tab w:val="num" w:pos="720"/>
      </w:tabs>
      <w:spacing w:before="360" w:after="0" w:line="312" w:lineRule="auto"/>
      <w:ind w:left="0" w:hanging="360"/>
      <w:jc w:val="center"/>
    </w:pPr>
    <w:rPr>
      <w:rFonts w:ascii="Verdana" w:hAnsi="Verdana"/>
      <w:b/>
      <w:sz w:val="18"/>
      <w:szCs w:val="20"/>
    </w:rPr>
  </w:style>
  <w:style w:type="character" w:customStyle="1" w:styleId="rove2-slovantextChar">
    <w:name w:val="Úroveň 2 - číslovaný text Char"/>
    <w:link w:val="rove2-slovantext"/>
    <w:locked/>
    <w:rsid w:val="00CD5A70"/>
    <w:rPr>
      <w:rFonts w:ascii="Verdana" w:hAnsi="Verdana"/>
      <w:sz w:val="18"/>
      <w:szCs w:val="24"/>
      <w:lang w:eastAsia="zh-CN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CD5A70"/>
    <w:pPr>
      <w:numPr>
        <w:ilvl w:val="1"/>
        <w:numId w:val="2"/>
      </w:numPr>
      <w:spacing w:before="120" w:after="120" w:line="312" w:lineRule="auto"/>
    </w:pPr>
    <w:rPr>
      <w:rFonts w:ascii="Verdana" w:hAnsi="Verdana" w:cstheme="minorBidi"/>
      <w:sz w:val="18"/>
    </w:rPr>
  </w:style>
  <w:style w:type="character" w:customStyle="1" w:styleId="rove3-slovantextChar">
    <w:name w:val="Úroveň 3 - číslovaný text Char"/>
    <w:link w:val="rove3-slovantext"/>
    <w:locked/>
    <w:rsid w:val="00CD5A70"/>
    <w:rPr>
      <w:rFonts w:ascii="Verdana" w:hAnsi="Verdana"/>
      <w:sz w:val="18"/>
      <w:szCs w:val="24"/>
      <w:lang w:eastAsia="zh-CN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CD5A70"/>
    <w:pPr>
      <w:numPr>
        <w:ilvl w:val="2"/>
        <w:numId w:val="2"/>
      </w:numPr>
      <w:spacing w:before="120" w:after="120" w:line="312" w:lineRule="auto"/>
    </w:pPr>
    <w:rPr>
      <w:rFonts w:ascii="Verdana" w:hAnsi="Verdana" w:cstheme="minorBidi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54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54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uctarna</cp:lastModifiedBy>
  <cp:revision>3</cp:revision>
  <cp:lastPrinted>2019-05-07T11:14:00Z</cp:lastPrinted>
  <dcterms:created xsi:type="dcterms:W3CDTF">2019-06-19T10:17:00Z</dcterms:created>
  <dcterms:modified xsi:type="dcterms:W3CDTF">2019-06-19T10:23:00Z</dcterms:modified>
</cp:coreProperties>
</file>