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0A4030" w:rsidRPr="00FA106F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0A4030" w:rsidRPr="00FA106F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0A4030" w:rsidRPr="00FA106F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0A4030" w:rsidRPr="00FA106F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0A4030" w:rsidRPr="00FA106F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0A4030" w:rsidRPr="00FA106F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0A4030" w:rsidRPr="00FA106F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201EFC">
        <w:rPr>
          <w:rFonts w:ascii="Times New Roman" w:hAnsi="Times New Roman" w:cs="Times New Roman"/>
          <w:sz w:val="20"/>
          <w:szCs w:val="20"/>
        </w:rPr>
        <w:t>Ing. Jan Havel, MBA, jednatel</w:t>
      </w:r>
    </w:p>
    <w:p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  <w:r w:rsidR="00D949E2">
        <w:rPr>
          <w:rFonts w:ascii="Times New Roman" w:hAnsi="Times New Roman" w:cs="Times New Roman"/>
          <w:b/>
          <w:sz w:val="28"/>
          <w:szCs w:val="28"/>
        </w:rPr>
        <w:t xml:space="preserve"> TSML/72/18</w:t>
      </w:r>
    </w:p>
    <w:p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0A4030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Iveco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0A4030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Daily E12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0A4030" w:rsidRPr="00FA106F">
        <w:rPr>
          <w:rFonts w:ascii="Times New Roman" w:hAnsi="Times New Roman" w:cs="Times New Roman"/>
          <w:b/>
          <w:noProof/>
          <w:sz w:val="20"/>
          <w:szCs w:val="20"/>
        </w:rPr>
        <w:t>oranžová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0A4030" w:rsidRPr="00FA106F">
        <w:rPr>
          <w:rFonts w:ascii="Times New Roman" w:hAnsi="Times New Roman" w:cs="Times New Roman"/>
          <w:b/>
          <w:noProof/>
          <w:sz w:val="20"/>
          <w:szCs w:val="20"/>
        </w:rPr>
        <w:t>3L58784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0A4030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ZCFC5980105221065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71E"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5A5D0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"Rok_výroby_"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0A4030" w:rsidRPr="00FA106F">
        <w:rPr>
          <w:rFonts w:ascii="Times New Roman" w:hAnsi="Times New Roman" w:cs="Times New Roman"/>
          <w:b/>
          <w:noProof/>
          <w:sz w:val="20"/>
          <w:szCs w:val="20"/>
        </w:rPr>
        <w:t>1999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</w:t>
      </w:r>
      <w:r w:rsidR="00D949E2">
        <w:rPr>
          <w:rFonts w:ascii="Times New Roman" w:hAnsi="Times New Roman" w:cs="Times New Roman"/>
          <w:sz w:val="20"/>
          <w:szCs w:val="20"/>
        </w:rPr>
        <w:t xml:space="preserve"> </w:t>
      </w:r>
      <w:r w:rsidR="00B55C1B">
        <w:rPr>
          <w:rFonts w:ascii="Times New Roman" w:hAnsi="Times New Roman" w:cs="Times New Roman"/>
          <w:sz w:val="20"/>
          <w:szCs w:val="20"/>
        </w:rPr>
        <w:t>167150</w:t>
      </w:r>
      <w:bookmarkStart w:id="0" w:name="_GoBack"/>
      <w:bookmarkEnd w:id="0"/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757E6F">
        <w:rPr>
          <w:rFonts w:ascii="Times New Roman" w:hAnsi="Times New Roman" w:cs="Times New Roman"/>
          <w:sz w:val="20"/>
          <w:szCs w:val="20"/>
        </w:rPr>
        <w:t xml:space="preserve"> Kč bez DPH</w:t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 dokladu obsahujícího veškeré údaje vyžadované právními předpisy.</w:t>
      </w:r>
    </w:p>
    <w:p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D949E2">
        <w:rPr>
          <w:rFonts w:ascii="Times New Roman" w:hAnsi="Times New Roman" w:cs="Times New Roman"/>
          <w:sz w:val="20"/>
          <w:szCs w:val="20"/>
        </w:rPr>
        <w:t>XX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</w:t>
      </w:r>
      <w:r w:rsidR="006A43FB"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1 ke kupní smlouvě – Předávací Protokol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..............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..............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0A4030" w:rsidRPr="00FA106F">
        <w:rPr>
          <w:rFonts w:ascii="Times New Roman" w:hAnsi="Times New Roman" w:cs="Times New Roman"/>
          <w:noProof/>
          <w:sz w:val="20"/>
          <w:szCs w:val="20"/>
        </w:rPr>
        <w:t>23.5.2018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F3C96" w:rsidRPr="00725524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5B2" w:rsidRPr="00725524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620937">
        <w:tc>
          <w:tcPr>
            <w:tcW w:w="5778" w:type="dxa"/>
          </w:tcPr>
          <w:p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0A4030" w:rsidRPr="00FA106F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620937">
        <w:tc>
          <w:tcPr>
            <w:tcW w:w="5778" w:type="dxa"/>
          </w:tcPr>
          <w:p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0A4030" w:rsidRPr="00FA106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7D1935" w:rsidRPr="00725524" w:rsidRDefault="007D1935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sectPr w:rsidR="007D1935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C8" w:rsidRDefault="00643AC8" w:rsidP="00774DF4">
      <w:pPr>
        <w:spacing w:after="0" w:line="240" w:lineRule="auto"/>
      </w:pPr>
      <w:r>
        <w:separator/>
      </w:r>
    </w:p>
  </w:endnote>
  <w:end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C8" w:rsidRDefault="00643AC8" w:rsidP="00774DF4">
      <w:pPr>
        <w:spacing w:after="0" w:line="240" w:lineRule="auto"/>
      </w:pPr>
      <w:r>
        <w:separator/>
      </w:r>
    </w:p>
  </w:footnote>
  <w:foot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C8" w:rsidRPr="004B4E7F" w:rsidRDefault="008C556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6C11FC" wp14:editId="4AFABC4D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AC8" w:rsidRPr="004B4E7F">
      <w:rPr>
        <w:rFonts w:ascii="Times New Roman" w:hAnsi="Times New Roman" w:cs="Times New Roman"/>
        <w:sz w:val="20"/>
        <w:szCs w:val="20"/>
      </w:rPr>
      <w:t xml:space="preserve">Tel: </w:t>
    </w:r>
    <w:r w:rsidR="00643AC8" w:rsidRPr="004B4E7F">
      <w:rPr>
        <w:rFonts w:ascii="Gill Sans MT" w:hAnsi="Gill Sans MT" w:cs="Gill Sans MT"/>
        <w:sz w:val="20"/>
        <w:szCs w:val="20"/>
      </w:rPr>
      <w:t>+420 255 739 707</w:t>
    </w:r>
    <w:r w:rsidR="00643AC8" w:rsidRPr="004B4E7F">
      <w:rPr>
        <w:rFonts w:ascii="Times New Roman" w:hAnsi="Times New Roman" w:cs="Times New Roman"/>
        <w:sz w:val="20"/>
        <w:szCs w:val="20"/>
      </w:rPr>
      <w:t xml:space="preserve"> </w:t>
    </w:r>
  </w:p>
  <w:p w:rsidR="00643AC8" w:rsidRPr="004B4E7F" w:rsidRDefault="008C5568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43AC8" w:rsidRPr="004B4E7F">
      <w:rPr>
        <w:rFonts w:ascii="Times New Roman" w:hAnsi="Times New Roman" w:cs="Times New Roman"/>
        <w:sz w:val="20"/>
        <w:szCs w:val="20"/>
      </w:rPr>
      <w:t xml:space="preserve">Email: </w:t>
    </w:r>
    <w:r w:rsidR="00643AC8" w:rsidRPr="004B4E7F">
      <w:rPr>
        <w:rFonts w:ascii="Gill Sans MT" w:hAnsi="Gill Sans MT" w:cs="Gill Sans MT"/>
        <w:sz w:val="20"/>
        <w:szCs w:val="20"/>
      </w:rPr>
      <w:t>info@veacom.cz</w:t>
    </w:r>
  </w:p>
  <w:p w:rsidR="00643AC8" w:rsidRPr="004B4E7F" w:rsidRDefault="00643AC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:rsidR="00643AC8" w:rsidRDefault="00643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VEACOM\Public\Veacom s.r.o\AUKCE\Aukce\2018\38 - 70. nákladní aukce ČEZ 3.-5.12.18\Seznam pro tvorbu smluv aukce Veacom 3.12.-5.12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dáno$`"/>
    <w:viewMergedData/>
    <w:activeRecord w:val="16"/>
    <w:odso>
      <w:udl w:val="Provider=Microsoft.ACE.OLEDB.12.0;User ID=Admin;Data Source=\\STORAGE\Veacom\Aukce\2018\15 - 9. Veacom aukce 21.-23.5.18\Seznam pro tvorbu smluv aukce Veacom 21.5.-23.5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odáno$"/>
      <w:src r:id="rId1"/>
      <w:colDelim w:val="9"/>
      <w:type w:val="database"/>
      <w:fHdr/>
      <w:fieldMapData>
        <w:type w:val="dbColumn"/>
        <w:name w:val="ID"/>
        <w:mappedName w:val="Jedinečný identifikátor"/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1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Firma"/>
        <w:mappedName w:val="Společnost"/>
        <w:column w:val="36"/>
        <w:lid w:val="cs-CZ"/>
      </w:fieldMapData>
      <w:fieldMapData>
        <w:type w:val="dbColumn"/>
        <w:name w:val="Adresa"/>
        <w:mappedName w:val="Adresa 1"/>
        <w:column w:val="38"/>
        <w:lid w:val="cs-CZ"/>
      </w:fieldMapData>
      <w:fieldMapData>
        <w:column w:val="0"/>
        <w:lid w:val="cs-CZ"/>
      </w:fieldMapData>
      <w:fieldMapData>
        <w:type w:val="dbColumn"/>
        <w:name w:val="Město"/>
        <w:mappedName w:val="Město"/>
        <w:column w:val="8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7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9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1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61818"/>
    <w:rsid w:val="00070FE8"/>
    <w:rsid w:val="00076AB1"/>
    <w:rsid w:val="00084D91"/>
    <w:rsid w:val="00090392"/>
    <w:rsid w:val="000A0F62"/>
    <w:rsid w:val="000A25E3"/>
    <w:rsid w:val="000A4030"/>
    <w:rsid w:val="000A66F6"/>
    <w:rsid w:val="000A679D"/>
    <w:rsid w:val="000B5EEE"/>
    <w:rsid w:val="000B7132"/>
    <w:rsid w:val="000D05F2"/>
    <w:rsid w:val="000D775B"/>
    <w:rsid w:val="000E0778"/>
    <w:rsid w:val="000F649C"/>
    <w:rsid w:val="001051BA"/>
    <w:rsid w:val="00112C9D"/>
    <w:rsid w:val="0012266E"/>
    <w:rsid w:val="001452B0"/>
    <w:rsid w:val="001628A2"/>
    <w:rsid w:val="00167D74"/>
    <w:rsid w:val="00177626"/>
    <w:rsid w:val="001962E0"/>
    <w:rsid w:val="001C4FA9"/>
    <w:rsid w:val="001F23C1"/>
    <w:rsid w:val="00201EFC"/>
    <w:rsid w:val="00212744"/>
    <w:rsid w:val="002305AE"/>
    <w:rsid w:val="00252D69"/>
    <w:rsid w:val="00262674"/>
    <w:rsid w:val="002661DB"/>
    <w:rsid w:val="002C639B"/>
    <w:rsid w:val="002C6E4F"/>
    <w:rsid w:val="002E274E"/>
    <w:rsid w:val="002E4BDA"/>
    <w:rsid w:val="002E5F67"/>
    <w:rsid w:val="002F220D"/>
    <w:rsid w:val="002F2245"/>
    <w:rsid w:val="002F6CC0"/>
    <w:rsid w:val="003005B2"/>
    <w:rsid w:val="0032035F"/>
    <w:rsid w:val="00324B39"/>
    <w:rsid w:val="00355BD3"/>
    <w:rsid w:val="00365374"/>
    <w:rsid w:val="003933CA"/>
    <w:rsid w:val="00395036"/>
    <w:rsid w:val="003A3F8C"/>
    <w:rsid w:val="003D139E"/>
    <w:rsid w:val="003D332C"/>
    <w:rsid w:val="003D6699"/>
    <w:rsid w:val="003E34B6"/>
    <w:rsid w:val="003F6D7A"/>
    <w:rsid w:val="004074A5"/>
    <w:rsid w:val="00414C87"/>
    <w:rsid w:val="00423462"/>
    <w:rsid w:val="00433769"/>
    <w:rsid w:val="00437BF9"/>
    <w:rsid w:val="00442339"/>
    <w:rsid w:val="00446489"/>
    <w:rsid w:val="004536E4"/>
    <w:rsid w:val="004614C4"/>
    <w:rsid w:val="004654F0"/>
    <w:rsid w:val="00465C57"/>
    <w:rsid w:val="0046620D"/>
    <w:rsid w:val="00471CBB"/>
    <w:rsid w:val="0048247A"/>
    <w:rsid w:val="004975D9"/>
    <w:rsid w:val="004A055C"/>
    <w:rsid w:val="004B0EB2"/>
    <w:rsid w:val="004B4E7F"/>
    <w:rsid w:val="004B6A42"/>
    <w:rsid w:val="004D20F6"/>
    <w:rsid w:val="004E5ACC"/>
    <w:rsid w:val="005520AD"/>
    <w:rsid w:val="00565105"/>
    <w:rsid w:val="00565C3D"/>
    <w:rsid w:val="00571A6A"/>
    <w:rsid w:val="0057342C"/>
    <w:rsid w:val="00574B2A"/>
    <w:rsid w:val="005771B4"/>
    <w:rsid w:val="0057765D"/>
    <w:rsid w:val="0059543C"/>
    <w:rsid w:val="0059759F"/>
    <w:rsid w:val="005A5D0F"/>
    <w:rsid w:val="005D1BA7"/>
    <w:rsid w:val="005E503A"/>
    <w:rsid w:val="005F0E65"/>
    <w:rsid w:val="005F307B"/>
    <w:rsid w:val="006018AD"/>
    <w:rsid w:val="006053DF"/>
    <w:rsid w:val="00614049"/>
    <w:rsid w:val="0061554F"/>
    <w:rsid w:val="00620937"/>
    <w:rsid w:val="00622C83"/>
    <w:rsid w:val="006352B4"/>
    <w:rsid w:val="00643AC8"/>
    <w:rsid w:val="00650A87"/>
    <w:rsid w:val="00665CFC"/>
    <w:rsid w:val="0069302B"/>
    <w:rsid w:val="006A43FB"/>
    <w:rsid w:val="006A5CA4"/>
    <w:rsid w:val="006B7488"/>
    <w:rsid w:val="006B7EFF"/>
    <w:rsid w:val="006C2BC2"/>
    <w:rsid w:val="006C3137"/>
    <w:rsid w:val="006D1C0D"/>
    <w:rsid w:val="006E08A1"/>
    <w:rsid w:val="006E51BC"/>
    <w:rsid w:val="006F5391"/>
    <w:rsid w:val="00702F8F"/>
    <w:rsid w:val="00721459"/>
    <w:rsid w:val="00725524"/>
    <w:rsid w:val="00726B88"/>
    <w:rsid w:val="007336AA"/>
    <w:rsid w:val="0073395E"/>
    <w:rsid w:val="00741F06"/>
    <w:rsid w:val="00757E6F"/>
    <w:rsid w:val="007609F4"/>
    <w:rsid w:val="00774DF4"/>
    <w:rsid w:val="007978E2"/>
    <w:rsid w:val="007A021A"/>
    <w:rsid w:val="007A0294"/>
    <w:rsid w:val="007A25B7"/>
    <w:rsid w:val="007A3722"/>
    <w:rsid w:val="007D1935"/>
    <w:rsid w:val="007E4903"/>
    <w:rsid w:val="007F2B8D"/>
    <w:rsid w:val="007F5F88"/>
    <w:rsid w:val="00802E51"/>
    <w:rsid w:val="00811292"/>
    <w:rsid w:val="00820A89"/>
    <w:rsid w:val="00844257"/>
    <w:rsid w:val="008455B5"/>
    <w:rsid w:val="00861300"/>
    <w:rsid w:val="00866CEB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6115"/>
    <w:rsid w:val="00941C7B"/>
    <w:rsid w:val="00946448"/>
    <w:rsid w:val="00950263"/>
    <w:rsid w:val="0096027B"/>
    <w:rsid w:val="00963D5B"/>
    <w:rsid w:val="00964FCA"/>
    <w:rsid w:val="009804BB"/>
    <w:rsid w:val="009834D6"/>
    <w:rsid w:val="00997679"/>
    <w:rsid w:val="009A2550"/>
    <w:rsid w:val="009F3B0B"/>
    <w:rsid w:val="009F3C96"/>
    <w:rsid w:val="00A03F14"/>
    <w:rsid w:val="00A05E45"/>
    <w:rsid w:val="00A05EB0"/>
    <w:rsid w:val="00A14A36"/>
    <w:rsid w:val="00A4047E"/>
    <w:rsid w:val="00A44B64"/>
    <w:rsid w:val="00A4627F"/>
    <w:rsid w:val="00A50A43"/>
    <w:rsid w:val="00A5211B"/>
    <w:rsid w:val="00A55133"/>
    <w:rsid w:val="00A56956"/>
    <w:rsid w:val="00A678BF"/>
    <w:rsid w:val="00A83A7B"/>
    <w:rsid w:val="00A87696"/>
    <w:rsid w:val="00AA582B"/>
    <w:rsid w:val="00AF0E2A"/>
    <w:rsid w:val="00AF3175"/>
    <w:rsid w:val="00AF605F"/>
    <w:rsid w:val="00B11FC7"/>
    <w:rsid w:val="00B14AAF"/>
    <w:rsid w:val="00B214FD"/>
    <w:rsid w:val="00B308EE"/>
    <w:rsid w:val="00B44BBF"/>
    <w:rsid w:val="00B55C1B"/>
    <w:rsid w:val="00B55D62"/>
    <w:rsid w:val="00B74988"/>
    <w:rsid w:val="00B913F0"/>
    <w:rsid w:val="00BB5669"/>
    <w:rsid w:val="00BC5A31"/>
    <w:rsid w:val="00BD3771"/>
    <w:rsid w:val="00BE2A59"/>
    <w:rsid w:val="00BE2E35"/>
    <w:rsid w:val="00BE56D7"/>
    <w:rsid w:val="00BE7462"/>
    <w:rsid w:val="00C1097D"/>
    <w:rsid w:val="00C119B9"/>
    <w:rsid w:val="00C13066"/>
    <w:rsid w:val="00C14F2F"/>
    <w:rsid w:val="00C4755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C586F"/>
    <w:rsid w:val="00CD2F66"/>
    <w:rsid w:val="00CD71C7"/>
    <w:rsid w:val="00CF26FC"/>
    <w:rsid w:val="00D07D18"/>
    <w:rsid w:val="00D17962"/>
    <w:rsid w:val="00D21AE1"/>
    <w:rsid w:val="00D31C2B"/>
    <w:rsid w:val="00D33681"/>
    <w:rsid w:val="00D347BD"/>
    <w:rsid w:val="00D40D53"/>
    <w:rsid w:val="00D60108"/>
    <w:rsid w:val="00D646BB"/>
    <w:rsid w:val="00D75157"/>
    <w:rsid w:val="00D949E2"/>
    <w:rsid w:val="00DA109C"/>
    <w:rsid w:val="00DA4129"/>
    <w:rsid w:val="00DA5338"/>
    <w:rsid w:val="00DA5FA7"/>
    <w:rsid w:val="00DB5F75"/>
    <w:rsid w:val="00DC5674"/>
    <w:rsid w:val="00DD3ACA"/>
    <w:rsid w:val="00DD729B"/>
    <w:rsid w:val="00DE47DD"/>
    <w:rsid w:val="00E03AC1"/>
    <w:rsid w:val="00E0633D"/>
    <w:rsid w:val="00E1747F"/>
    <w:rsid w:val="00E202B9"/>
    <w:rsid w:val="00E3134F"/>
    <w:rsid w:val="00E31F76"/>
    <w:rsid w:val="00E33CD3"/>
    <w:rsid w:val="00E3762F"/>
    <w:rsid w:val="00E40030"/>
    <w:rsid w:val="00E56DAB"/>
    <w:rsid w:val="00E760A8"/>
    <w:rsid w:val="00E80168"/>
    <w:rsid w:val="00E83ED3"/>
    <w:rsid w:val="00EA5810"/>
    <w:rsid w:val="00EB04F0"/>
    <w:rsid w:val="00EB2E24"/>
    <w:rsid w:val="00EB51A8"/>
    <w:rsid w:val="00EE6404"/>
    <w:rsid w:val="00F07D39"/>
    <w:rsid w:val="00F15968"/>
    <w:rsid w:val="00F316DE"/>
    <w:rsid w:val="00F45C97"/>
    <w:rsid w:val="00F51B6D"/>
    <w:rsid w:val="00F5386A"/>
    <w:rsid w:val="00F56D59"/>
    <w:rsid w:val="00F601CE"/>
    <w:rsid w:val="00F623BB"/>
    <w:rsid w:val="00F779AC"/>
    <w:rsid w:val="00F8273F"/>
    <w:rsid w:val="00F8727F"/>
    <w:rsid w:val="00F97970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4C5D57F7"/>
  <w15:docId w15:val="{96DFD0A2-F103-4C62-8FAD-04EBF642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STORAGE\Veacom\Aukce\2018\15%20-%209.%20Veacom%20aukce%2021.-23.5.18\Seznam%20pro%20tvorbu%20smluv%20aukce%20Veacom%2021.5.-23.5.2018.xl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A108-A822-4C01-A290-67AA7DE2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Money</dc:creator>
  <cp:lastModifiedBy>Folprechtová Alžběta, Bc</cp:lastModifiedBy>
  <cp:revision>3</cp:revision>
  <cp:lastPrinted>2018-12-13T09:44:00Z</cp:lastPrinted>
  <dcterms:created xsi:type="dcterms:W3CDTF">2019-06-04T09:31:00Z</dcterms:created>
  <dcterms:modified xsi:type="dcterms:W3CDTF">2019-07-09T11:30:00Z</dcterms:modified>
</cp:coreProperties>
</file>