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08" w:rsidRPr="00BE4FC8" w:rsidRDefault="00022208" w:rsidP="00BE4FC8">
      <w:pPr>
        <w:jc w:val="both"/>
        <w:rPr>
          <w:rFonts w:ascii="Arial" w:hAnsi="Arial" w:cs="Arial"/>
          <w:b/>
          <w:sz w:val="20"/>
          <w:szCs w:val="20"/>
        </w:rPr>
      </w:pPr>
      <w:r w:rsidRPr="00BE4FC8">
        <w:rPr>
          <w:rFonts w:ascii="Arial" w:hAnsi="Arial" w:cs="Arial"/>
          <w:b/>
          <w:sz w:val="20"/>
          <w:szCs w:val="20"/>
        </w:rPr>
        <w:t xml:space="preserve">Příloha č. </w:t>
      </w:r>
      <w:r w:rsidR="00034BA9">
        <w:rPr>
          <w:rFonts w:ascii="Arial" w:hAnsi="Arial" w:cs="Arial"/>
          <w:b/>
          <w:sz w:val="20"/>
          <w:szCs w:val="20"/>
        </w:rPr>
        <w:t>1</w:t>
      </w:r>
      <w:bookmarkStart w:id="0" w:name="_GoBack"/>
      <w:bookmarkEnd w:id="0"/>
      <w:r w:rsidRPr="00BE4FC8">
        <w:rPr>
          <w:rFonts w:ascii="Arial" w:hAnsi="Arial" w:cs="Arial"/>
          <w:b/>
          <w:sz w:val="20"/>
          <w:szCs w:val="20"/>
        </w:rPr>
        <w:t xml:space="preserve"> – Technická specifikace</w:t>
      </w:r>
    </w:p>
    <w:p w:rsidR="00BE4FC8" w:rsidRPr="00BE4FC8" w:rsidRDefault="00BE4FC8" w:rsidP="00BE4FC8">
      <w:pPr>
        <w:spacing w:after="0"/>
        <w:jc w:val="both"/>
        <w:rPr>
          <w:rFonts w:ascii="Arial" w:hAnsi="Arial" w:cs="Arial"/>
          <w:sz w:val="20"/>
          <w:szCs w:val="20"/>
        </w:rPr>
      </w:pPr>
      <w:r w:rsidRPr="00BE4FC8">
        <w:rPr>
          <w:rFonts w:ascii="Arial" w:hAnsi="Arial" w:cs="Arial"/>
          <w:b/>
          <w:sz w:val="20"/>
          <w:szCs w:val="20"/>
        </w:rPr>
        <w:t>Požadavky na polarograf a minimální technické parametry</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u w:val="single"/>
        </w:rPr>
        <w:t>Polarograf s možností voltametrické analýzy na pevných elektrodách:</w:t>
      </w:r>
    </w:p>
    <w:p w:rsidR="00BE4FC8" w:rsidRPr="00BE4FC8" w:rsidRDefault="00BE4FC8" w:rsidP="00BE4FC8">
      <w:pPr>
        <w:numPr>
          <w:ilvl w:val="0"/>
          <w:numId w:val="2"/>
        </w:numPr>
        <w:suppressAutoHyphens/>
        <w:spacing w:after="0" w:line="240" w:lineRule="auto"/>
        <w:jc w:val="both"/>
        <w:rPr>
          <w:rFonts w:ascii="Arial" w:hAnsi="Arial" w:cs="Arial"/>
          <w:sz w:val="20"/>
          <w:szCs w:val="20"/>
        </w:rPr>
      </w:pPr>
      <w:r w:rsidRPr="00BE4FC8">
        <w:rPr>
          <w:rFonts w:ascii="Arial" w:hAnsi="Arial" w:cs="Arial"/>
          <w:sz w:val="20"/>
          <w:szCs w:val="20"/>
        </w:rPr>
        <w:t>výstupní napětí na pomocné elektrodě v </w:t>
      </w:r>
      <w:proofErr w:type="spellStart"/>
      <w:r w:rsidRPr="00BE4FC8">
        <w:rPr>
          <w:rFonts w:ascii="Arial" w:hAnsi="Arial" w:cs="Arial"/>
          <w:sz w:val="20"/>
          <w:szCs w:val="20"/>
        </w:rPr>
        <w:t>potenciostatickém</w:t>
      </w:r>
      <w:proofErr w:type="spellEnd"/>
      <w:r w:rsidRPr="00BE4FC8">
        <w:rPr>
          <w:rFonts w:ascii="Arial" w:hAnsi="Arial" w:cs="Arial"/>
          <w:sz w:val="20"/>
          <w:szCs w:val="20"/>
        </w:rPr>
        <w:t xml:space="preserve"> režimu – min. +/- 25V</w:t>
      </w:r>
    </w:p>
    <w:p w:rsidR="00BE4FC8" w:rsidRPr="00BE4FC8" w:rsidRDefault="00BE4FC8" w:rsidP="00BE4FC8">
      <w:pPr>
        <w:numPr>
          <w:ilvl w:val="0"/>
          <w:numId w:val="2"/>
        </w:numPr>
        <w:suppressAutoHyphens/>
        <w:spacing w:after="0" w:line="240" w:lineRule="auto"/>
        <w:jc w:val="both"/>
        <w:rPr>
          <w:rFonts w:ascii="Arial" w:hAnsi="Arial" w:cs="Arial"/>
          <w:sz w:val="20"/>
          <w:szCs w:val="20"/>
        </w:rPr>
      </w:pPr>
      <w:r w:rsidRPr="00BE4FC8">
        <w:rPr>
          <w:rFonts w:ascii="Arial" w:hAnsi="Arial" w:cs="Arial"/>
          <w:sz w:val="20"/>
          <w:szCs w:val="20"/>
        </w:rPr>
        <w:t xml:space="preserve">výstupní proud na pomocné elektrodě v </w:t>
      </w:r>
      <w:proofErr w:type="spellStart"/>
      <w:r w:rsidRPr="00BE4FC8">
        <w:rPr>
          <w:rFonts w:ascii="Arial" w:hAnsi="Arial" w:cs="Arial"/>
          <w:sz w:val="20"/>
          <w:szCs w:val="20"/>
        </w:rPr>
        <w:t>potenciostatickém</w:t>
      </w:r>
      <w:proofErr w:type="spellEnd"/>
      <w:r w:rsidRPr="00BE4FC8">
        <w:rPr>
          <w:rFonts w:ascii="Arial" w:hAnsi="Arial" w:cs="Arial"/>
          <w:sz w:val="20"/>
          <w:szCs w:val="20"/>
        </w:rPr>
        <w:t xml:space="preserve"> režimu – min. +/- 220 mA</w:t>
      </w:r>
    </w:p>
    <w:p w:rsidR="00BE4FC8" w:rsidRPr="00BE4FC8" w:rsidRDefault="00BE4FC8" w:rsidP="00BE4FC8">
      <w:pPr>
        <w:numPr>
          <w:ilvl w:val="0"/>
          <w:numId w:val="2"/>
        </w:numPr>
        <w:suppressAutoHyphens/>
        <w:spacing w:after="0" w:line="240" w:lineRule="auto"/>
        <w:jc w:val="both"/>
        <w:rPr>
          <w:rFonts w:ascii="Arial" w:hAnsi="Arial" w:cs="Arial"/>
          <w:sz w:val="20"/>
          <w:szCs w:val="20"/>
        </w:rPr>
      </w:pPr>
      <w:r w:rsidRPr="00BE4FC8">
        <w:rPr>
          <w:rFonts w:ascii="Arial" w:hAnsi="Arial" w:cs="Arial"/>
          <w:sz w:val="20"/>
          <w:szCs w:val="20"/>
        </w:rPr>
        <w:t>měřící potenciálový rozsah – min. +/- 5V</w:t>
      </w:r>
    </w:p>
    <w:p w:rsidR="00BE4FC8" w:rsidRPr="00BE4FC8" w:rsidRDefault="00BE4FC8" w:rsidP="00BE4FC8">
      <w:pPr>
        <w:numPr>
          <w:ilvl w:val="0"/>
          <w:numId w:val="2"/>
        </w:numPr>
        <w:suppressAutoHyphens/>
        <w:spacing w:after="0" w:line="240" w:lineRule="auto"/>
        <w:jc w:val="both"/>
        <w:rPr>
          <w:rFonts w:ascii="Arial" w:hAnsi="Arial" w:cs="Arial"/>
          <w:sz w:val="20"/>
          <w:szCs w:val="20"/>
        </w:rPr>
      </w:pPr>
      <w:r w:rsidRPr="00BE4FC8">
        <w:rPr>
          <w:rFonts w:ascii="Arial" w:hAnsi="Arial" w:cs="Arial"/>
          <w:sz w:val="20"/>
          <w:szCs w:val="20"/>
        </w:rPr>
        <w:t xml:space="preserve">proudový rozsah 200 </w:t>
      </w:r>
      <w:proofErr w:type="spellStart"/>
      <w:r w:rsidRPr="00BE4FC8">
        <w:rPr>
          <w:rFonts w:ascii="Arial" w:hAnsi="Arial" w:cs="Arial"/>
          <w:sz w:val="20"/>
          <w:szCs w:val="20"/>
        </w:rPr>
        <w:t>pA</w:t>
      </w:r>
      <w:proofErr w:type="spellEnd"/>
      <w:r w:rsidRPr="00BE4FC8">
        <w:rPr>
          <w:rFonts w:ascii="Arial" w:hAnsi="Arial" w:cs="Arial"/>
          <w:sz w:val="20"/>
          <w:szCs w:val="20"/>
        </w:rPr>
        <w:t xml:space="preserve"> – 200 mA</w:t>
      </w:r>
    </w:p>
    <w:p w:rsidR="00BE4FC8" w:rsidRPr="00BE4FC8" w:rsidRDefault="00BE4FC8" w:rsidP="00BE4FC8">
      <w:pPr>
        <w:numPr>
          <w:ilvl w:val="0"/>
          <w:numId w:val="2"/>
        </w:numPr>
        <w:suppressAutoHyphens/>
        <w:spacing w:after="0" w:line="240" w:lineRule="auto"/>
        <w:jc w:val="both"/>
        <w:rPr>
          <w:rFonts w:ascii="Arial" w:hAnsi="Arial" w:cs="Arial"/>
          <w:sz w:val="20"/>
          <w:szCs w:val="20"/>
        </w:rPr>
      </w:pPr>
      <w:r w:rsidRPr="00BE4FC8">
        <w:rPr>
          <w:rFonts w:ascii="Arial" w:hAnsi="Arial" w:cs="Arial"/>
          <w:sz w:val="20"/>
          <w:szCs w:val="20"/>
        </w:rPr>
        <w:t xml:space="preserve">rozlišení měřeného proudu – min. 6 </w:t>
      </w:r>
      <w:proofErr w:type="spellStart"/>
      <w:r w:rsidRPr="00BE4FC8">
        <w:rPr>
          <w:rFonts w:ascii="Arial" w:hAnsi="Arial" w:cs="Arial"/>
          <w:sz w:val="20"/>
          <w:szCs w:val="20"/>
        </w:rPr>
        <w:t>fA</w:t>
      </w:r>
      <w:proofErr w:type="spellEnd"/>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Přístroj musí obsahovat měřící hlavu pro polarografické měření a hlavu pro měření na pevných elektrodách s možností měření v režimu rotační diskové elektrody. Měřící hlavy musí být vyměnitelné v rámci jednoho přístroje.</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Součástí pro polarografická měření musí být pneumaticky řízená rtuťová pracovní elektroda, umožňující pracovat v režimech DME, SMDE a HMDE. Ovládání kapky pomocí softwaru. Dále referenční, pomocná elektroda, míchadlo a elektrochemická cela.</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 xml:space="preserve">Součástí pro měření na pevných elektrodách musí být pracovní elektrody z materiálu </w:t>
      </w:r>
      <w:proofErr w:type="spellStart"/>
      <w:r w:rsidRPr="00BE4FC8">
        <w:rPr>
          <w:rFonts w:ascii="Arial" w:hAnsi="Arial" w:cs="Arial"/>
          <w:sz w:val="20"/>
          <w:szCs w:val="20"/>
        </w:rPr>
        <w:t>Pt</w:t>
      </w:r>
      <w:proofErr w:type="spellEnd"/>
      <w:r w:rsidRPr="00BE4FC8">
        <w:rPr>
          <w:rFonts w:ascii="Arial" w:hAnsi="Arial" w:cs="Arial"/>
          <w:sz w:val="20"/>
          <w:szCs w:val="20"/>
        </w:rPr>
        <w:t>, skelného uhlíku a Au.</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Součástí nabídky musí být též referenční a pomocné elektrody, elektrochemické cely, rotační disková elektroda a referenční elektrody pro měření v nevodních prostředích.</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 xml:space="preserve">Přístroj musí umožňovat měření v </w:t>
      </w:r>
      <w:proofErr w:type="spellStart"/>
      <w:r w:rsidRPr="00BE4FC8">
        <w:rPr>
          <w:rFonts w:ascii="Arial" w:hAnsi="Arial" w:cs="Arial"/>
          <w:sz w:val="20"/>
          <w:szCs w:val="20"/>
        </w:rPr>
        <w:t>potenciostatickém</w:t>
      </w:r>
      <w:proofErr w:type="spellEnd"/>
      <w:r w:rsidRPr="00BE4FC8">
        <w:rPr>
          <w:rFonts w:ascii="Arial" w:hAnsi="Arial" w:cs="Arial"/>
          <w:sz w:val="20"/>
          <w:szCs w:val="20"/>
        </w:rPr>
        <w:t xml:space="preserve"> i </w:t>
      </w:r>
      <w:proofErr w:type="spellStart"/>
      <w:r w:rsidRPr="00BE4FC8">
        <w:rPr>
          <w:rFonts w:ascii="Arial" w:hAnsi="Arial" w:cs="Arial"/>
          <w:sz w:val="20"/>
          <w:szCs w:val="20"/>
        </w:rPr>
        <w:t>galvanostatickém</w:t>
      </w:r>
      <w:proofErr w:type="spellEnd"/>
      <w:r w:rsidRPr="00BE4FC8">
        <w:rPr>
          <w:rFonts w:ascii="Arial" w:hAnsi="Arial" w:cs="Arial"/>
          <w:sz w:val="20"/>
          <w:szCs w:val="20"/>
        </w:rPr>
        <w:t xml:space="preserve"> režimu. Možnost rozšíření o měření teploty.</w:t>
      </w:r>
    </w:p>
    <w:p w:rsidR="00BE4FC8" w:rsidRPr="00BE4FC8" w:rsidRDefault="00BE4FC8" w:rsidP="00BE4FC8">
      <w:pPr>
        <w:shd w:val="clear" w:color="auto" w:fill="FFFFFF"/>
        <w:spacing w:after="0"/>
        <w:jc w:val="both"/>
        <w:rPr>
          <w:rFonts w:ascii="Arial" w:hAnsi="Arial" w:cs="Arial"/>
          <w:sz w:val="20"/>
          <w:szCs w:val="20"/>
        </w:rPr>
      </w:pPr>
      <w:r w:rsidRPr="00BE4FC8">
        <w:rPr>
          <w:rFonts w:ascii="Arial" w:hAnsi="Arial" w:cs="Arial"/>
          <w:color w:val="000000"/>
          <w:sz w:val="20"/>
          <w:szCs w:val="20"/>
          <w:lang w:eastAsia="sk-SK"/>
        </w:rPr>
        <w:t xml:space="preserve">Požadované režimy měření: </w:t>
      </w:r>
      <w:r w:rsidRPr="00BE4FC8">
        <w:rPr>
          <w:rFonts w:ascii="Arial" w:hAnsi="Arial" w:cs="Arial"/>
          <w:color w:val="000000"/>
          <w:sz w:val="20"/>
          <w:szCs w:val="20"/>
          <w:lang w:val="en-GB" w:eastAsia="sk-SK"/>
        </w:rPr>
        <w:t xml:space="preserve">DP ("Differential Pulse"), SQW ("Square Wave"), CVS ("Cyclic </w:t>
      </w:r>
      <w:proofErr w:type="spellStart"/>
      <w:r w:rsidRPr="00BE4FC8">
        <w:rPr>
          <w:rFonts w:ascii="Arial" w:hAnsi="Arial" w:cs="Arial"/>
          <w:color w:val="000000"/>
          <w:sz w:val="20"/>
          <w:szCs w:val="20"/>
          <w:lang w:val="en-GB" w:eastAsia="sk-SK"/>
        </w:rPr>
        <w:t>Voltammetric</w:t>
      </w:r>
      <w:proofErr w:type="spellEnd"/>
      <w:r w:rsidRPr="00BE4FC8">
        <w:rPr>
          <w:rFonts w:ascii="Arial" w:hAnsi="Arial" w:cs="Arial"/>
          <w:color w:val="000000"/>
          <w:sz w:val="20"/>
          <w:szCs w:val="20"/>
          <w:lang w:val="en-GB" w:eastAsia="sk-SK"/>
        </w:rPr>
        <w:t xml:space="preserve"> Stripping"), CPVS ("Cyclic Pulse </w:t>
      </w:r>
      <w:proofErr w:type="spellStart"/>
      <w:r w:rsidRPr="00BE4FC8">
        <w:rPr>
          <w:rFonts w:ascii="Arial" w:hAnsi="Arial" w:cs="Arial"/>
          <w:color w:val="000000"/>
          <w:sz w:val="20"/>
          <w:szCs w:val="20"/>
          <w:lang w:val="en-GB" w:eastAsia="sk-SK"/>
        </w:rPr>
        <w:t>Voltammetric</w:t>
      </w:r>
      <w:proofErr w:type="spellEnd"/>
      <w:r w:rsidRPr="00BE4FC8">
        <w:rPr>
          <w:rFonts w:ascii="Arial" w:hAnsi="Arial" w:cs="Arial"/>
          <w:color w:val="000000"/>
          <w:sz w:val="20"/>
          <w:szCs w:val="20"/>
          <w:lang w:val="en-GB" w:eastAsia="sk-SK"/>
        </w:rPr>
        <w:t xml:space="preserve"> Stripping"), CP (</w:t>
      </w:r>
      <w:proofErr w:type="spellStart"/>
      <w:r w:rsidRPr="00BE4FC8">
        <w:rPr>
          <w:rFonts w:ascii="Arial" w:hAnsi="Arial" w:cs="Arial"/>
          <w:color w:val="000000"/>
          <w:sz w:val="20"/>
          <w:szCs w:val="20"/>
          <w:lang w:val="en-GB" w:eastAsia="sk-SK"/>
        </w:rPr>
        <w:t>Chronopotentiometry</w:t>
      </w:r>
      <w:proofErr w:type="spellEnd"/>
      <w:r w:rsidRPr="00BE4FC8">
        <w:rPr>
          <w:rFonts w:ascii="Arial" w:hAnsi="Arial" w:cs="Arial"/>
          <w:color w:val="000000"/>
          <w:sz w:val="20"/>
          <w:szCs w:val="20"/>
          <w:lang w:val="en-GB" w:eastAsia="sk-SK"/>
        </w:rPr>
        <w:t>).</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Připojení přístroje k ovládacímu počítači pomocí USB konektoru.</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Přístroj musí umožňovat rozšířit o automatické dávkování kapalin (dávkování elektrolytu, standardu, pufru) a o automatický podavač vzorků.</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Ovládací software musí umožňovat nastavení vícero typů kalibračních metod jako je metoda externí kalibrace a metoda vícenásobného přídavku standardu.</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Součástí nabídky musí být též jeden redukční ventil pro tlakovou láhev se stlačeným dusíkem vyhovující v parametrech: vstupní tlak 200bar, výstupní tlak 10bar, vstupní připojení W24,32x1/14", výstupní připojení G ¼".</w:t>
      </w:r>
      <w:r w:rsidRPr="00BE4FC8">
        <w:rPr>
          <w:rFonts w:ascii="Arial" w:hAnsi="Arial" w:cs="Arial"/>
          <w:sz w:val="20"/>
          <w:szCs w:val="20"/>
          <w:highlight w:val="yellow"/>
        </w:rPr>
        <w:t xml:space="preserve"> </w:t>
      </w:r>
    </w:p>
    <w:p w:rsidR="00BE4FC8" w:rsidRPr="00BE4FC8" w:rsidRDefault="00BE4FC8" w:rsidP="00BE4FC8">
      <w:pPr>
        <w:spacing w:after="0" w:line="240" w:lineRule="auto"/>
        <w:jc w:val="both"/>
        <w:rPr>
          <w:rFonts w:ascii="Arial" w:hAnsi="Arial" w:cs="Arial"/>
          <w:sz w:val="20"/>
          <w:szCs w:val="20"/>
        </w:rPr>
      </w:pPr>
    </w:p>
    <w:p w:rsidR="00BE4FC8" w:rsidRPr="00BE4FC8" w:rsidRDefault="00BE4FC8" w:rsidP="00BE4FC8">
      <w:pPr>
        <w:rPr>
          <w:rFonts w:ascii="Arial" w:hAnsi="Arial" w:cs="Arial"/>
          <w:sz w:val="20"/>
          <w:szCs w:val="20"/>
        </w:rPr>
      </w:pPr>
      <w:r w:rsidRPr="00BE4FC8">
        <w:rPr>
          <w:rFonts w:ascii="Arial" w:hAnsi="Arial" w:cs="Arial"/>
          <w:sz w:val="20"/>
          <w:szCs w:val="20"/>
          <w:u w:val="single"/>
        </w:rPr>
        <w:t>Záložní UPS napájecí zdroj</w:t>
      </w:r>
      <w:r w:rsidRPr="00BE4FC8">
        <w:rPr>
          <w:rFonts w:ascii="Arial" w:hAnsi="Arial" w:cs="Arial"/>
          <w:sz w:val="20"/>
          <w:szCs w:val="20"/>
          <w:u w:val="single"/>
        </w:rPr>
        <w:br/>
      </w:r>
      <w:r w:rsidRPr="00BE4FC8">
        <w:rPr>
          <w:rFonts w:ascii="Arial" w:hAnsi="Arial" w:cs="Arial"/>
          <w:sz w:val="20"/>
          <w:szCs w:val="20"/>
        </w:rPr>
        <w:t>Výkon: min. 600 W; Technologie Line-interaktivní; Osazený min. 2x akumulátory, nebo akumulátorem o min. kapacitě 170 Wh; Min. 2x výstupní zálohovaná zásuvka pro vidlice typu E či F (</w:t>
      </w:r>
      <w:proofErr w:type="spellStart"/>
      <w:r w:rsidRPr="00BE4FC8">
        <w:rPr>
          <w:rFonts w:ascii="Arial" w:hAnsi="Arial" w:cs="Arial"/>
          <w:sz w:val="20"/>
          <w:szCs w:val="20"/>
        </w:rPr>
        <w:t>FRance</w:t>
      </w:r>
      <w:proofErr w:type="spellEnd"/>
      <w:r w:rsidRPr="00BE4FC8">
        <w:rPr>
          <w:rFonts w:ascii="Arial" w:hAnsi="Arial" w:cs="Arial"/>
          <w:sz w:val="20"/>
          <w:szCs w:val="20"/>
        </w:rPr>
        <w:t xml:space="preserve"> či </w:t>
      </w:r>
      <w:proofErr w:type="spellStart"/>
      <w:r w:rsidRPr="00BE4FC8">
        <w:rPr>
          <w:rFonts w:ascii="Arial" w:hAnsi="Arial" w:cs="Arial"/>
          <w:sz w:val="20"/>
          <w:szCs w:val="20"/>
        </w:rPr>
        <w:t>DEutschland</w:t>
      </w:r>
      <w:proofErr w:type="spellEnd"/>
      <w:r w:rsidRPr="00BE4FC8">
        <w:rPr>
          <w:rFonts w:ascii="Arial" w:hAnsi="Arial" w:cs="Arial"/>
          <w:sz w:val="20"/>
          <w:szCs w:val="20"/>
        </w:rPr>
        <w:t>/</w:t>
      </w:r>
      <w:proofErr w:type="spellStart"/>
      <w:r w:rsidRPr="00BE4FC8">
        <w:rPr>
          <w:rFonts w:ascii="Arial" w:hAnsi="Arial" w:cs="Arial"/>
          <w:sz w:val="20"/>
          <w:szCs w:val="20"/>
        </w:rPr>
        <w:t>Schuko</w:t>
      </w:r>
      <w:proofErr w:type="spellEnd"/>
      <w:r w:rsidRPr="00BE4FC8">
        <w:rPr>
          <w:rFonts w:ascii="Arial" w:hAnsi="Arial" w:cs="Arial"/>
          <w:sz w:val="20"/>
          <w:szCs w:val="20"/>
        </w:rPr>
        <w:t>); Ochrana proti proudovým rázům; Záruka 2 roky.</w:t>
      </w:r>
    </w:p>
    <w:p w:rsidR="00BE4FC8" w:rsidRPr="00BE4FC8" w:rsidRDefault="00BE4FC8" w:rsidP="00BE4FC8">
      <w:pPr>
        <w:jc w:val="both"/>
        <w:rPr>
          <w:rFonts w:ascii="Arial" w:hAnsi="Arial" w:cs="Arial"/>
          <w:sz w:val="20"/>
          <w:szCs w:val="20"/>
        </w:rPr>
      </w:pPr>
      <w:r w:rsidRPr="00BE4FC8">
        <w:rPr>
          <w:rFonts w:ascii="Arial" w:hAnsi="Arial" w:cs="Arial"/>
          <w:sz w:val="20"/>
          <w:szCs w:val="20"/>
          <w:u w:val="single"/>
        </w:rPr>
        <w:t>Notebook k ovládání Polarografu a zpracování naměřených dat</w:t>
      </w:r>
    </w:p>
    <w:p w:rsidR="00BE4FC8" w:rsidRPr="00BE4FC8" w:rsidRDefault="00BE4FC8" w:rsidP="00BE4FC8">
      <w:pPr>
        <w:jc w:val="both"/>
        <w:rPr>
          <w:rFonts w:ascii="Arial" w:hAnsi="Arial" w:cs="Arial"/>
          <w:sz w:val="20"/>
          <w:szCs w:val="20"/>
        </w:rPr>
      </w:pPr>
      <w:r w:rsidRPr="00BE4FC8">
        <w:rPr>
          <w:rFonts w:ascii="Arial" w:hAnsi="Arial" w:cs="Arial"/>
          <w:sz w:val="20"/>
          <w:szCs w:val="20"/>
        </w:rPr>
        <w:t xml:space="preserve">Displej 17,3" s rozlišením </w:t>
      </w:r>
      <w:proofErr w:type="spellStart"/>
      <w:r w:rsidRPr="00BE4FC8">
        <w:rPr>
          <w:rFonts w:ascii="Arial" w:hAnsi="Arial" w:cs="Arial"/>
          <w:sz w:val="20"/>
          <w:szCs w:val="20"/>
        </w:rPr>
        <w:t>FullHD</w:t>
      </w:r>
      <w:proofErr w:type="spellEnd"/>
      <w:r w:rsidRPr="00BE4FC8">
        <w:rPr>
          <w:rFonts w:ascii="Arial" w:hAnsi="Arial" w:cs="Arial"/>
          <w:sz w:val="20"/>
          <w:szCs w:val="20"/>
        </w:rPr>
        <w:t xml:space="preserve"> (1920x1080), IPS matný; Procesor CPU x86-64 kompatibilní, </w:t>
      </w:r>
      <w:proofErr w:type="spellStart"/>
      <w:r w:rsidRPr="00BE4FC8">
        <w:rPr>
          <w:rFonts w:ascii="Arial" w:hAnsi="Arial" w:cs="Arial"/>
          <w:sz w:val="20"/>
          <w:szCs w:val="20"/>
        </w:rPr>
        <w:t>PassMark</w:t>
      </w:r>
      <w:proofErr w:type="spellEnd"/>
      <w:r w:rsidRPr="00BE4FC8">
        <w:rPr>
          <w:rFonts w:ascii="Arial" w:hAnsi="Arial" w:cs="Arial"/>
          <w:sz w:val="20"/>
          <w:szCs w:val="20"/>
        </w:rPr>
        <w:t xml:space="preserve"> CPU Mark min. 12350 bodů (2250 single </w:t>
      </w:r>
      <w:proofErr w:type="spellStart"/>
      <w:r w:rsidRPr="00BE4FC8">
        <w:rPr>
          <w:rFonts w:ascii="Arial" w:hAnsi="Arial" w:cs="Arial"/>
          <w:sz w:val="20"/>
          <w:szCs w:val="20"/>
        </w:rPr>
        <w:t>thread</w:t>
      </w:r>
      <w:proofErr w:type="spellEnd"/>
      <w:r w:rsidRPr="00BE4FC8">
        <w:rPr>
          <w:rFonts w:ascii="Arial" w:hAnsi="Arial" w:cs="Arial"/>
          <w:sz w:val="20"/>
          <w:szCs w:val="20"/>
        </w:rPr>
        <w:t xml:space="preserve">) dle </w:t>
      </w:r>
      <w:hyperlink r:id="rId5" w:anchor="_blank" w:history="1">
        <w:r w:rsidRPr="00BE4FC8">
          <w:rPr>
            <w:rStyle w:val="Hypertextovodkaz"/>
            <w:rFonts w:ascii="Arial" w:hAnsi="Arial" w:cs="Arial"/>
            <w:sz w:val="20"/>
            <w:szCs w:val="20"/>
          </w:rPr>
          <w:t>www.cpubenchmark.net</w:t>
        </w:r>
      </w:hyperlink>
      <w:r w:rsidRPr="00BE4FC8">
        <w:rPr>
          <w:rFonts w:ascii="Arial" w:hAnsi="Arial" w:cs="Arial"/>
          <w:sz w:val="20"/>
          <w:szCs w:val="20"/>
        </w:rPr>
        <w:t xml:space="preserve">, celková průměrná hodnota bodů ze všech měření dle </w:t>
      </w:r>
      <w:hyperlink r:id="rId6" w:history="1">
        <w:r w:rsidRPr="00BE4FC8">
          <w:rPr>
            <w:rStyle w:val="Hypertextovodkaz"/>
            <w:rFonts w:ascii="Arial" w:hAnsi="Arial" w:cs="Arial"/>
            <w:sz w:val="20"/>
            <w:szCs w:val="20"/>
          </w:rPr>
          <w:t>www.cpubenchmark.net</w:t>
        </w:r>
      </w:hyperlink>
      <w:r w:rsidRPr="00BE4FC8">
        <w:rPr>
          <w:rFonts w:ascii="Arial" w:hAnsi="Arial" w:cs="Arial"/>
          <w:sz w:val="20"/>
          <w:szCs w:val="20"/>
        </w:rPr>
        <w:t xml:space="preserve">; Operační paměť 16GB DDR4; Disk 1: SSD 256GB; Disk 2: HDD 2TB; Alespoň 3x USB (min. 1x </w:t>
      </w:r>
      <w:proofErr w:type="gramStart"/>
      <w:r w:rsidRPr="00BE4FC8">
        <w:rPr>
          <w:rFonts w:ascii="Arial" w:hAnsi="Arial" w:cs="Arial"/>
          <w:sz w:val="20"/>
          <w:szCs w:val="20"/>
        </w:rPr>
        <w:t>USB 3.x);</w:t>
      </w:r>
      <w:proofErr w:type="gramEnd"/>
      <w:r w:rsidRPr="00BE4FC8">
        <w:rPr>
          <w:rFonts w:ascii="Arial" w:hAnsi="Arial" w:cs="Arial"/>
          <w:sz w:val="20"/>
          <w:szCs w:val="20"/>
        </w:rPr>
        <w:t xml:space="preserve"> 1GB ETH a </w:t>
      </w:r>
      <w:proofErr w:type="spellStart"/>
      <w:r w:rsidRPr="00BE4FC8">
        <w:rPr>
          <w:rFonts w:ascii="Arial" w:hAnsi="Arial" w:cs="Arial"/>
          <w:sz w:val="20"/>
          <w:szCs w:val="20"/>
        </w:rPr>
        <w:t>WiFi</w:t>
      </w:r>
      <w:proofErr w:type="spellEnd"/>
      <w:r w:rsidRPr="00BE4FC8">
        <w:rPr>
          <w:rFonts w:ascii="Arial" w:hAnsi="Arial" w:cs="Arial"/>
          <w:sz w:val="20"/>
          <w:szCs w:val="20"/>
        </w:rPr>
        <w:t xml:space="preserve"> </w:t>
      </w:r>
      <w:proofErr w:type="spellStart"/>
      <w:r w:rsidRPr="00BE4FC8">
        <w:rPr>
          <w:rFonts w:ascii="Arial" w:hAnsi="Arial" w:cs="Arial"/>
          <w:sz w:val="20"/>
          <w:szCs w:val="20"/>
        </w:rPr>
        <w:t>ac</w:t>
      </w:r>
      <w:proofErr w:type="spellEnd"/>
      <w:r w:rsidRPr="00BE4FC8">
        <w:rPr>
          <w:rFonts w:ascii="Arial" w:hAnsi="Arial" w:cs="Arial"/>
          <w:sz w:val="20"/>
          <w:szCs w:val="20"/>
        </w:rPr>
        <w:t>; Dedikovaná grafická karta s pamětí min. 4GB GDDR5; Vestavěná klávesnice s numerickou částí; Baterie min. 50 Wh; 64bitový operační systém, aktuální CZ verze nabízená výrobcem. Kompatibilní se stávajícím počítačovým prostředím univerzity. OS podporovaný výrobcem (formou aktualizací) min. do roku 2025. Licence nesmí být formou upgrade ze starší verze; Hmotnost do 3 Kg; Záruka 2 roky, oprava následující pracovní den on-</w:t>
      </w:r>
      <w:proofErr w:type="spellStart"/>
      <w:r w:rsidRPr="00BE4FC8">
        <w:rPr>
          <w:rFonts w:ascii="Arial" w:hAnsi="Arial" w:cs="Arial"/>
          <w:sz w:val="20"/>
          <w:szCs w:val="20"/>
        </w:rPr>
        <w:t>site</w:t>
      </w:r>
      <w:proofErr w:type="spellEnd"/>
      <w:r w:rsidRPr="00BE4FC8">
        <w:rPr>
          <w:rFonts w:ascii="Arial" w:hAnsi="Arial" w:cs="Arial"/>
          <w:sz w:val="20"/>
          <w:szCs w:val="20"/>
        </w:rPr>
        <w:t>; Příslušenství: USB optická myš s kolečkem.</w:t>
      </w:r>
    </w:p>
    <w:p w:rsidR="00BE4FC8" w:rsidRPr="00BE4FC8" w:rsidRDefault="00BE4FC8" w:rsidP="00BE4FC8">
      <w:pPr>
        <w:rPr>
          <w:rFonts w:ascii="Arial" w:hAnsi="Arial" w:cs="Arial"/>
          <w:sz w:val="20"/>
          <w:szCs w:val="20"/>
          <w:u w:val="single"/>
        </w:rPr>
      </w:pPr>
      <w:r w:rsidRPr="00BE4FC8">
        <w:rPr>
          <w:rFonts w:ascii="Arial" w:hAnsi="Arial" w:cs="Arial"/>
          <w:sz w:val="20"/>
          <w:szCs w:val="20"/>
          <w:u w:val="single"/>
        </w:rPr>
        <w:t>Přenosný pevný disk externí</w:t>
      </w:r>
      <w:r w:rsidRPr="00BE4FC8">
        <w:rPr>
          <w:rFonts w:ascii="Arial" w:hAnsi="Arial" w:cs="Arial"/>
          <w:b/>
          <w:bCs/>
          <w:sz w:val="20"/>
          <w:szCs w:val="20"/>
        </w:rPr>
        <w:br/>
      </w:r>
      <w:r w:rsidRPr="00BE4FC8">
        <w:rPr>
          <w:rFonts w:ascii="Arial" w:hAnsi="Arial" w:cs="Arial"/>
          <w:sz w:val="20"/>
          <w:szCs w:val="20"/>
        </w:rPr>
        <w:t>Formát 2,5"; Rozhraní USB 3.0; Kapacita 3TB; Napájení z portu USB; Záruka 2 roky.</w:t>
      </w:r>
      <w:r w:rsidRPr="00BE4FC8">
        <w:rPr>
          <w:rFonts w:ascii="Arial" w:hAnsi="Arial" w:cs="Arial"/>
          <w:sz w:val="20"/>
          <w:szCs w:val="20"/>
        </w:rPr>
        <w:br/>
      </w:r>
    </w:p>
    <w:p w:rsidR="00BE4FC8" w:rsidRPr="00BE4FC8" w:rsidRDefault="00BE4FC8" w:rsidP="00BE4FC8">
      <w:pPr>
        <w:jc w:val="both"/>
        <w:rPr>
          <w:rFonts w:ascii="Arial" w:hAnsi="Arial" w:cs="Arial"/>
          <w:sz w:val="20"/>
          <w:szCs w:val="20"/>
        </w:rPr>
      </w:pPr>
      <w:r w:rsidRPr="00BE4FC8">
        <w:rPr>
          <w:rFonts w:ascii="Arial" w:hAnsi="Arial" w:cs="Arial"/>
          <w:sz w:val="20"/>
          <w:szCs w:val="20"/>
          <w:u w:val="single"/>
        </w:rPr>
        <w:t>Doba dodání</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t>Do 12 týdnů od podpisu smlouvy.</w:t>
      </w:r>
    </w:p>
    <w:p w:rsidR="00BE4FC8" w:rsidRPr="00BE4FC8" w:rsidRDefault="00BE4FC8" w:rsidP="00BE4FC8">
      <w:pPr>
        <w:spacing w:after="0"/>
        <w:jc w:val="both"/>
        <w:rPr>
          <w:rFonts w:ascii="Arial" w:hAnsi="Arial" w:cs="Arial"/>
          <w:sz w:val="20"/>
          <w:szCs w:val="20"/>
          <w:highlight w:val="yellow"/>
          <w:u w:val="single"/>
        </w:rPr>
      </w:pP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u w:val="single"/>
        </w:rPr>
        <w:t>Obecné požadavky dodávky</w:t>
      </w:r>
    </w:p>
    <w:p w:rsidR="00BE4FC8" w:rsidRPr="00BE4FC8" w:rsidRDefault="00BE4FC8" w:rsidP="00BE4FC8">
      <w:pPr>
        <w:spacing w:after="0"/>
        <w:jc w:val="both"/>
        <w:rPr>
          <w:rFonts w:ascii="Arial" w:hAnsi="Arial" w:cs="Arial"/>
          <w:sz w:val="20"/>
          <w:szCs w:val="20"/>
        </w:rPr>
      </w:pPr>
      <w:r w:rsidRPr="00BE4FC8">
        <w:rPr>
          <w:rFonts w:ascii="Arial" w:hAnsi="Arial" w:cs="Arial"/>
          <w:sz w:val="20"/>
          <w:szCs w:val="20"/>
        </w:rPr>
        <w:lastRenderedPageBreak/>
        <w:t>Záruka minimálně 24 měsíců.</w:t>
      </w:r>
    </w:p>
    <w:p w:rsidR="00BE4FC8" w:rsidRPr="00BE4FC8" w:rsidRDefault="00BE4FC8" w:rsidP="00BE4FC8">
      <w:pPr>
        <w:jc w:val="both"/>
        <w:rPr>
          <w:rFonts w:ascii="Arial" w:hAnsi="Arial" w:cs="Arial"/>
          <w:b/>
          <w:sz w:val="20"/>
          <w:szCs w:val="20"/>
        </w:rPr>
      </w:pPr>
      <w:r w:rsidRPr="00BE4FC8">
        <w:rPr>
          <w:rFonts w:ascii="Arial" w:hAnsi="Arial" w:cs="Arial"/>
          <w:sz w:val="20"/>
          <w:szCs w:val="20"/>
        </w:rPr>
        <w:t>V ceně přístroje bude zahrnuta cena za instalaci a předvedení funkčnosti zařízení, zaškolení obsluhy během doby instalace a aplikační podporu po celou dobu životnosti přístroje. Garance dostupnosti náhradních dílů minimálně 10 let.</w:t>
      </w:r>
    </w:p>
    <w:sectPr w:rsidR="00BE4FC8" w:rsidRPr="00BE4FC8" w:rsidSect="00545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7CF51FB7"/>
    <w:multiLevelType w:val="hybridMultilevel"/>
    <w:tmpl w:val="AE5A2EE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847"/>
    <w:rsid w:val="00022208"/>
    <w:rsid w:val="00034BA9"/>
    <w:rsid w:val="000B7663"/>
    <w:rsid w:val="000D69B4"/>
    <w:rsid w:val="003001C2"/>
    <w:rsid w:val="004437A9"/>
    <w:rsid w:val="00493D03"/>
    <w:rsid w:val="0054569E"/>
    <w:rsid w:val="005F6C70"/>
    <w:rsid w:val="00644932"/>
    <w:rsid w:val="008E539C"/>
    <w:rsid w:val="00960E2D"/>
    <w:rsid w:val="009B43E1"/>
    <w:rsid w:val="009B597F"/>
    <w:rsid w:val="009D425C"/>
    <w:rsid w:val="00A824A2"/>
    <w:rsid w:val="00AE6CE2"/>
    <w:rsid w:val="00BD5E78"/>
    <w:rsid w:val="00BE4FC8"/>
    <w:rsid w:val="00C57847"/>
    <w:rsid w:val="00DB2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D6852"/>
  <w15:docId w15:val="{BD62A46B-2951-4C31-982E-C7AA002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569E"/>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57847"/>
    <w:pPr>
      <w:ind w:left="720"/>
      <w:contextualSpacing/>
    </w:pPr>
  </w:style>
  <w:style w:type="character" w:styleId="Odkaznakoment">
    <w:name w:val="annotation reference"/>
    <w:basedOn w:val="Standardnpsmoodstavce"/>
    <w:uiPriority w:val="99"/>
    <w:semiHidden/>
    <w:rsid w:val="005F6C70"/>
    <w:rPr>
      <w:rFonts w:cs="Times New Roman"/>
      <w:sz w:val="16"/>
      <w:szCs w:val="16"/>
    </w:rPr>
  </w:style>
  <w:style w:type="paragraph" w:styleId="Textkomente">
    <w:name w:val="annotation text"/>
    <w:basedOn w:val="Normln"/>
    <w:link w:val="TextkomenteChar"/>
    <w:uiPriority w:val="99"/>
    <w:semiHidden/>
    <w:rsid w:val="005F6C70"/>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F6C70"/>
    <w:rPr>
      <w:rFonts w:cs="Times New Roman"/>
      <w:sz w:val="20"/>
      <w:szCs w:val="20"/>
    </w:rPr>
  </w:style>
  <w:style w:type="paragraph" w:styleId="Pedmtkomente">
    <w:name w:val="annotation subject"/>
    <w:basedOn w:val="Textkomente"/>
    <w:next w:val="Textkomente"/>
    <w:link w:val="PedmtkomenteChar"/>
    <w:uiPriority w:val="99"/>
    <w:semiHidden/>
    <w:rsid w:val="005F6C70"/>
    <w:rPr>
      <w:b/>
      <w:bCs/>
    </w:rPr>
  </w:style>
  <w:style w:type="character" w:customStyle="1" w:styleId="PedmtkomenteChar">
    <w:name w:val="Předmět komentáře Char"/>
    <w:basedOn w:val="TextkomenteChar"/>
    <w:link w:val="Pedmtkomente"/>
    <w:uiPriority w:val="99"/>
    <w:semiHidden/>
    <w:locked/>
    <w:rsid w:val="005F6C70"/>
    <w:rPr>
      <w:rFonts w:cs="Times New Roman"/>
      <w:b/>
      <w:bCs/>
      <w:sz w:val="20"/>
      <w:szCs w:val="20"/>
    </w:rPr>
  </w:style>
  <w:style w:type="paragraph" w:styleId="Textbubliny">
    <w:name w:val="Balloon Text"/>
    <w:basedOn w:val="Normln"/>
    <w:link w:val="TextbublinyChar"/>
    <w:uiPriority w:val="99"/>
    <w:semiHidden/>
    <w:rsid w:val="005F6C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5F6C70"/>
    <w:rPr>
      <w:rFonts w:ascii="Segoe UI" w:hAnsi="Segoe UI" w:cs="Segoe UI"/>
      <w:sz w:val="18"/>
      <w:szCs w:val="18"/>
    </w:rPr>
  </w:style>
  <w:style w:type="character" w:styleId="Hypertextovodkaz">
    <w:name w:val="Hyperlink"/>
    <w:rsid w:val="00BE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 TargetMode="External"/><Relationship Id="rId5" Type="http://schemas.openxmlformats.org/officeDocument/2006/relationships/hyperlink" Target="http://www.cpubenchmar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3215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UJEP</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CapkovaP</dc:creator>
  <cp:keywords/>
  <dc:description/>
  <cp:lastModifiedBy>potmesill</cp:lastModifiedBy>
  <cp:revision>4</cp:revision>
  <dcterms:created xsi:type="dcterms:W3CDTF">2019-05-30T08:46:00Z</dcterms:created>
  <dcterms:modified xsi:type="dcterms:W3CDTF">2019-06-21T10:34:00Z</dcterms:modified>
</cp:coreProperties>
</file>