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4D604A" w:rsidRPr="006C22C8" w:rsidRDefault="004D604A" w:rsidP="004D604A">
      <w:pPr>
        <w:jc w:val="center"/>
        <w:rPr>
          <w:rFonts w:ascii="Garamond" w:hAnsi="Garamond"/>
          <w:b/>
          <w:sz w:val="40"/>
          <w:szCs w:val="40"/>
        </w:rPr>
      </w:pPr>
      <w:r w:rsidRPr="006C22C8">
        <w:rPr>
          <w:rFonts w:ascii="Garamond" w:hAnsi="Garamond"/>
          <w:b/>
          <w:sz w:val="40"/>
          <w:szCs w:val="40"/>
        </w:rPr>
        <w:t xml:space="preserve">SMLOUVA O NÁJMU </w:t>
      </w:r>
    </w:p>
    <w:p w:rsidR="004D604A" w:rsidRPr="006C22C8" w:rsidRDefault="004D604A" w:rsidP="004D604A">
      <w:pPr>
        <w:jc w:val="center"/>
        <w:rPr>
          <w:rFonts w:ascii="Garamond" w:hAnsi="Garamond"/>
          <w:b/>
          <w:sz w:val="40"/>
          <w:szCs w:val="40"/>
        </w:rPr>
      </w:pPr>
      <w:r w:rsidRPr="006C22C8">
        <w:rPr>
          <w:rFonts w:ascii="Garamond" w:hAnsi="Garamond"/>
          <w:b/>
          <w:sz w:val="40"/>
          <w:szCs w:val="40"/>
        </w:rPr>
        <w:t>prostoru sloužícího k podnikání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4D604A" w:rsidRPr="006C22C8" w:rsidRDefault="004D604A" w:rsidP="004D604A">
      <w:pPr>
        <w:jc w:val="both"/>
        <w:rPr>
          <w:rFonts w:ascii="Garamond" w:hAnsi="Garamond"/>
        </w:rPr>
      </w:pPr>
      <w:r w:rsidRPr="006C22C8">
        <w:rPr>
          <w:rFonts w:ascii="Garamond" w:hAnsi="Garamond"/>
        </w:rPr>
        <w:t>Níže uvedeného dne, měsíce a roku</w:t>
      </w:r>
      <w:r w:rsidR="0035590E" w:rsidRPr="006C22C8">
        <w:rPr>
          <w:rFonts w:ascii="Garamond" w:hAnsi="Garamond"/>
        </w:rPr>
        <w:t xml:space="preserve"> </w:t>
      </w:r>
      <w:r w:rsidRPr="006C22C8">
        <w:rPr>
          <w:rFonts w:ascii="Garamond" w:hAnsi="Garamond"/>
        </w:rPr>
        <w:t>uzavřely tyto strany: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35590E" w:rsidRPr="006C22C8" w:rsidRDefault="0035590E" w:rsidP="0035590E">
      <w:pPr>
        <w:jc w:val="both"/>
        <w:rPr>
          <w:rFonts w:ascii="Garamond" w:hAnsi="Garamond"/>
          <w:b/>
          <w:bCs/>
          <w:iCs/>
        </w:rPr>
      </w:pPr>
      <w:r w:rsidRPr="006C22C8">
        <w:rPr>
          <w:rFonts w:ascii="Garamond" w:hAnsi="Garamond"/>
          <w:b/>
          <w:bCs/>
          <w:iCs/>
        </w:rPr>
        <w:t>Česká republika – Okresní soud v Liberci</w:t>
      </w:r>
    </w:p>
    <w:p w:rsidR="0035590E" w:rsidRPr="006C22C8" w:rsidRDefault="0035590E" w:rsidP="0035590E">
      <w:pPr>
        <w:jc w:val="both"/>
        <w:rPr>
          <w:rFonts w:ascii="Garamond" w:hAnsi="Garamond"/>
        </w:rPr>
      </w:pPr>
      <w:r w:rsidRPr="006C22C8">
        <w:rPr>
          <w:rFonts w:ascii="Garamond" w:hAnsi="Garamond"/>
          <w:bCs/>
          <w:iCs/>
        </w:rPr>
        <w:t xml:space="preserve">se sídlem: </w:t>
      </w:r>
      <w:r w:rsidRPr="006C22C8">
        <w:rPr>
          <w:rStyle w:val="Siln"/>
          <w:rFonts w:ascii="Garamond" w:hAnsi="Garamond"/>
          <w:b w:val="0"/>
          <w:color w:val="030303"/>
        </w:rPr>
        <w:t>U Soudu 540/3, 460 72 Liberec</w:t>
      </w:r>
      <w:r w:rsidRPr="006C22C8">
        <w:rPr>
          <w:rFonts w:ascii="Garamond" w:hAnsi="Garamond"/>
          <w:bCs/>
          <w:iCs/>
        </w:rPr>
        <w:t xml:space="preserve"> </w:t>
      </w:r>
    </w:p>
    <w:p w:rsidR="0035590E" w:rsidRPr="006C22C8" w:rsidRDefault="0035590E" w:rsidP="0035590E">
      <w:pPr>
        <w:rPr>
          <w:rFonts w:ascii="Garamond" w:hAnsi="Garamond"/>
          <w:b/>
          <w:bCs/>
          <w:iCs/>
        </w:rPr>
      </w:pPr>
      <w:r w:rsidRPr="006C22C8">
        <w:rPr>
          <w:rFonts w:ascii="Garamond" w:hAnsi="Garamond"/>
          <w:bCs/>
          <w:iCs/>
        </w:rPr>
        <w:t xml:space="preserve">IČO: </w:t>
      </w:r>
      <w:r w:rsidRPr="006C22C8">
        <w:rPr>
          <w:rStyle w:val="Siln"/>
          <w:rFonts w:ascii="Garamond" w:hAnsi="Garamond"/>
          <w:b w:val="0"/>
          <w:color w:val="030303"/>
        </w:rPr>
        <w:t>000 24 864</w:t>
      </w:r>
    </w:p>
    <w:p w:rsidR="004D604A" w:rsidRPr="006C22C8" w:rsidRDefault="0035590E" w:rsidP="0035590E">
      <w:pPr>
        <w:rPr>
          <w:rFonts w:ascii="Garamond" w:hAnsi="Garamond"/>
          <w:iCs/>
        </w:rPr>
      </w:pPr>
      <w:r w:rsidRPr="006C22C8">
        <w:rPr>
          <w:rFonts w:ascii="Garamond" w:hAnsi="Garamond"/>
          <w:bCs/>
          <w:iCs/>
        </w:rPr>
        <w:t xml:space="preserve">zastoupená předsedkyní soudu JUDr. Ivanou </w:t>
      </w:r>
      <w:proofErr w:type="spellStart"/>
      <w:r w:rsidRPr="006C22C8">
        <w:rPr>
          <w:rFonts w:ascii="Garamond" w:hAnsi="Garamond"/>
          <w:bCs/>
          <w:iCs/>
        </w:rPr>
        <w:t>Šoljakovou</w:t>
      </w:r>
      <w:proofErr w:type="spellEnd"/>
      <w:r w:rsidRPr="006C22C8">
        <w:rPr>
          <w:rFonts w:ascii="Garamond" w:hAnsi="Garamond"/>
          <w:iCs/>
        </w:rPr>
        <w:br/>
      </w:r>
      <w:r w:rsidR="004D604A" w:rsidRPr="006C22C8">
        <w:rPr>
          <w:rFonts w:ascii="Garamond" w:hAnsi="Garamond"/>
        </w:rPr>
        <w:t xml:space="preserve">bankovní spojení: účet č. </w:t>
      </w:r>
      <w:r w:rsidR="006C22C8">
        <w:rPr>
          <w:rFonts w:ascii="Garamond" w:hAnsi="Garamond"/>
        </w:rPr>
        <w:t xml:space="preserve">………   </w:t>
      </w:r>
      <w:bookmarkStart w:id="0" w:name="_GoBack"/>
      <w:bookmarkEnd w:id="0"/>
      <w:r w:rsidR="004D604A" w:rsidRPr="006C22C8">
        <w:rPr>
          <w:rFonts w:ascii="Garamond" w:hAnsi="Garamond"/>
        </w:rPr>
        <w:t>vedený u ČNB v Ústí nad Labem</w:t>
      </w:r>
    </w:p>
    <w:p w:rsidR="004D604A" w:rsidRPr="006C22C8" w:rsidRDefault="004D604A" w:rsidP="004D604A">
      <w:pPr>
        <w:jc w:val="both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>na straně jedné jako pronajímatel, dále jen pronajímatel</w:t>
      </w:r>
    </w:p>
    <w:p w:rsidR="004D604A" w:rsidRPr="006C22C8" w:rsidRDefault="004D604A" w:rsidP="004D604A">
      <w:pPr>
        <w:rPr>
          <w:rFonts w:ascii="Garamond" w:hAnsi="Garamond"/>
          <w:lang w:eastAsia="en-US"/>
        </w:rPr>
      </w:pPr>
    </w:p>
    <w:p w:rsidR="004D604A" w:rsidRPr="006C22C8" w:rsidRDefault="004D604A" w:rsidP="004D604A">
      <w:pPr>
        <w:rPr>
          <w:rFonts w:ascii="Garamond" w:hAnsi="Garamond"/>
        </w:rPr>
      </w:pPr>
      <w:r w:rsidRPr="006C22C8">
        <w:rPr>
          <w:rFonts w:ascii="Garamond" w:hAnsi="Garamond"/>
        </w:rPr>
        <w:t>a</w:t>
      </w:r>
    </w:p>
    <w:p w:rsidR="0035590E" w:rsidRPr="006C22C8" w:rsidRDefault="0035590E" w:rsidP="004D604A">
      <w:pPr>
        <w:rPr>
          <w:rFonts w:ascii="Garamond" w:hAnsi="Garamond"/>
          <w:b/>
        </w:rPr>
      </w:pPr>
    </w:p>
    <w:tbl>
      <w:tblPr>
        <w:tblW w:w="13943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4"/>
        <w:gridCol w:w="4819"/>
      </w:tblGrid>
      <w:tr w:rsidR="0035590E" w:rsidRPr="006C22C8" w:rsidTr="00FD327C">
        <w:trPr>
          <w:cantSplit/>
        </w:trPr>
        <w:tc>
          <w:tcPr>
            <w:tcW w:w="9124" w:type="dxa"/>
          </w:tcPr>
          <w:p w:rsidR="0035590E" w:rsidRPr="006C22C8" w:rsidRDefault="0035590E" w:rsidP="006345DF">
            <w:pPr>
              <w:rPr>
                <w:rFonts w:ascii="Garamond" w:hAnsi="Garamond"/>
              </w:rPr>
            </w:pPr>
            <w:r w:rsidRPr="006C22C8">
              <w:rPr>
                <w:rFonts w:ascii="Garamond" w:hAnsi="Garamond"/>
              </w:rPr>
              <w:t>obchodní firma:</w:t>
            </w:r>
            <w:r w:rsidR="00FD327C" w:rsidRPr="006C22C8">
              <w:rPr>
                <w:rFonts w:ascii="Garamond" w:hAnsi="Garamond"/>
              </w:rPr>
              <w:t xml:space="preserve"> </w:t>
            </w:r>
            <w:proofErr w:type="spellStart"/>
            <w:r w:rsidR="00FD327C" w:rsidRPr="006C22C8">
              <w:rPr>
                <w:rFonts w:ascii="Garamond" w:hAnsi="Garamond"/>
                <w:b/>
              </w:rPr>
              <w:t>Compass</w:t>
            </w:r>
            <w:proofErr w:type="spellEnd"/>
            <w:r w:rsidR="00FD327C" w:rsidRPr="006C22C8">
              <w:rPr>
                <w:rFonts w:ascii="Garamond" w:hAnsi="Garamond"/>
                <w:b/>
              </w:rPr>
              <w:t xml:space="preserve"> Group Czech Republic, s. r. o.</w:t>
            </w:r>
          </w:p>
        </w:tc>
        <w:tc>
          <w:tcPr>
            <w:tcW w:w="4819" w:type="dxa"/>
          </w:tcPr>
          <w:p w:rsidR="0035590E" w:rsidRPr="006C22C8" w:rsidRDefault="0035590E" w:rsidP="006345DF">
            <w:pPr>
              <w:rPr>
                <w:rFonts w:ascii="Garamond" w:hAnsi="Garamond"/>
                <w:b/>
              </w:rPr>
            </w:pPr>
          </w:p>
        </w:tc>
      </w:tr>
      <w:tr w:rsidR="0035590E" w:rsidRPr="006C22C8" w:rsidTr="00FD327C">
        <w:trPr>
          <w:cantSplit/>
        </w:trPr>
        <w:tc>
          <w:tcPr>
            <w:tcW w:w="9124" w:type="dxa"/>
          </w:tcPr>
          <w:p w:rsidR="0035590E" w:rsidRPr="006C22C8" w:rsidRDefault="0035590E" w:rsidP="006345DF">
            <w:pPr>
              <w:rPr>
                <w:rFonts w:ascii="Garamond" w:hAnsi="Garamond"/>
              </w:rPr>
            </w:pPr>
            <w:r w:rsidRPr="006C22C8">
              <w:rPr>
                <w:rFonts w:ascii="Garamond" w:hAnsi="Garamond"/>
              </w:rPr>
              <w:t>se sídlem</w:t>
            </w:r>
            <w:r w:rsidR="00AD4505" w:rsidRPr="006C22C8">
              <w:rPr>
                <w:rFonts w:ascii="Garamond" w:hAnsi="Garamond"/>
              </w:rPr>
              <w:t>:</w:t>
            </w:r>
            <w:r w:rsidR="00FD327C" w:rsidRPr="006C22C8">
              <w:rPr>
                <w:rFonts w:ascii="Garamond" w:hAnsi="Garamond"/>
              </w:rPr>
              <w:t xml:space="preserve"> Jankovcova 1603/47a, 170 00 Praha 7</w:t>
            </w:r>
          </w:p>
        </w:tc>
        <w:tc>
          <w:tcPr>
            <w:tcW w:w="4819" w:type="dxa"/>
          </w:tcPr>
          <w:p w:rsidR="0035590E" w:rsidRPr="006C22C8" w:rsidRDefault="0035590E" w:rsidP="006345DF">
            <w:pPr>
              <w:rPr>
                <w:rFonts w:ascii="Garamond" w:hAnsi="Garamond"/>
                <w:b/>
              </w:rPr>
            </w:pPr>
          </w:p>
        </w:tc>
      </w:tr>
      <w:tr w:rsidR="0035590E" w:rsidRPr="006C22C8" w:rsidTr="00FD327C">
        <w:trPr>
          <w:cantSplit/>
        </w:trPr>
        <w:tc>
          <w:tcPr>
            <w:tcW w:w="9124" w:type="dxa"/>
          </w:tcPr>
          <w:p w:rsidR="0035590E" w:rsidRPr="006C22C8" w:rsidRDefault="0035590E" w:rsidP="006345DF">
            <w:pPr>
              <w:rPr>
                <w:rFonts w:ascii="Garamond" w:hAnsi="Garamond"/>
              </w:rPr>
            </w:pPr>
            <w:r w:rsidRPr="006C22C8">
              <w:rPr>
                <w:rFonts w:ascii="Garamond" w:hAnsi="Garamond"/>
              </w:rPr>
              <w:t>zastoupená:</w:t>
            </w:r>
            <w:r w:rsidR="00FD327C" w:rsidRPr="006C22C8">
              <w:rPr>
                <w:rFonts w:ascii="Garamond" w:hAnsi="Garamond"/>
              </w:rPr>
              <w:t xml:space="preserve"> Zuzanou Volkovou a Danielem </w:t>
            </w:r>
            <w:proofErr w:type="spellStart"/>
            <w:r w:rsidR="00FD327C" w:rsidRPr="006C22C8">
              <w:rPr>
                <w:rFonts w:ascii="Garamond" w:hAnsi="Garamond"/>
              </w:rPr>
              <w:t>Digoněm</w:t>
            </w:r>
            <w:proofErr w:type="spellEnd"/>
            <w:r w:rsidR="00FD327C" w:rsidRPr="006C22C8">
              <w:rPr>
                <w:rFonts w:ascii="Garamond" w:hAnsi="Garamond"/>
              </w:rPr>
              <w:t xml:space="preserve"> – jednatelé</w:t>
            </w:r>
          </w:p>
        </w:tc>
        <w:tc>
          <w:tcPr>
            <w:tcW w:w="4819" w:type="dxa"/>
          </w:tcPr>
          <w:p w:rsidR="0035590E" w:rsidRPr="006C22C8" w:rsidRDefault="0035590E" w:rsidP="006345DF">
            <w:pPr>
              <w:rPr>
                <w:rFonts w:ascii="Garamond" w:hAnsi="Garamond"/>
                <w:b/>
              </w:rPr>
            </w:pPr>
          </w:p>
        </w:tc>
      </w:tr>
      <w:tr w:rsidR="0035590E" w:rsidRPr="006C22C8" w:rsidTr="00FD327C">
        <w:trPr>
          <w:cantSplit/>
        </w:trPr>
        <w:tc>
          <w:tcPr>
            <w:tcW w:w="9124" w:type="dxa"/>
          </w:tcPr>
          <w:p w:rsidR="0035590E" w:rsidRPr="006C22C8" w:rsidRDefault="0035590E" w:rsidP="00F45328">
            <w:pPr>
              <w:rPr>
                <w:rFonts w:ascii="Garamond" w:hAnsi="Garamond"/>
              </w:rPr>
            </w:pPr>
            <w:r w:rsidRPr="006C22C8">
              <w:rPr>
                <w:rFonts w:ascii="Garamond" w:hAnsi="Garamond"/>
              </w:rPr>
              <w:t>IČ</w:t>
            </w:r>
            <w:r w:rsidR="00FD327C" w:rsidRPr="006C22C8">
              <w:rPr>
                <w:rFonts w:ascii="Garamond" w:hAnsi="Garamond"/>
              </w:rPr>
              <w:t>O</w:t>
            </w:r>
            <w:r w:rsidRPr="006C22C8">
              <w:rPr>
                <w:rFonts w:ascii="Garamond" w:hAnsi="Garamond"/>
              </w:rPr>
              <w:t>:</w:t>
            </w:r>
            <w:r w:rsidR="00B11159" w:rsidRPr="006C22C8">
              <w:rPr>
                <w:rFonts w:ascii="Garamond" w:hAnsi="Garamond"/>
              </w:rPr>
              <w:t xml:space="preserve"> 00642215</w:t>
            </w:r>
          </w:p>
        </w:tc>
        <w:tc>
          <w:tcPr>
            <w:tcW w:w="4819" w:type="dxa"/>
          </w:tcPr>
          <w:p w:rsidR="0035590E" w:rsidRPr="006C22C8" w:rsidRDefault="0035590E" w:rsidP="006345DF">
            <w:pPr>
              <w:rPr>
                <w:rFonts w:ascii="Garamond" w:hAnsi="Garamond"/>
                <w:b/>
              </w:rPr>
            </w:pPr>
          </w:p>
        </w:tc>
      </w:tr>
      <w:tr w:rsidR="0035590E" w:rsidRPr="006C22C8" w:rsidTr="00FD327C">
        <w:trPr>
          <w:cantSplit/>
        </w:trPr>
        <w:tc>
          <w:tcPr>
            <w:tcW w:w="9124" w:type="dxa"/>
          </w:tcPr>
          <w:p w:rsidR="0035590E" w:rsidRPr="006C22C8" w:rsidRDefault="0035590E" w:rsidP="00FD327C">
            <w:pPr>
              <w:rPr>
                <w:rFonts w:ascii="Garamond" w:hAnsi="Garamond"/>
              </w:rPr>
            </w:pPr>
            <w:r w:rsidRPr="006C22C8">
              <w:rPr>
                <w:rFonts w:ascii="Garamond" w:hAnsi="Garamond"/>
              </w:rPr>
              <w:t xml:space="preserve">DIČ: </w:t>
            </w:r>
            <w:r w:rsidR="00FD327C" w:rsidRPr="006C22C8">
              <w:rPr>
                <w:rFonts w:ascii="Garamond" w:hAnsi="Garamond"/>
              </w:rPr>
              <w:t>CZ00642215</w:t>
            </w:r>
          </w:p>
        </w:tc>
        <w:tc>
          <w:tcPr>
            <w:tcW w:w="4819" w:type="dxa"/>
          </w:tcPr>
          <w:p w:rsidR="0035590E" w:rsidRPr="006C22C8" w:rsidRDefault="0035590E" w:rsidP="006345DF">
            <w:pPr>
              <w:rPr>
                <w:rFonts w:ascii="Garamond" w:hAnsi="Garamond"/>
                <w:b/>
              </w:rPr>
            </w:pPr>
          </w:p>
        </w:tc>
      </w:tr>
      <w:tr w:rsidR="0035590E" w:rsidRPr="006C22C8" w:rsidTr="00FD327C">
        <w:trPr>
          <w:cantSplit/>
        </w:trPr>
        <w:tc>
          <w:tcPr>
            <w:tcW w:w="9124" w:type="dxa"/>
          </w:tcPr>
          <w:p w:rsidR="0035590E" w:rsidRPr="006C22C8" w:rsidRDefault="0035590E" w:rsidP="006345DF">
            <w:pPr>
              <w:rPr>
                <w:rFonts w:ascii="Garamond" w:hAnsi="Garamond"/>
              </w:rPr>
            </w:pPr>
            <w:r w:rsidRPr="006C22C8">
              <w:rPr>
                <w:rFonts w:ascii="Garamond" w:hAnsi="Garamond"/>
              </w:rPr>
              <w:t>zapsána:</w:t>
            </w:r>
            <w:r w:rsidR="00AD4505" w:rsidRPr="006C22C8">
              <w:rPr>
                <w:rFonts w:ascii="Garamond" w:hAnsi="Garamond"/>
              </w:rPr>
              <w:t xml:space="preserve"> v obchodním rejstříku vedeném u Městského soudu v Praze, odd. C, vložka č. 694</w:t>
            </w:r>
          </w:p>
        </w:tc>
        <w:tc>
          <w:tcPr>
            <w:tcW w:w="4819" w:type="dxa"/>
          </w:tcPr>
          <w:p w:rsidR="0035590E" w:rsidRPr="006C22C8" w:rsidRDefault="0035590E" w:rsidP="006345DF">
            <w:pPr>
              <w:rPr>
                <w:rFonts w:ascii="Garamond" w:hAnsi="Garamond"/>
                <w:b/>
              </w:rPr>
            </w:pPr>
          </w:p>
        </w:tc>
      </w:tr>
      <w:tr w:rsidR="0035590E" w:rsidRPr="006C22C8" w:rsidTr="00FD327C">
        <w:trPr>
          <w:cantSplit/>
        </w:trPr>
        <w:tc>
          <w:tcPr>
            <w:tcW w:w="9124" w:type="dxa"/>
          </w:tcPr>
          <w:p w:rsidR="0035590E" w:rsidRPr="006C22C8" w:rsidRDefault="0035590E" w:rsidP="006345DF">
            <w:pPr>
              <w:rPr>
                <w:rFonts w:ascii="Garamond" w:hAnsi="Garamond"/>
              </w:rPr>
            </w:pPr>
            <w:r w:rsidRPr="006C22C8">
              <w:rPr>
                <w:rFonts w:ascii="Garamond" w:hAnsi="Garamond"/>
              </w:rPr>
              <w:t>adresa pro doručení:</w:t>
            </w:r>
            <w:r w:rsidR="00AD4505" w:rsidRPr="006C22C8">
              <w:rPr>
                <w:rFonts w:ascii="Garamond" w:hAnsi="Garamond"/>
              </w:rPr>
              <w:t xml:space="preserve"> Jankovcova 1603/47a, 170 00 Praha 7</w:t>
            </w:r>
          </w:p>
        </w:tc>
        <w:tc>
          <w:tcPr>
            <w:tcW w:w="4819" w:type="dxa"/>
          </w:tcPr>
          <w:p w:rsidR="0035590E" w:rsidRPr="006C22C8" w:rsidRDefault="0035590E" w:rsidP="006345DF">
            <w:pPr>
              <w:rPr>
                <w:rFonts w:ascii="Garamond" w:hAnsi="Garamond"/>
                <w:b/>
              </w:rPr>
            </w:pPr>
          </w:p>
        </w:tc>
      </w:tr>
    </w:tbl>
    <w:p w:rsidR="004D604A" w:rsidRPr="006C22C8" w:rsidRDefault="004D604A" w:rsidP="004D604A">
      <w:pPr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>na straně druhé jako nájemce, dále jen nájemce</w:t>
      </w:r>
    </w:p>
    <w:p w:rsidR="004D604A" w:rsidRPr="006C22C8" w:rsidRDefault="004D604A" w:rsidP="004D604A">
      <w:pPr>
        <w:rPr>
          <w:rFonts w:ascii="Garamond" w:hAnsi="Garamond"/>
        </w:rPr>
      </w:pPr>
    </w:p>
    <w:p w:rsidR="004D604A" w:rsidRPr="006C22C8" w:rsidRDefault="004D604A" w:rsidP="004D604A">
      <w:pPr>
        <w:rPr>
          <w:rFonts w:ascii="Garamond" w:hAnsi="Garamond"/>
        </w:rPr>
      </w:pPr>
    </w:p>
    <w:p w:rsidR="004D604A" w:rsidRPr="006C22C8" w:rsidRDefault="004D604A" w:rsidP="00C36F2A">
      <w:pPr>
        <w:jc w:val="both"/>
        <w:rPr>
          <w:rFonts w:ascii="Garamond" w:hAnsi="Garamond"/>
        </w:rPr>
      </w:pPr>
      <w:r w:rsidRPr="006C22C8">
        <w:rPr>
          <w:rFonts w:ascii="Garamond" w:hAnsi="Garamond"/>
        </w:rPr>
        <w:t>podle zákona č. 89/2012 Sb. občanský zákoník, v</w:t>
      </w:r>
      <w:r w:rsidR="00F45328" w:rsidRPr="006C22C8">
        <w:rPr>
          <w:rFonts w:ascii="Garamond" w:hAnsi="Garamond"/>
        </w:rPr>
        <w:t>e</w:t>
      </w:r>
      <w:r w:rsidRPr="006C22C8">
        <w:rPr>
          <w:rFonts w:ascii="Garamond" w:hAnsi="Garamond"/>
        </w:rPr>
        <w:t xml:space="preserve">  znění </w:t>
      </w:r>
      <w:r w:rsidR="00F45328" w:rsidRPr="006C22C8">
        <w:rPr>
          <w:rFonts w:ascii="Garamond" w:hAnsi="Garamond"/>
        </w:rPr>
        <w:t xml:space="preserve">pozdějších předpisů </w:t>
      </w:r>
      <w:r w:rsidR="00C36F2A" w:rsidRPr="006C22C8">
        <w:rPr>
          <w:rFonts w:ascii="Garamond" w:hAnsi="Garamond"/>
        </w:rPr>
        <w:t xml:space="preserve">(dále jen „občanský zákoník“) </w:t>
      </w:r>
      <w:r w:rsidRPr="006C22C8">
        <w:rPr>
          <w:rFonts w:ascii="Garamond" w:hAnsi="Garamond"/>
        </w:rPr>
        <w:t>a v souladu s ustanovením § 27</w:t>
      </w:r>
      <w:r w:rsidR="000808C7" w:rsidRPr="006C22C8">
        <w:rPr>
          <w:rFonts w:ascii="Garamond" w:hAnsi="Garamond"/>
        </w:rPr>
        <w:t xml:space="preserve"> odst. 7</w:t>
      </w:r>
      <w:r w:rsidRPr="006C22C8">
        <w:rPr>
          <w:rFonts w:ascii="Garamond" w:hAnsi="Garamond"/>
        </w:rPr>
        <w:t xml:space="preserve"> zákona č. 219/2000 Sb. o majetku České republiky a jejím vystupování v právních vztazích</w:t>
      </w:r>
      <w:r w:rsidR="00F45328" w:rsidRPr="006C22C8">
        <w:rPr>
          <w:rFonts w:ascii="Garamond" w:hAnsi="Garamond"/>
        </w:rPr>
        <w:t>,</w:t>
      </w:r>
      <w:r w:rsidRPr="006C22C8">
        <w:rPr>
          <w:rFonts w:ascii="Garamond" w:hAnsi="Garamond"/>
        </w:rPr>
        <w:t xml:space="preserve"> v</w:t>
      </w:r>
      <w:r w:rsidR="00F45328" w:rsidRPr="006C22C8">
        <w:rPr>
          <w:rFonts w:ascii="Garamond" w:hAnsi="Garamond"/>
        </w:rPr>
        <w:t>e</w:t>
      </w:r>
      <w:r w:rsidRPr="006C22C8">
        <w:rPr>
          <w:rFonts w:ascii="Garamond" w:hAnsi="Garamond"/>
        </w:rPr>
        <w:t xml:space="preserve">  </w:t>
      </w:r>
      <w:r w:rsidR="00094E55" w:rsidRPr="006C22C8">
        <w:rPr>
          <w:rFonts w:ascii="Garamond" w:hAnsi="Garamond"/>
        </w:rPr>
        <w:t>z</w:t>
      </w:r>
      <w:r w:rsidRPr="006C22C8">
        <w:rPr>
          <w:rFonts w:ascii="Garamond" w:hAnsi="Garamond"/>
        </w:rPr>
        <w:t>nění</w:t>
      </w:r>
      <w:r w:rsidR="00F45328" w:rsidRPr="006C22C8">
        <w:rPr>
          <w:rFonts w:ascii="Garamond" w:hAnsi="Garamond"/>
        </w:rPr>
        <w:t xml:space="preserve"> pozdějších předpisů</w:t>
      </w:r>
      <w:r w:rsidRPr="006C22C8">
        <w:rPr>
          <w:rFonts w:ascii="Garamond" w:hAnsi="Garamond"/>
        </w:rPr>
        <w:t>, následující smlouvu o nájmu:</w:t>
      </w:r>
    </w:p>
    <w:p w:rsidR="004D604A" w:rsidRPr="006C22C8" w:rsidRDefault="004D604A" w:rsidP="004D604A">
      <w:pPr>
        <w:jc w:val="center"/>
        <w:rPr>
          <w:rFonts w:ascii="Garamond" w:hAnsi="Garamond"/>
        </w:rPr>
      </w:pPr>
    </w:p>
    <w:p w:rsidR="004D604A" w:rsidRPr="006C22C8" w:rsidRDefault="004D604A" w:rsidP="004D604A">
      <w:pPr>
        <w:jc w:val="center"/>
        <w:rPr>
          <w:rFonts w:ascii="Garamond" w:hAnsi="Garamond"/>
        </w:rPr>
      </w:pP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>I.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>Předmět nájmu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4D604A" w:rsidRPr="006C22C8" w:rsidRDefault="004D604A" w:rsidP="00134E82">
      <w:pPr>
        <w:numPr>
          <w:ilvl w:val="0"/>
          <w:numId w:val="2"/>
        </w:numPr>
        <w:autoSpaceDE/>
        <w:adjustRightInd/>
        <w:ind w:left="0"/>
        <w:jc w:val="both"/>
        <w:rPr>
          <w:rFonts w:ascii="Garamond" w:hAnsi="Garamond"/>
          <w:bCs/>
        </w:rPr>
      </w:pPr>
      <w:r w:rsidRPr="006C22C8">
        <w:rPr>
          <w:rFonts w:ascii="Garamond" w:hAnsi="Garamond"/>
          <w:bCs/>
        </w:rPr>
        <w:t xml:space="preserve">Okresní soud v Liberci je příslušný hospodařit s majetkem státu - mj. i s budovou </w:t>
      </w:r>
      <w:proofErr w:type="spellStart"/>
      <w:r w:rsidRPr="006C22C8">
        <w:rPr>
          <w:rFonts w:ascii="Garamond" w:hAnsi="Garamond"/>
          <w:bCs/>
        </w:rPr>
        <w:t>obč</w:t>
      </w:r>
      <w:proofErr w:type="spellEnd"/>
      <w:r w:rsidRPr="006C22C8">
        <w:rPr>
          <w:rFonts w:ascii="Garamond" w:hAnsi="Garamond"/>
          <w:bCs/>
        </w:rPr>
        <w:t xml:space="preserve">. </w:t>
      </w:r>
      <w:proofErr w:type="spellStart"/>
      <w:r w:rsidRPr="006C22C8">
        <w:rPr>
          <w:rFonts w:ascii="Garamond" w:hAnsi="Garamond"/>
          <w:bCs/>
        </w:rPr>
        <w:t>vyb</w:t>
      </w:r>
      <w:proofErr w:type="spellEnd"/>
      <w:r w:rsidRPr="006C22C8">
        <w:rPr>
          <w:rFonts w:ascii="Garamond" w:hAnsi="Garamond"/>
          <w:bCs/>
        </w:rPr>
        <w:t>. č.</w:t>
      </w:r>
      <w:r w:rsidR="00134E82" w:rsidRPr="006C22C8">
        <w:rPr>
          <w:rFonts w:ascii="Garamond" w:hAnsi="Garamond"/>
          <w:bCs/>
        </w:rPr>
        <w:t xml:space="preserve"> </w:t>
      </w:r>
      <w:r w:rsidRPr="006C22C8">
        <w:rPr>
          <w:rFonts w:ascii="Garamond" w:hAnsi="Garamond"/>
          <w:bCs/>
        </w:rPr>
        <w:t xml:space="preserve">p. 540 na </w:t>
      </w:r>
      <w:r w:rsidRPr="006C22C8">
        <w:rPr>
          <w:rFonts w:ascii="Garamond" w:hAnsi="Garamond"/>
        </w:rPr>
        <w:t>parcele</w:t>
      </w:r>
      <w:r w:rsidRPr="006C22C8">
        <w:rPr>
          <w:rFonts w:ascii="Garamond" w:hAnsi="Garamond"/>
          <w:bCs/>
        </w:rPr>
        <w:t xml:space="preserve"> č. 1833, zapsanou u Katastrálního úřadu pro Liberecký kraj, Katastrální pracoviště Liberec pro katastrální území, obec a okres Liberec na LV 8927. Nemovitosti jsou ve vlastnictví České republiky. </w:t>
      </w:r>
    </w:p>
    <w:p w:rsidR="004D604A" w:rsidRPr="006C22C8" w:rsidRDefault="004D604A" w:rsidP="00134E82">
      <w:pPr>
        <w:jc w:val="both"/>
        <w:rPr>
          <w:rFonts w:ascii="Garamond" w:hAnsi="Garamond"/>
          <w:bCs/>
        </w:rPr>
      </w:pPr>
    </w:p>
    <w:p w:rsidR="004D604A" w:rsidRPr="006C22C8" w:rsidRDefault="004D604A" w:rsidP="00134E82">
      <w:pPr>
        <w:numPr>
          <w:ilvl w:val="0"/>
          <w:numId w:val="2"/>
        </w:numPr>
        <w:autoSpaceDE/>
        <w:adjustRightInd/>
        <w:ind w:left="0"/>
        <w:jc w:val="both"/>
        <w:rPr>
          <w:rFonts w:ascii="Garamond" w:hAnsi="Garamond"/>
          <w:bCs/>
        </w:rPr>
      </w:pPr>
      <w:r w:rsidRPr="006C22C8">
        <w:rPr>
          <w:rFonts w:ascii="Garamond" w:hAnsi="Garamond"/>
        </w:rPr>
        <w:t xml:space="preserve">V budově se v 1. NP nachází i následující prostory o celkové výměře 149,60 m2, jež jsou předmětem nájmu dle této smlouvy:  </w:t>
      </w:r>
    </w:p>
    <w:p w:rsidR="004D604A" w:rsidRPr="006C22C8" w:rsidRDefault="004D604A" w:rsidP="00134E82">
      <w:pPr>
        <w:rPr>
          <w:rFonts w:ascii="Garamond" w:hAnsi="Garamond"/>
        </w:rPr>
      </w:pPr>
    </w:p>
    <w:tbl>
      <w:tblPr>
        <w:tblW w:w="7650" w:type="dxa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3"/>
        <w:gridCol w:w="1129"/>
      </w:tblGrid>
      <w:tr w:rsidR="004D604A" w:rsidRPr="006C22C8" w:rsidTr="00134E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6C22C8">
              <w:rPr>
                <w:rFonts w:ascii="Garamond" w:hAnsi="Garamond"/>
                <w:b/>
              </w:rPr>
              <w:t>Číslo a umístění</w:t>
            </w:r>
          </w:p>
          <w:p w:rsidR="004D604A" w:rsidRPr="006C22C8" w:rsidRDefault="004D604A" w:rsidP="00134E82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6C22C8">
              <w:rPr>
                <w:rFonts w:ascii="Garamond" w:hAnsi="Garamond"/>
                <w:b/>
              </w:rPr>
              <w:t>místnosti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6C22C8">
              <w:rPr>
                <w:rFonts w:ascii="Garamond" w:hAnsi="Garamond"/>
                <w:b/>
              </w:rPr>
              <w:t>Popis místnosti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6C22C8">
              <w:rPr>
                <w:rFonts w:ascii="Garamond" w:hAnsi="Garamond"/>
                <w:b/>
              </w:rPr>
              <w:t>Výměra místnosti</w:t>
            </w:r>
            <w:r w:rsidR="0035590E" w:rsidRPr="006C22C8">
              <w:rPr>
                <w:rFonts w:ascii="Garamond" w:hAnsi="Garamond"/>
                <w:b/>
                <w:lang w:eastAsia="en-US"/>
              </w:rPr>
              <w:t xml:space="preserve"> </w:t>
            </w:r>
            <w:r w:rsidRPr="006C22C8">
              <w:rPr>
                <w:rFonts w:ascii="Garamond" w:hAnsi="Garamond"/>
                <w:b/>
              </w:rPr>
              <w:t>v m</w:t>
            </w:r>
            <w:r w:rsidRPr="006C22C8">
              <w:rPr>
                <w:rFonts w:ascii="Garamond" w:hAnsi="Garamond"/>
                <w:b/>
                <w:vertAlign w:val="superscript"/>
              </w:rPr>
              <w:t>2</w:t>
            </w:r>
          </w:p>
        </w:tc>
      </w:tr>
      <w:tr w:rsidR="004D604A" w:rsidRPr="006C22C8" w:rsidTr="00134E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jc w:val="center"/>
              <w:rPr>
                <w:rFonts w:ascii="Garamond" w:hAnsi="Garamond"/>
                <w:lang w:eastAsia="en-US"/>
              </w:rPr>
            </w:pPr>
            <w:r w:rsidRPr="006C22C8">
              <w:rPr>
                <w:rFonts w:ascii="Garamond" w:hAnsi="Garamond"/>
              </w:rPr>
              <w:t>1 – 1.NP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rPr>
                <w:rFonts w:ascii="Garamond" w:hAnsi="Garamond"/>
                <w:lang w:eastAsia="en-US"/>
              </w:rPr>
            </w:pPr>
            <w:r w:rsidRPr="006C22C8">
              <w:rPr>
                <w:rFonts w:ascii="Garamond" w:hAnsi="Garamond"/>
              </w:rPr>
              <w:t xml:space="preserve">prodejní </w:t>
            </w:r>
            <w:r w:rsidR="0035590E" w:rsidRPr="006C22C8">
              <w:rPr>
                <w:rFonts w:ascii="Garamond" w:hAnsi="Garamond"/>
              </w:rPr>
              <w:t xml:space="preserve">a obslužná místnost – přístupná </w:t>
            </w:r>
            <w:r w:rsidRPr="006C22C8">
              <w:rPr>
                <w:rFonts w:ascii="Garamond" w:hAnsi="Garamond"/>
              </w:rPr>
              <w:t>veřejnosti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jc w:val="center"/>
              <w:rPr>
                <w:rFonts w:ascii="Garamond" w:hAnsi="Garamond"/>
                <w:lang w:eastAsia="en-US"/>
              </w:rPr>
            </w:pPr>
            <w:r w:rsidRPr="006C22C8">
              <w:rPr>
                <w:rFonts w:ascii="Garamond" w:hAnsi="Garamond"/>
              </w:rPr>
              <w:t>130,93</w:t>
            </w:r>
          </w:p>
        </w:tc>
      </w:tr>
      <w:tr w:rsidR="004D604A" w:rsidRPr="006C22C8" w:rsidTr="00134E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jc w:val="center"/>
              <w:rPr>
                <w:rFonts w:ascii="Garamond" w:hAnsi="Garamond"/>
                <w:lang w:eastAsia="en-US"/>
              </w:rPr>
            </w:pPr>
            <w:r w:rsidRPr="006C22C8">
              <w:rPr>
                <w:rFonts w:ascii="Garamond" w:hAnsi="Garamond"/>
              </w:rPr>
              <w:t>2 – 1.NP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rPr>
                <w:rFonts w:ascii="Garamond" w:hAnsi="Garamond"/>
                <w:lang w:eastAsia="en-US"/>
              </w:rPr>
            </w:pPr>
            <w:r w:rsidRPr="006C22C8">
              <w:rPr>
                <w:rFonts w:ascii="Garamond" w:hAnsi="Garamond"/>
              </w:rPr>
              <w:t>zázemí provozovny,</w:t>
            </w:r>
            <w:r w:rsidR="0035590E" w:rsidRPr="006C22C8">
              <w:rPr>
                <w:rFonts w:ascii="Garamond" w:hAnsi="Garamond"/>
                <w:lang w:eastAsia="en-US"/>
              </w:rPr>
              <w:t xml:space="preserve"> </w:t>
            </w:r>
            <w:r w:rsidRPr="006C22C8">
              <w:rPr>
                <w:rFonts w:ascii="Garamond" w:hAnsi="Garamond"/>
              </w:rPr>
              <w:t>výroba a mytí nádobí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jc w:val="center"/>
              <w:rPr>
                <w:rFonts w:ascii="Garamond" w:hAnsi="Garamond"/>
                <w:lang w:eastAsia="en-US"/>
              </w:rPr>
            </w:pPr>
            <w:r w:rsidRPr="006C22C8">
              <w:rPr>
                <w:rFonts w:ascii="Garamond" w:hAnsi="Garamond"/>
              </w:rPr>
              <w:t>12,06</w:t>
            </w:r>
          </w:p>
        </w:tc>
      </w:tr>
      <w:tr w:rsidR="004D604A" w:rsidRPr="006C22C8" w:rsidTr="00134E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jc w:val="center"/>
              <w:rPr>
                <w:rFonts w:ascii="Garamond" w:hAnsi="Garamond"/>
                <w:lang w:eastAsia="en-US"/>
              </w:rPr>
            </w:pPr>
            <w:r w:rsidRPr="006C22C8">
              <w:rPr>
                <w:rFonts w:ascii="Garamond" w:hAnsi="Garamond"/>
              </w:rPr>
              <w:t>4 – 1. NP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rPr>
                <w:rFonts w:ascii="Garamond" w:hAnsi="Garamond"/>
                <w:lang w:eastAsia="en-US"/>
              </w:rPr>
            </w:pPr>
            <w:r w:rsidRPr="006C22C8">
              <w:rPr>
                <w:rFonts w:ascii="Garamond" w:hAnsi="Garamond"/>
              </w:rPr>
              <w:t>sociální zařízení (šatna, WC)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4A" w:rsidRPr="006C22C8" w:rsidRDefault="004D604A" w:rsidP="00134E82">
            <w:pPr>
              <w:jc w:val="center"/>
              <w:rPr>
                <w:rFonts w:ascii="Garamond" w:hAnsi="Garamond"/>
                <w:lang w:eastAsia="en-US"/>
              </w:rPr>
            </w:pPr>
            <w:r w:rsidRPr="006C22C8">
              <w:rPr>
                <w:rFonts w:ascii="Garamond" w:hAnsi="Garamond"/>
              </w:rPr>
              <w:t>6,61</w:t>
            </w:r>
          </w:p>
        </w:tc>
      </w:tr>
    </w:tbl>
    <w:p w:rsidR="004D604A" w:rsidRPr="006C22C8" w:rsidRDefault="004D604A" w:rsidP="00134E82">
      <w:pPr>
        <w:rPr>
          <w:rFonts w:ascii="Garamond" w:hAnsi="Garamond"/>
          <w:b/>
          <w:lang w:eastAsia="en-US"/>
        </w:rPr>
      </w:pPr>
    </w:p>
    <w:p w:rsidR="004D604A" w:rsidRPr="006C22C8" w:rsidRDefault="004D604A" w:rsidP="00134E82">
      <w:pPr>
        <w:numPr>
          <w:ilvl w:val="0"/>
          <w:numId w:val="2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lastRenderedPageBreak/>
        <w:t>Prostory jsou zakresleny v plánu, jenž tvoří jako příloha č. 1 této smlouvy její nedílnou součást.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2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Prostory jsou vybaveny </w:t>
      </w:r>
      <w:proofErr w:type="spellStart"/>
      <w:r w:rsidRPr="006C22C8">
        <w:rPr>
          <w:rFonts w:ascii="Garamond" w:hAnsi="Garamond"/>
        </w:rPr>
        <w:t>gastro</w:t>
      </w:r>
      <w:proofErr w:type="spellEnd"/>
      <w:r w:rsidRPr="006C22C8">
        <w:rPr>
          <w:rFonts w:ascii="Garamond" w:hAnsi="Garamond"/>
        </w:rPr>
        <w:t xml:space="preserve"> zařízením, kdy jednotlivé mo</w:t>
      </w:r>
      <w:r w:rsidR="009728FE" w:rsidRPr="006C22C8">
        <w:rPr>
          <w:rFonts w:ascii="Garamond" w:hAnsi="Garamond"/>
        </w:rPr>
        <w:t>vité věci jej konkrétně tvořící</w:t>
      </w:r>
      <w:r w:rsidRPr="006C22C8">
        <w:rPr>
          <w:rFonts w:ascii="Garamond" w:hAnsi="Garamond"/>
        </w:rPr>
        <w:t xml:space="preserve"> jsou uvedeny v příloze č. 2 </w:t>
      </w:r>
      <w:proofErr w:type="gramStart"/>
      <w:r w:rsidRPr="006C22C8">
        <w:rPr>
          <w:rFonts w:ascii="Garamond" w:hAnsi="Garamond"/>
        </w:rPr>
        <w:t>této</w:t>
      </w:r>
      <w:proofErr w:type="gramEnd"/>
      <w:r w:rsidRPr="006C22C8">
        <w:rPr>
          <w:rFonts w:ascii="Garamond" w:hAnsi="Garamond"/>
        </w:rPr>
        <w:t xml:space="preserve"> smlouvy, rovněž jako její nedílná součást.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2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Pronajímatel tyto nebytové prostory dočasně nepotřebuje k výkonu své činnosti, proto je touto smlouvou přenechává nájemci k dočasnému užívání, a to včetně </w:t>
      </w:r>
      <w:proofErr w:type="spellStart"/>
      <w:r w:rsidRPr="006C22C8">
        <w:rPr>
          <w:rFonts w:ascii="Garamond" w:hAnsi="Garamond"/>
        </w:rPr>
        <w:t>gastro</w:t>
      </w:r>
      <w:proofErr w:type="spellEnd"/>
      <w:r w:rsidRPr="006C22C8">
        <w:rPr>
          <w:rFonts w:ascii="Garamond" w:hAnsi="Garamond"/>
        </w:rPr>
        <w:t xml:space="preserve"> zařízení. Podpisem této smlouvy je nájemce přijímá ke smluvenému užívání.</w:t>
      </w:r>
    </w:p>
    <w:p w:rsidR="000B21B5" w:rsidRPr="006C22C8" w:rsidRDefault="000B21B5" w:rsidP="00134E82">
      <w:pPr>
        <w:autoSpaceDE/>
        <w:adjustRightInd/>
        <w:jc w:val="both"/>
        <w:rPr>
          <w:rFonts w:ascii="Garamond" w:hAnsi="Garamond"/>
        </w:rPr>
      </w:pPr>
    </w:p>
    <w:p w:rsidR="000B21B5" w:rsidRPr="006C22C8" w:rsidRDefault="000B21B5" w:rsidP="00134E82">
      <w:pPr>
        <w:numPr>
          <w:ilvl w:val="0"/>
          <w:numId w:val="2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Pronajímatel pronajímá v souladu s touto smlouvou a obecně závaznými právními předpisy předmět nájmu specifikovaný v čl. II </w:t>
      </w:r>
      <w:proofErr w:type="gramStart"/>
      <w:r w:rsidRPr="006C22C8">
        <w:rPr>
          <w:rFonts w:ascii="Garamond" w:hAnsi="Garamond"/>
        </w:rPr>
        <w:t>této</w:t>
      </w:r>
      <w:proofErr w:type="gramEnd"/>
      <w:r w:rsidRPr="006C22C8">
        <w:rPr>
          <w:rFonts w:ascii="Garamond" w:hAnsi="Garamond"/>
        </w:rPr>
        <w:t xml:space="preserve"> smlouvy nájemci. Nájemce přijímá do nájmu od pronajímatele v souladu s touto smlouvou a obe</w:t>
      </w:r>
      <w:r w:rsidR="00134E82" w:rsidRPr="006C22C8">
        <w:rPr>
          <w:rFonts w:ascii="Garamond" w:hAnsi="Garamond"/>
        </w:rPr>
        <w:t>cně závaznými předpisy předmět n</w:t>
      </w:r>
      <w:r w:rsidRPr="006C22C8">
        <w:rPr>
          <w:rFonts w:ascii="Garamond" w:hAnsi="Garamond"/>
        </w:rPr>
        <w:t>ájmu.</w:t>
      </w:r>
    </w:p>
    <w:p w:rsidR="004D604A" w:rsidRPr="006C22C8" w:rsidRDefault="004D604A" w:rsidP="004D604A">
      <w:pPr>
        <w:ind w:left="720"/>
        <w:jc w:val="both"/>
        <w:rPr>
          <w:rFonts w:ascii="Garamond" w:hAnsi="Garamond"/>
        </w:rPr>
      </w:pPr>
    </w:p>
    <w:p w:rsidR="004D604A" w:rsidRPr="006C22C8" w:rsidRDefault="004D604A" w:rsidP="004D604A">
      <w:pPr>
        <w:ind w:left="720"/>
        <w:jc w:val="both"/>
        <w:rPr>
          <w:rFonts w:ascii="Garamond" w:hAnsi="Garamond"/>
        </w:rPr>
      </w:pP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 xml:space="preserve">II. 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>Účel nájmu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4D604A" w:rsidRPr="006C22C8" w:rsidRDefault="004D604A" w:rsidP="00134E82">
      <w:pPr>
        <w:numPr>
          <w:ilvl w:val="0"/>
          <w:numId w:val="3"/>
        </w:numPr>
        <w:autoSpaceDE/>
        <w:adjustRightInd/>
        <w:ind w:left="0" w:hanging="425"/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Nebytové prostory </w:t>
      </w:r>
      <w:r w:rsidR="00C1272A" w:rsidRPr="006C22C8">
        <w:rPr>
          <w:rFonts w:ascii="Garamond" w:hAnsi="Garamond"/>
        </w:rPr>
        <w:t xml:space="preserve">specifikované v čl. I této smlouvy </w:t>
      </w:r>
      <w:r w:rsidRPr="006C22C8">
        <w:rPr>
          <w:rFonts w:ascii="Garamond" w:hAnsi="Garamond"/>
        </w:rPr>
        <w:t>pronajímatel přenechává do nájmu výlučně za účelem provozování stravovacích a dalších gastronomických služeb v rámci plnění veřejné zakázky „Zajištění stravování zaměstnanců a provoz bufetu“ nájemcem.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3"/>
        </w:numPr>
        <w:autoSpaceDE/>
        <w:adjustRightInd/>
        <w:ind w:left="0" w:hanging="425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V případě, že by nájemce užíval prostory i k jinému účelu, případně jejich užívání umožnil bez souhlasu pronajímatele jinému subjektu, je pronajímatel oprávněn odstoupit jak od této smlouvy, tak od smlouvy o poskytování stravovacích služeb.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3"/>
        </w:numPr>
        <w:autoSpaceDE/>
        <w:adjustRightInd/>
        <w:ind w:left="0" w:hanging="425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Stejně tak je pronajímatel oprávněn odstoupit</w:t>
      </w:r>
      <w:r w:rsidR="00134E82" w:rsidRPr="006C22C8">
        <w:rPr>
          <w:rFonts w:ascii="Garamond" w:hAnsi="Garamond"/>
        </w:rPr>
        <w:t xml:space="preserve"> od těchto sml</w:t>
      </w:r>
      <w:r w:rsidR="001F4001" w:rsidRPr="006C22C8">
        <w:rPr>
          <w:rFonts w:ascii="Garamond" w:hAnsi="Garamond"/>
        </w:rPr>
        <w:t>o</w:t>
      </w:r>
      <w:r w:rsidR="00134E82" w:rsidRPr="006C22C8">
        <w:rPr>
          <w:rFonts w:ascii="Garamond" w:hAnsi="Garamond"/>
        </w:rPr>
        <w:t>uv</w:t>
      </w:r>
      <w:r w:rsidR="001F4001" w:rsidRPr="006C22C8">
        <w:rPr>
          <w:rFonts w:ascii="Garamond" w:hAnsi="Garamond"/>
        </w:rPr>
        <w:t>y</w:t>
      </w:r>
      <w:r w:rsidRPr="006C22C8">
        <w:rPr>
          <w:rFonts w:ascii="Garamond" w:hAnsi="Garamond"/>
        </w:rPr>
        <w:t xml:space="preserve"> v případě, že by prostory nebyly užívány řádně, docházelo k jejich poškozování či nadměrnému opotřebení či toto hrozilo anebo v případě, kdy by nájemcem byl opakovaně narušen řádný provoz budovy.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3"/>
        </w:numPr>
        <w:autoSpaceDE/>
        <w:adjustRightInd/>
        <w:ind w:left="0" w:hanging="425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Nájemce prohlašuje, že účel nájmu souhlasí s předmětem podnikání nájemce.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3"/>
        </w:numPr>
        <w:autoSpaceDE/>
        <w:adjustRightInd/>
        <w:ind w:left="0" w:hanging="425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Pronajímatel prohlašuje, že předmět nájmu je podle svého stavebně technického určení vhodný pro tento účel nájmu a toto užívání odpovídá charakteru předmětu nájmu v</w:t>
      </w:r>
      <w:r w:rsidR="00960428" w:rsidRPr="006C22C8">
        <w:rPr>
          <w:rFonts w:ascii="Garamond" w:hAnsi="Garamond"/>
        </w:rPr>
        <w:t> </w:t>
      </w:r>
      <w:r w:rsidRPr="006C22C8">
        <w:rPr>
          <w:rFonts w:ascii="Garamond" w:hAnsi="Garamond"/>
        </w:rPr>
        <w:t>souladu s obecně platnými právními předpisy.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 xml:space="preserve">III. 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>Nájemné, služby a platební podmínky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4D604A" w:rsidRPr="006C22C8" w:rsidRDefault="004D604A" w:rsidP="00134E82">
      <w:pPr>
        <w:numPr>
          <w:ilvl w:val="0"/>
          <w:numId w:val="4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Nájemné bylo stanoveno jako místně obvyklé nájemné ve výši 500</w:t>
      </w:r>
      <w:r w:rsidR="00DB40E7" w:rsidRPr="006C22C8">
        <w:rPr>
          <w:rFonts w:ascii="Garamond" w:hAnsi="Garamond"/>
        </w:rPr>
        <w:t xml:space="preserve"> </w:t>
      </w:r>
      <w:r w:rsidRPr="006C22C8">
        <w:rPr>
          <w:rFonts w:ascii="Garamond" w:hAnsi="Garamond"/>
        </w:rPr>
        <w:t xml:space="preserve">Kč (slovy: </w:t>
      </w:r>
      <w:proofErr w:type="spellStart"/>
      <w:r w:rsidRPr="006C22C8">
        <w:rPr>
          <w:rFonts w:ascii="Garamond" w:hAnsi="Garamond"/>
        </w:rPr>
        <w:t>pětsetkorunčeských</w:t>
      </w:r>
      <w:proofErr w:type="spellEnd"/>
      <w:r w:rsidRPr="006C22C8">
        <w:rPr>
          <w:rFonts w:ascii="Garamond" w:hAnsi="Garamond"/>
        </w:rPr>
        <w:t>) za 1 m2 pronajatých prostor</w:t>
      </w:r>
      <w:r w:rsidR="00DB40E7" w:rsidRPr="006C22C8">
        <w:rPr>
          <w:rFonts w:ascii="Garamond" w:hAnsi="Garamond"/>
        </w:rPr>
        <w:t xml:space="preserve"> ročně </w:t>
      </w:r>
      <w:r w:rsidRPr="006C22C8">
        <w:rPr>
          <w:rFonts w:ascii="Garamond" w:hAnsi="Garamond"/>
        </w:rPr>
        <w:t>a či</w:t>
      </w:r>
      <w:r w:rsidR="00134E82" w:rsidRPr="006C22C8">
        <w:rPr>
          <w:rFonts w:ascii="Garamond" w:hAnsi="Garamond"/>
        </w:rPr>
        <w:t xml:space="preserve">ní tak po dohodě stran částku </w:t>
      </w:r>
      <w:r w:rsidR="00134E82" w:rsidRPr="006C22C8">
        <w:rPr>
          <w:rFonts w:ascii="Garamond" w:hAnsi="Garamond"/>
          <w:b/>
        </w:rPr>
        <w:t>6 </w:t>
      </w:r>
      <w:r w:rsidRPr="006C22C8">
        <w:rPr>
          <w:rFonts w:ascii="Garamond" w:hAnsi="Garamond"/>
          <w:b/>
        </w:rPr>
        <w:t>233</w:t>
      </w:r>
      <w:r w:rsidR="00134E82" w:rsidRPr="006C22C8">
        <w:rPr>
          <w:rFonts w:ascii="Garamond" w:hAnsi="Garamond"/>
          <w:b/>
        </w:rPr>
        <w:t> </w:t>
      </w:r>
      <w:r w:rsidRPr="006C22C8">
        <w:rPr>
          <w:rFonts w:ascii="Garamond" w:hAnsi="Garamond"/>
          <w:b/>
        </w:rPr>
        <w:t>Kč</w:t>
      </w:r>
      <w:r w:rsidRPr="006C22C8">
        <w:rPr>
          <w:rFonts w:ascii="Garamond" w:hAnsi="Garamond"/>
        </w:rPr>
        <w:t xml:space="preserve"> (slovy: </w:t>
      </w:r>
      <w:proofErr w:type="spellStart"/>
      <w:r w:rsidRPr="006C22C8">
        <w:rPr>
          <w:rFonts w:ascii="Garamond" w:hAnsi="Garamond"/>
        </w:rPr>
        <w:t>šesttisícdvěstětřicettřikorunyčeské</w:t>
      </w:r>
      <w:proofErr w:type="spellEnd"/>
      <w:r w:rsidRPr="006C22C8">
        <w:rPr>
          <w:rFonts w:ascii="Garamond" w:hAnsi="Garamond"/>
        </w:rPr>
        <w:t xml:space="preserve">) </w:t>
      </w:r>
      <w:r w:rsidRPr="006C22C8">
        <w:rPr>
          <w:rFonts w:ascii="Garamond" w:hAnsi="Garamond"/>
          <w:b/>
        </w:rPr>
        <w:t>měsíčně</w:t>
      </w:r>
      <w:r w:rsidRPr="006C22C8">
        <w:rPr>
          <w:rFonts w:ascii="Garamond" w:hAnsi="Garamond"/>
        </w:rPr>
        <w:t xml:space="preserve">. Nájemné bude hrazeno </w:t>
      </w:r>
      <w:r w:rsidR="00461E2A" w:rsidRPr="006C22C8">
        <w:rPr>
          <w:rFonts w:ascii="Garamond" w:hAnsi="Garamond"/>
        </w:rPr>
        <w:t xml:space="preserve">nájemcem </w:t>
      </w:r>
      <w:r w:rsidRPr="006C22C8">
        <w:rPr>
          <w:rFonts w:ascii="Garamond" w:hAnsi="Garamond"/>
        </w:rPr>
        <w:t xml:space="preserve">měsíčně, </w:t>
      </w:r>
      <w:r w:rsidR="00134E82" w:rsidRPr="006C22C8">
        <w:rPr>
          <w:rFonts w:ascii="Garamond" w:hAnsi="Garamond"/>
        </w:rPr>
        <w:t xml:space="preserve">vždy </w:t>
      </w:r>
      <w:r w:rsidRPr="006C22C8">
        <w:rPr>
          <w:rFonts w:ascii="Garamond" w:hAnsi="Garamond"/>
        </w:rPr>
        <w:t xml:space="preserve">nejpozději do 15. dne </w:t>
      </w:r>
      <w:r w:rsidR="00134E82" w:rsidRPr="006C22C8">
        <w:rPr>
          <w:rFonts w:ascii="Garamond" w:hAnsi="Garamond"/>
        </w:rPr>
        <w:t>příslušného měsíce</w:t>
      </w:r>
      <w:r w:rsidRPr="006C22C8">
        <w:rPr>
          <w:rFonts w:ascii="Garamond" w:hAnsi="Garamond"/>
        </w:rPr>
        <w:t xml:space="preserve"> na účet č</w:t>
      </w:r>
      <w:r w:rsidR="006C22C8">
        <w:rPr>
          <w:rFonts w:ascii="Garamond" w:hAnsi="Garamond"/>
        </w:rPr>
        <w:t>……………………….</w:t>
      </w:r>
      <w:r w:rsidRPr="006C22C8">
        <w:rPr>
          <w:rFonts w:ascii="Garamond" w:hAnsi="Garamond"/>
        </w:rPr>
        <w:t xml:space="preserve">, variabilní symbol 2132, specifický symbol = IČ nájemce. 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4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V souvislosti s užíváním prostor pronajímatel poskytne nájemci svým prostřednictvím dále tato plnění: dodávku elektřiny, vodného a stočného a odvoz a likvidaci odpadu</w:t>
      </w:r>
      <w:r w:rsidR="00372AC0" w:rsidRPr="006C22C8">
        <w:rPr>
          <w:rFonts w:ascii="Garamond" w:hAnsi="Garamond"/>
        </w:rPr>
        <w:t xml:space="preserve"> (tzv. služby)</w:t>
      </w:r>
      <w:r w:rsidRPr="006C22C8">
        <w:rPr>
          <w:rFonts w:ascii="Garamond" w:hAnsi="Garamond"/>
        </w:rPr>
        <w:t xml:space="preserve">. </w:t>
      </w:r>
    </w:p>
    <w:p w:rsidR="004D604A" w:rsidRPr="006C22C8" w:rsidRDefault="004D604A" w:rsidP="00134E82">
      <w:pPr>
        <w:autoSpaceDE/>
        <w:adjustRightInd/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4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Vodné a stočné</w:t>
      </w:r>
      <w:r w:rsidR="00617AD1" w:rsidRPr="006C22C8">
        <w:rPr>
          <w:rFonts w:ascii="Garamond" w:hAnsi="Garamond"/>
        </w:rPr>
        <w:t xml:space="preserve"> činí 1 </w:t>
      </w:r>
      <w:r w:rsidRPr="006C22C8">
        <w:rPr>
          <w:rFonts w:ascii="Garamond" w:hAnsi="Garamond"/>
        </w:rPr>
        <w:t xml:space="preserve">200 Kč měsíčně (slovy: </w:t>
      </w:r>
      <w:proofErr w:type="spellStart"/>
      <w:r w:rsidRPr="006C22C8">
        <w:rPr>
          <w:rFonts w:ascii="Garamond" w:hAnsi="Garamond"/>
        </w:rPr>
        <w:t>jedentisícdvěstěkorunčeských</w:t>
      </w:r>
      <w:proofErr w:type="spellEnd"/>
      <w:r w:rsidRPr="006C22C8">
        <w:rPr>
          <w:rFonts w:ascii="Garamond" w:hAnsi="Garamond"/>
        </w:rPr>
        <w:t>) a odvoz a</w:t>
      </w:r>
      <w:r w:rsidR="00184D48" w:rsidRPr="006C22C8">
        <w:rPr>
          <w:rFonts w:ascii="Garamond" w:hAnsi="Garamond"/>
        </w:rPr>
        <w:t> </w:t>
      </w:r>
      <w:r w:rsidRPr="006C22C8">
        <w:rPr>
          <w:rFonts w:ascii="Garamond" w:hAnsi="Garamond"/>
        </w:rPr>
        <w:t>likvidace odpadu pak 300</w:t>
      </w:r>
      <w:r w:rsidR="00DB40E7" w:rsidRPr="006C22C8">
        <w:rPr>
          <w:rFonts w:ascii="Garamond" w:hAnsi="Garamond"/>
        </w:rPr>
        <w:t xml:space="preserve"> </w:t>
      </w:r>
      <w:r w:rsidRPr="006C22C8">
        <w:rPr>
          <w:rFonts w:ascii="Garamond" w:hAnsi="Garamond"/>
        </w:rPr>
        <w:t xml:space="preserve">Kč měsíčně (slovy: </w:t>
      </w:r>
      <w:proofErr w:type="spellStart"/>
      <w:r w:rsidRPr="006C22C8">
        <w:rPr>
          <w:rFonts w:ascii="Garamond" w:hAnsi="Garamond"/>
        </w:rPr>
        <w:t>třistakorunčeských</w:t>
      </w:r>
      <w:proofErr w:type="spellEnd"/>
      <w:r w:rsidRPr="006C22C8">
        <w:rPr>
          <w:rFonts w:ascii="Garamond" w:hAnsi="Garamond"/>
        </w:rPr>
        <w:t xml:space="preserve">). Nájemce se </w:t>
      </w:r>
      <w:r w:rsidR="00617AD1" w:rsidRPr="006C22C8">
        <w:rPr>
          <w:rFonts w:ascii="Garamond" w:hAnsi="Garamond"/>
        </w:rPr>
        <w:t xml:space="preserve">tedy </w:t>
      </w:r>
      <w:r w:rsidRPr="006C22C8">
        <w:rPr>
          <w:rFonts w:ascii="Garamond" w:hAnsi="Garamond"/>
        </w:rPr>
        <w:t>zavazuje uhradit za výše</w:t>
      </w:r>
      <w:r w:rsidR="00617AD1" w:rsidRPr="006C22C8">
        <w:rPr>
          <w:rFonts w:ascii="Garamond" w:hAnsi="Garamond"/>
        </w:rPr>
        <w:t xml:space="preserve"> uvedená plnění celkem částku </w:t>
      </w:r>
      <w:r w:rsidR="00617AD1" w:rsidRPr="006C22C8">
        <w:rPr>
          <w:rFonts w:ascii="Garamond" w:hAnsi="Garamond"/>
          <w:b/>
        </w:rPr>
        <w:t xml:space="preserve">1 </w:t>
      </w:r>
      <w:r w:rsidRPr="006C22C8">
        <w:rPr>
          <w:rFonts w:ascii="Garamond" w:hAnsi="Garamond"/>
          <w:b/>
        </w:rPr>
        <w:t>500</w:t>
      </w:r>
      <w:r w:rsidR="00DB40E7" w:rsidRPr="006C22C8">
        <w:rPr>
          <w:rFonts w:ascii="Garamond" w:hAnsi="Garamond"/>
          <w:b/>
        </w:rPr>
        <w:t xml:space="preserve"> </w:t>
      </w:r>
      <w:r w:rsidRPr="006C22C8">
        <w:rPr>
          <w:rFonts w:ascii="Garamond" w:hAnsi="Garamond"/>
          <w:b/>
        </w:rPr>
        <w:t>Kč</w:t>
      </w:r>
      <w:r w:rsidRPr="006C22C8">
        <w:rPr>
          <w:rFonts w:ascii="Garamond" w:hAnsi="Garamond"/>
        </w:rPr>
        <w:t xml:space="preserve"> (slovy: </w:t>
      </w:r>
      <w:proofErr w:type="spellStart"/>
      <w:r w:rsidRPr="006C22C8">
        <w:rPr>
          <w:rFonts w:ascii="Garamond" w:hAnsi="Garamond"/>
        </w:rPr>
        <w:t>jedentisícpětsetkorunčeských</w:t>
      </w:r>
      <w:proofErr w:type="spellEnd"/>
      <w:r w:rsidRPr="006C22C8">
        <w:rPr>
          <w:rFonts w:ascii="Garamond" w:hAnsi="Garamond"/>
        </w:rPr>
        <w:t xml:space="preserve">) </w:t>
      </w:r>
      <w:r w:rsidRPr="006C22C8">
        <w:rPr>
          <w:rFonts w:ascii="Garamond" w:hAnsi="Garamond"/>
          <w:b/>
        </w:rPr>
        <w:t>měsíčně</w:t>
      </w:r>
      <w:r w:rsidRPr="006C22C8">
        <w:rPr>
          <w:rFonts w:ascii="Garamond" w:hAnsi="Garamond"/>
        </w:rPr>
        <w:t xml:space="preserve">, a to </w:t>
      </w:r>
      <w:r w:rsidRPr="006C22C8">
        <w:rPr>
          <w:rFonts w:ascii="Garamond" w:hAnsi="Garamond"/>
        </w:rPr>
        <w:lastRenderedPageBreak/>
        <w:t>jako pevnou paušální částku dle kalkulace provozu prostor a</w:t>
      </w:r>
      <w:r w:rsidR="00617AD1" w:rsidRPr="006C22C8">
        <w:rPr>
          <w:rFonts w:ascii="Garamond" w:hAnsi="Garamond"/>
        </w:rPr>
        <w:t xml:space="preserve"> cen dodavatelů pronajímatele. J</w:t>
      </w:r>
      <w:r w:rsidRPr="006C22C8">
        <w:rPr>
          <w:rFonts w:ascii="Garamond" w:hAnsi="Garamond"/>
        </w:rPr>
        <w:t xml:space="preserve">ejich výše tak odpovídá výši obvyklé, kdy vzhledem k dispozici prostor a rozvodů vody není technicky možné, aby si nájemce zajistil vlastní dodávku, ani poměrové měřidlo. Úhrada </w:t>
      </w:r>
      <w:r w:rsidR="00461E2A" w:rsidRPr="006C22C8">
        <w:rPr>
          <w:rFonts w:ascii="Garamond" w:hAnsi="Garamond"/>
        </w:rPr>
        <w:t xml:space="preserve">dle tohoto odstavce </w:t>
      </w:r>
      <w:r w:rsidRPr="006C22C8">
        <w:rPr>
          <w:rFonts w:ascii="Garamond" w:hAnsi="Garamond"/>
        </w:rPr>
        <w:t>je splatná</w:t>
      </w:r>
      <w:r w:rsidR="00461E2A" w:rsidRPr="006C22C8">
        <w:rPr>
          <w:rFonts w:ascii="Garamond" w:hAnsi="Garamond"/>
        </w:rPr>
        <w:t xml:space="preserve"> vždy nejpozději do 15. dne příslušného měsíce</w:t>
      </w:r>
      <w:r w:rsidRPr="006C22C8">
        <w:rPr>
          <w:rFonts w:ascii="Garamond" w:hAnsi="Garamond"/>
        </w:rPr>
        <w:t xml:space="preserve">, a to na účet č. </w:t>
      </w:r>
      <w:r w:rsidR="006C22C8">
        <w:rPr>
          <w:rFonts w:ascii="Garamond" w:hAnsi="Garamond"/>
        </w:rPr>
        <w:t>…………….</w:t>
      </w:r>
      <w:r w:rsidRPr="006C22C8">
        <w:rPr>
          <w:rFonts w:ascii="Garamond" w:hAnsi="Garamond"/>
        </w:rPr>
        <w:t>, variabilní symbol 5154, specifický symbol = IČ nájemce.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4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Pronajímatel dále</w:t>
      </w:r>
      <w:r w:rsidR="0085161B" w:rsidRPr="006C22C8">
        <w:rPr>
          <w:rFonts w:ascii="Garamond" w:hAnsi="Garamond"/>
        </w:rPr>
        <w:t>, nebude-li možné, aby si sám sjednal svým jménem,</w:t>
      </w:r>
      <w:r w:rsidRPr="006C22C8">
        <w:rPr>
          <w:rFonts w:ascii="Garamond" w:hAnsi="Garamond"/>
        </w:rPr>
        <w:t xml:space="preserve"> umožní nájemci dodávku elektrické energie prostřednictvím svého odběrného místa. Skutečná spotřeba bude měřena podružným elektroměrem a za každý měsíc nájmu odečtena. Pronajímatel nájemci přefakturuje jeho skutečnou spotřebu, kdy </w:t>
      </w:r>
      <w:r w:rsidR="00617AD1" w:rsidRPr="006C22C8">
        <w:rPr>
          <w:rFonts w:ascii="Garamond" w:hAnsi="Garamond"/>
        </w:rPr>
        <w:t xml:space="preserve">bude </w:t>
      </w:r>
      <w:r w:rsidRPr="006C22C8">
        <w:rPr>
          <w:rFonts w:ascii="Garamond" w:hAnsi="Garamond"/>
        </w:rPr>
        <w:t>účtována sjednaná odběrová sazba pronajímatele, kterou mu účtuje jeho dodavatel elektřiny. Jelikož má sazbu C26d, kdy odběr je ze 2/3 účtován ve vysokém tarifu (VT) a</w:t>
      </w:r>
      <w:r w:rsidR="00184D48" w:rsidRPr="006C22C8">
        <w:rPr>
          <w:rFonts w:ascii="Garamond" w:hAnsi="Garamond"/>
        </w:rPr>
        <w:t> </w:t>
      </w:r>
      <w:r w:rsidRPr="006C22C8">
        <w:rPr>
          <w:rFonts w:ascii="Garamond" w:hAnsi="Garamond"/>
        </w:rPr>
        <w:t xml:space="preserve">1/3 v nízkém tarifu (NT), bude naměřená měsíční spotřeba </w:t>
      </w:r>
      <w:r w:rsidR="00350A81" w:rsidRPr="006C22C8">
        <w:rPr>
          <w:rFonts w:ascii="Garamond" w:hAnsi="Garamond"/>
        </w:rPr>
        <w:t xml:space="preserve">nájemce </w:t>
      </w:r>
      <w:r w:rsidRPr="006C22C8">
        <w:rPr>
          <w:rFonts w:ascii="Garamond" w:hAnsi="Garamond"/>
        </w:rPr>
        <w:t xml:space="preserve">následně přepočítána ve stejném poměru, </w:t>
      </w:r>
      <w:proofErr w:type="gramStart"/>
      <w:r w:rsidRPr="006C22C8">
        <w:rPr>
          <w:rFonts w:ascii="Garamond" w:hAnsi="Garamond"/>
        </w:rPr>
        <w:t>tzn.</w:t>
      </w:r>
      <w:proofErr w:type="gramEnd"/>
      <w:r w:rsidRPr="006C22C8">
        <w:rPr>
          <w:rFonts w:ascii="Garamond" w:hAnsi="Garamond"/>
        </w:rPr>
        <w:t xml:space="preserve"> 2 díly celkové spotřeby </w:t>
      </w:r>
      <w:proofErr w:type="gramStart"/>
      <w:r w:rsidRPr="006C22C8">
        <w:rPr>
          <w:rFonts w:ascii="Garamond" w:hAnsi="Garamond"/>
        </w:rPr>
        <w:t>budou</w:t>
      </w:r>
      <w:proofErr w:type="gramEnd"/>
      <w:r w:rsidRPr="006C22C8">
        <w:rPr>
          <w:rFonts w:ascii="Garamond" w:hAnsi="Garamond"/>
        </w:rPr>
        <w:t xml:space="preserve"> počítány ve VT a 1 díl celkové spotřeby v NT.</w:t>
      </w:r>
      <w:r w:rsidR="00617AD1" w:rsidRPr="006C22C8">
        <w:rPr>
          <w:rFonts w:ascii="Garamond" w:hAnsi="Garamond"/>
        </w:rPr>
        <w:t xml:space="preserve"> Lhůta splatnosti činí 15 </w:t>
      </w:r>
      <w:r w:rsidRPr="006C22C8">
        <w:rPr>
          <w:rFonts w:ascii="Garamond" w:hAnsi="Garamond"/>
        </w:rPr>
        <w:t>dnů od doručení faktury nájemci.</w:t>
      </w:r>
    </w:p>
    <w:p w:rsidR="004D604A" w:rsidRPr="006C22C8" w:rsidRDefault="004D604A" w:rsidP="00134E82">
      <w:pPr>
        <w:autoSpaceDE/>
        <w:adjustRightInd/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4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Dále strany sjednávají právo pronajímatele jednostranně započí</w:t>
      </w:r>
      <w:r w:rsidR="00617AD1" w:rsidRPr="006C22C8">
        <w:rPr>
          <w:rFonts w:ascii="Garamond" w:hAnsi="Garamond"/>
        </w:rPr>
        <w:t>s</w:t>
      </w:r>
      <w:r w:rsidRPr="006C22C8">
        <w:rPr>
          <w:rFonts w:ascii="Garamond" w:hAnsi="Garamond"/>
        </w:rPr>
        <w:t xml:space="preserve">t částku přeúčtované elektřiny proti částce vyúčtované nájemcem pronajímateli za dodávku stravovacích služeb, a to i v případě, že dosud nebude splatná. Pronajímatel </w:t>
      </w:r>
      <w:r w:rsidR="00617AD1" w:rsidRPr="006C22C8">
        <w:rPr>
          <w:rFonts w:ascii="Garamond" w:hAnsi="Garamond"/>
        </w:rPr>
        <w:t xml:space="preserve">má </w:t>
      </w:r>
      <w:r w:rsidRPr="006C22C8">
        <w:rPr>
          <w:rFonts w:ascii="Garamond" w:hAnsi="Garamond"/>
        </w:rPr>
        <w:t>tedy</w:t>
      </w:r>
      <w:r w:rsidR="00617AD1" w:rsidRPr="006C22C8">
        <w:rPr>
          <w:rFonts w:ascii="Garamond" w:hAnsi="Garamond"/>
        </w:rPr>
        <w:t xml:space="preserve"> právo vyhotovit</w:t>
      </w:r>
      <w:r w:rsidRPr="006C22C8">
        <w:rPr>
          <w:rFonts w:ascii="Garamond" w:hAnsi="Garamond"/>
        </w:rPr>
        <w:t xml:space="preserve"> zápočet své pohledávky za elektřinu proti pohledávce nájemce – dodavatele za stravovací služby doplatí toliko rozdíl, o který je pohledávka nájemce vyšší.</w:t>
      </w:r>
    </w:p>
    <w:p w:rsidR="004D604A" w:rsidRPr="006C22C8" w:rsidRDefault="004D604A" w:rsidP="00134E82">
      <w:pPr>
        <w:autoSpaceDE/>
        <w:adjustRightInd/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4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Pro případ prodlení s placením nájemného či poskytovaných plnění (tzv. služeb) je nájemce povinen zaplatit za každý den prodlení pronajímateli smluvní pokutu ve výši 0,05 % z dlužné částky. Prodlení s úhradou či její částí delší jak jeden měsíc zakládá právo pronajímatele odstoupit jak od této smlouvy.</w:t>
      </w:r>
    </w:p>
    <w:p w:rsidR="004D604A" w:rsidRPr="006C22C8" w:rsidRDefault="004D604A" w:rsidP="004D604A">
      <w:pPr>
        <w:rPr>
          <w:rFonts w:ascii="Garamond" w:hAnsi="Garamond"/>
          <w:b/>
        </w:rPr>
      </w:pP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 xml:space="preserve">IV. 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>Doba trvání nájmu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4D604A" w:rsidRPr="006C22C8" w:rsidRDefault="004D604A" w:rsidP="00134E82">
      <w:pPr>
        <w:numPr>
          <w:ilvl w:val="0"/>
          <w:numId w:val="5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Nájem se sjednává </w:t>
      </w:r>
      <w:r w:rsidRPr="006C22C8">
        <w:rPr>
          <w:rFonts w:ascii="Garamond" w:hAnsi="Garamond"/>
          <w:b/>
        </w:rPr>
        <w:t>na dobu určitou od 1.</w:t>
      </w:r>
      <w:r w:rsidR="003D597C" w:rsidRPr="006C22C8">
        <w:rPr>
          <w:rFonts w:ascii="Garamond" w:hAnsi="Garamond"/>
          <w:b/>
        </w:rPr>
        <w:t xml:space="preserve"> 7. 201</w:t>
      </w:r>
      <w:r w:rsidR="00184D48" w:rsidRPr="006C22C8">
        <w:rPr>
          <w:rFonts w:ascii="Garamond" w:hAnsi="Garamond"/>
          <w:b/>
        </w:rPr>
        <w:t>9 do 31. 1</w:t>
      </w:r>
      <w:r w:rsidRPr="006C22C8">
        <w:rPr>
          <w:rFonts w:ascii="Garamond" w:hAnsi="Garamond"/>
          <w:b/>
        </w:rPr>
        <w:t>. 20</w:t>
      </w:r>
      <w:r w:rsidR="00184D48" w:rsidRPr="006C22C8">
        <w:rPr>
          <w:rFonts w:ascii="Garamond" w:hAnsi="Garamond"/>
          <w:b/>
        </w:rPr>
        <w:t>2</w:t>
      </w:r>
      <w:r w:rsidRPr="006C22C8">
        <w:rPr>
          <w:rFonts w:ascii="Garamond" w:hAnsi="Garamond"/>
          <w:b/>
        </w:rPr>
        <w:t>1</w:t>
      </w:r>
      <w:r w:rsidRPr="006C22C8">
        <w:rPr>
          <w:rFonts w:ascii="Garamond" w:hAnsi="Garamond"/>
        </w:rPr>
        <w:t>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5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Vzhledem k tomu, že nájem je sjednán výlučně za tím účelem, aby nájemce mohl plnit veřejnou zakázku </w:t>
      </w:r>
      <w:r w:rsidR="00CC041D" w:rsidRPr="006C22C8">
        <w:rPr>
          <w:rFonts w:ascii="Garamond" w:hAnsi="Garamond"/>
        </w:rPr>
        <w:t xml:space="preserve">„Zajištění stravování zaměstnanců a provoz bufetu“ </w:t>
      </w:r>
      <w:r w:rsidRPr="006C22C8">
        <w:rPr>
          <w:rFonts w:ascii="Garamond" w:hAnsi="Garamond"/>
        </w:rPr>
        <w:t xml:space="preserve">a poskytovat zaměstnancům pronajímatele stravovací služby, </w:t>
      </w:r>
      <w:r w:rsidR="00311D8E" w:rsidRPr="006C22C8">
        <w:rPr>
          <w:rFonts w:ascii="Garamond" w:hAnsi="Garamond"/>
        </w:rPr>
        <w:t xml:space="preserve">zaniká </w:t>
      </w:r>
      <w:r w:rsidRPr="006C22C8">
        <w:rPr>
          <w:rFonts w:ascii="Garamond" w:hAnsi="Garamond"/>
        </w:rPr>
        <w:t>tato smlouva případně stejným okamžikem, kdy by došlo předčasně k ukončení smlouvy na samotné stravovací služby, jež je sjednána na téže období.</w:t>
      </w:r>
      <w:r w:rsidR="00CC041D" w:rsidRPr="006C22C8">
        <w:rPr>
          <w:rFonts w:ascii="Garamond" w:hAnsi="Garamond"/>
        </w:rPr>
        <w:t xml:space="preserve"> </w:t>
      </w:r>
      <w:r w:rsidR="00311D8E" w:rsidRPr="006C22C8">
        <w:rPr>
          <w:rFonts w:ascii="Garamond" w:hAnsi="Garamond"/>
        </w:rPr>
        <w:t xml:space="preserve">V tomto případě se smluvní strany zavazují uzavřít písemnou dohodu, </w:t>
      </w:r>
      <w:r w:rsidR="00311D8E" w:rsidRPr="006C22C8">
        <w:rPr>
          <w:rFonts w:ascii="Garamond" w:hAnsi="Garamond" w:cs="Arial"/>
          <w:color w:val="000000"/>
        </w:rPr>
        <w:t>která bude obsahovat vypořádání vzájemných závazků.</w:t>
      </w:r>
    </w:p>
    <w:p w:rsidR="004D604A" w:rsidRPr="006C22C8" w:rsidRDefault="004D604A" w:rsidP="00134E82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4D604A" w:rsidRPr="006C22C8" w:rsidRDefault="004D604A" w:rsidP="00134E82">
      <w:pPr>
        <w:numPr>
          <w:ilvl w:val="0"/>
          <w:numId w:val="5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Pro případ, že by došlo k odstoupení od této smlouvy, sjednávají strany, že odstoupení nepůsobí zpětně, ale toliko od okamžiku, kdy bylo doručeno či se dostalo do dispozice druhé smluvní strany.</w:t>
      </w:r>
    </w:p>
    <w:p w:rsidR="00FC0A94" w:rsidRPr="006C22C8" w:rsidRDefault="00FC0A94" w:rsidP="00134E82">
      <w:pPr>
        <w:pStyle w:val="Odstavecseseznamem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4D604A" w:rsidRPr="006C22C8" w:rsidRDefault="004D604A" w:rsidP="00134E82">
      <w:pPr>
        <w:numPr>
          <w:ilvl w:val="0"/>
          <w:numId w:val="5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V důsledku odstoupení nezaniká právo pronajímatele na náhradu škody ani na smluvní pokutu.</w:t>
      </w:r>
    </w:p>
    <w:p w:rsidR="00184D48" w:rsidRPr="006C22C8" w:rsidRDefault="00184D48" w:rsidP="00134E82">
      <w:pPr>
        <w:autoSpaceDE/>
        <w:adjustRightInd/>
        <w:jc w:val="both"/>
        <w:rPr>
          <w:rFonts w:ascii="Garamond" w:hAnsi="Garamond"/>
        </w:rPr>
      </w:pPr>
    </w:p>
    <w:p w:rsidR="00DC64B1" w:rsidRPr="006C22C8" w:rsidRDefault="00012BAA" w:rsidP="00134E82">
      <w:pPr>
        <w:numPr>
          <w:ilvl w:val="0"/>
          <w:numId w:val="5"/>
        </w:numPr>
        <w:autoSpaceDE/>
        <w:adjustRightInd/>
        <w:ind w:left="0"/>
        <w:jc w:val="both"/>
        <w:rPr>
          <w:rFonts w:ascii="Garamond" w:hAnsi="Garamond"/>
          <w:b/>
        </w:rPr>
      </w:pPr>
      <w:r w:rsidRPr="006C22C8">
        <w:rPr>
          <w:rFonts w:ascii="Garamond" w:hAnsi="Garamond"/>
        </w:rPr>
        <w:t>Pronajímatel,</w:t>
      </w:r>
      <w:r w:rsidR="004D604A" w:rsidRPr="006C22C8">
        <w:rPr>
          <w:rFonts w:ascii="Garamond" w:hAnsi="Garamond"/>
        </w:rPr>
        <w:t xml:space="preserve"> vázán § 3</w:t>
      </w:r>
      <w:r w:rsidR="00184D48" w:rsidRPr="006C22C8">
        <w:rPr>
          <w:rFonts w:ascii="Garamond" w:hAnsi="Garamond"/>
        </w:rPr>
        <w:t>4</w:t>
      </w:r>
      <w:r w:rsidR="004D604A" w:rsidRPr="006C22C8">
        <w:rPr>
          <w:rFonts w:ascii="Garamond" w:hAnsi="Garamond"/>
        </w:rPr>
        <w:t xml:space="preserve"> odst. 3 Instrukce Ministerstva spravedlnosti </w:t>
      </w:r>
      <w:r w:rsidR="004412A7" w:rsidRPr="006C22C8">
        <w:rPr>
          <w:rFonts w:ascii="Garamond" w:hAnsi="Garamond"/>
        </w:rPr>
        <w:t xml:space="preserve">ze dne </w:t>
      </w:r>
      <w:r w:rsidR="00184D48" w:rsidRPr="006C22C8">
        <w:rPr>
          <w:rFonts w:ascii="Garamond" w:hAnsi="Garamond"/>
        </w:rPr>
        <w:t>14. 8. 2017</w:t>
      </w:r>
      <w:r w:rsidR="004412A7" w:rsidRPr="006C22C8">
        <w:rPr>
          <w:rFonts w:ascii="Garamond" w:hAnsi="Garamond"/>
        </w:rPr>
        <w:t xml:space="preserve">, č. j. </w:t>
      </w:r>
      <w:r w:rsidR="00184D48" w:rsidRPr="006C22C8">
        <w:rPr>
          <w:rFonts w:ascii="Garamond" w:hAnsi="Garamond"/>
        </w:rPr>
        <w:t>MSP-87/2017-OPR-M</w:t>
      </w:r>
      <w:r w:rsidR="004412A7" w:rsidRPr="006C22C8">
        <w:rPr>
          <w:rFonts w:ascii="Garamond" w:hAnsi="Garamond"/>
        </w:rPr>
        <w:t xml:space="preserve">, o způsobech a podmínkách hospodaření s majetkem </w:t>
      </w:r>
      <w:r w:rsidRPr="006C22C8">
        <w:rPr>
          <w:rFonts w:ascii="Garamond" w:hAnsi="Garamond"/>
        </w:rPr>
        <w:t>státu, v aktuálním znění,</w:t>
      </w:r>
      <w:r w:rsidR="00CC041D" w:rsidRPr="006C22C8">
        <w:rPr>
          <w:rFonts w:ascii="Garamond" w:hAnsi="Garamond"/>
        </w:rPr>
        <w:t xml:space="preserve"> je</w:t>
      </w:r>
      <w:r w:rsidR="004412A7" w:rsidRPr="006C22C8">
        <w:rPr>
          <w:rFonts w:ascii="Garamond" w:hAnsi="Garamond"/>
        </w:rPr>
        <w:t xml:space="preserve"> </w:t>
      </w:r>
      <w:r w:rsidR="004D604A" w:rsidRPr="006C22C8">
        <w:rPr>
          <w:rFonts w:ascii="Garamond" w:hAnsi="Garamond"/>
        </w:rPr>
        <w:t>oprávněn odstoupit od této nájemní smlouvy také v případě, že mu vyvstane potřeb</w:t>
      </w:r>
      <w:r w:rsidR="00CC041D" w:rsidRPr="006C22C8">
        <w:rPr>
          <w:rFonts w:ascii="Garamond" w:hAnsi="Garamond"/>
        </w:rPr>
        <w:t>a k </w:t>
      </w:r>
      <w:r w:rsidR="004D604A" w:rsidRPr="006C22C8">
        <w:rPr>
          <w:rFonts w:ascii="Garamond" w:hAnsi="Garamond"/>
        </w:rPr>
        <w:t xml:space="preserve">využití pronajatých prostor. </w:t>
      </w:r>
    </w:p>
    <w:p w:rsidR="00960428" w:rsidRPr="006C22C8" w:rsidRDefault="00960428" w:rsidP="00134E82">
      <w:pPr>
        <w:autoSpaceDE/>
        <w:adjustRightInd/>
        <w:jc w:val="both"/>
        <w:rPr>
          <w:rFonts w:ascii="Garamond" w:hAnsi="Garamond"/>
        </w:rPr>
      </w:pPr>
    </w:p>
    <w:p w:rsidR="00DC64B1" w:rsidRPr="006C22C8" w:rsidRDefault="00DC64B1" w:rsidP="00134E82">
      <w:pPr>
        <w:numPr>
          <w:ilvl w:val="0"/>
          <w:numId w:val="5"/>
        </w:numPr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lastRenderedPageBreak/>
        <w:t>Nájem zanikne uplynutím doby nájmu nebo na základě písemné dohody obou stran, případně odstoupením pronajímatele od této smlouvy. Nájem lze ukončit také výpovědí ze zákonných důvodů</w:t>
      </w:r>
      <w:r w:rsidR="00CC041D" w:rsidRPr="006C22C8">
        <w:rPr>
          <w:rFonts w:ascii="Garamond" w:hAnsi="Garamond"/>
        </w:rPr>
        <w:t>,</w:t>
      </w:r>
      <w:r w:rsidRPr="006C22C8">
        <w:rPr>
          <w:rFonts w:ascii="Garamond" w:hAnsi="Garamond"/>
        </w:rPr>
        <w:t xml:space="preserve"> a to s</w:t>
      </w:r>
      <w:r w:rsidR="00094E55" w:rsidRPr="006C22C8">
        <w:rPr>
          <w:rFonts w:ascii="Garamond" w:hAnsi="Garamond"/>
        </w:rPr>
        <w:t> </w:t>
      </w:r>
      <w:r w:rsidRPr="006C22C8">
        <w:rPr>
          <w:rFonts w:ascii="Garamond" w:hAnsi="Garamond"/>
        </w:rPr>
        <w:t>výpovědní</w:t>
      </w:r>
      <w:r w:rsidR="00094E55" w:rsidRPr="006C22C8">
        <w:rPr>
          <w:rFonts w:ascii="Garamond" w:hAnsi="Garamond"/>
        </w:rPr>
        <w:t xml:space="preserve"> dobou</w:t>
      </w:r>
      <w:r w:rsidRPr="006C22C8">
        <w:rPr>
          <w:rFonts w:ascii="Garamond" w:hAnsi="Garamond"/>
        </w:rPr>
        <w:t>, kterou připouští zákon, přičemž tato</w:t>
      </w:r>
      <w:r w:rsidR="00094E55" w:rsidRPr="006C22C8">
        <w:rPr>
          <w:rFonts w:ascii="Garamond" w:hAnsi="Garamond"/>
        </w:rPr>
        <w:t xml:space="preserve"> </w:t>
      </w:r>
      <w:r w:rsidR="00311D8E" w:rsidRPr="006C22C8">
        <w:rPr>
          <w:rFonts w:ascii="Garamond" w:hAnsi="Garamond"/>
        </w:rPr>
        <w:t xml:space="preserve">doba </w:t>
      </w:r>
      <w:r w:rsidRPr="006C22C8">
        <w:rPr>
          <w:rFonts w:ascii="Garamond" w:hAnsi="Garamond"/>
        </w:rPr>
        <w:t xml:space="preserve">počíná běžet prvním dnem měsíce následujícím po měsíci, v němž byla výpověď druhé straně doručena. </w:t>
      </w:r>
    </w:p>
    <w:p w:rsidR="00B1420A" w:rsidRPr="006C22C8" w:rsidRDefault="00B1420A" w:rsidP="00134E82">
      <w:pPr>
        <w:spacing w:line="288" w:lineRule="auto"/>
        <w:jc w:val="both"/>
        <w:rPr>
          <w:rFonts w:ascii="Garamond" w:hAnsi="Garamond"/>
        </w:rPr>
      </w:pPr>
    </w:p>
    <w:p w:rsidR="004D604A" w:rsidRPr="006C22C8" w:rsidRDefault="00DC64B1" w:rsidP="00134E82">
      <w:pPr>
        <w:numPr>
          <w:ilvl w:val="0"/>
          <w:numId w:val="5"/>
        </w:numPr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P</w:t>
      </w:r>
      <w:r w:rsidR="004D604A" w:rsidRPr="006C22C8">
        <w:rPr>
          <w:rFonts w:ascii="Garamond" w:hAnsi="Garamond"/>
        </w:rPr>
        <w:t xml:space="preserve">o ukončení nájmu je nájemce povinen </w:t>
      </w:r>
      <w:r w:rsidR="00CC041D" w:rsidRPr="006C22C8">
        <w:rPr>
          <w:rFonts w:ascii="Garamond" w:hAnsi="Garamond"/>
        </w:rPr>
        <w:t>vyklizený předmět nájmu</w:t>
      </w:r>
      <w:r w:rsidR="004D604A" w:rsidRPr="006C22C8">
        <w:rPr>
          <w:rFonts w:ascii="Garamond" w:hAnsi="Garamond"/>
        </w:rPr>
        <w:t xml:space="preserve"> ve stavu, v jakém jej převzal, včetně všeho vybavení a zařízení, předat zpět pronajímateli – v případě uplynutí doby nájmu v den skončení</w:t>
      </w:r>
      <w:r w:rsidR="00CC041D" w:rsidRPr="006C22C8">
        <w:rPr>
          <w:rFonts w:ascii="Garamond" w:hAnsi="Garamond"/>
        </w:rPr>
        <w:t xml:space="preserve"> nájmu</w:t>
      </w:r>
      <w:r w:rsidR="004D604A" w:rsidRPr="006C22C8">
        <w:rPr>
          <w:rFonts w:ascii="Garamond" w:hAnsi="Garamond"/>
        </w:rPr>
        <w:t>, v případě předčasného ukončení</w:t>
      </w:r>
      <w:r w:rsidR="00CC041D" w:rsidRPr="006C22C8">
        <w:rPr>
          <w:rFonts w:ascii="Garamond" w:hAnsi="Garamond"/>
        </w:rPr>
        <w:t xml:space="preserve"> nájmu</w:t>
      </w:r>
      <w:r w:rsidR="004D604A" w:rsidRPr="006C22C8">
        <w:rPr>
          <w:rFonts w:ascii="Garamond" w:hAnsi="Garamond"/>
        </w:rPr>
        <w:t xml:space="preserve"> nejpozději do 3 pracovních dnů od </w:t>
      </w:r>
      <w:r w:rsidR="00311D8E" w:rsidRPr="006C22C8">
        <w:rPr>
          <w:rFonts w:ascii="Garamond" w:hAnsi="Garamond"/>
        </w:rPr>
        <w:t xml:space="preserve">ukončení této </w:t>
      </w:r>
      <w:r w:rsidR="00CC041D" w:rsidRPr="006C22C8">
        <w:rPr>
          <w:rFonts w:ascii="Garamond" w:hAnsi="Garamond"/>
        </w:rPr>
        <w:t>smlouvy</w:t>
      </w:r>
      <w:r w:rsidR="004D604A" w:rsidRPr="006C22C8">
        <w:rPr>
          <w:rFonts w:ascii="Garamond" w:hAnsi="Garamond"/>
        </w:rPr>
        <w:t>.</w:t>
      </w:r>
    </w:p>
    <w:p w:rsidR="004D604A" w:rsidRPr="006C22C8" w:rsidRDefault="004D604A" w:rsidP="00134E82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4D604A" w:rsidRPr="006C22C8" w:rsidRDefault="004D604A" w:rsidP="00134E82">
      <w:pPr>
        <w:numPr>
          <w:ilvl w:val="0"/>
          <w:numId w:val="5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V případě prodlení s vyklizením dle předchozího článku je nájemce povinen uhradit pronají</w:t>
      </w:r>
      <w:r w:rsidR="00CC041D" w:rsidRPr="006C22C8">
        <w:rPr>
          <w:rFonts w:ascii="Garamond" w:hAnsi="Garamond"/>
        </w:rPr>
        <w:t xml:space="preserve">mateli smluvní pokutu ve výši 1 </w:t>
      </w:r>
      <w:r w:rsidRPr="006C22C8">
        <w:rPr>
          <w:rFonts w:ascii="Garamond" w:hAnsi="Garamond"/>
        </w:rPr>
        <w:t>000</w:t>
      </w:r>
      <w:r w:rsidR="00012DFE" w:rsidRPr="006C22C8">
        <w:rPr>
          <w:rFonts w:ascii="Garamond" w:hAnsi="Garamond"/>
        </w:rPr>
        <w:t xml:space="preserve"> </w:t>
      </w:r>
      <w:r w:rsidRPr="006C22C8">
        <w:rPr>
          <w:rFonts w:ascii="Garamond" w:hAnsi="Garamond"/>
        </w:rPr>
        <w:t xml:space="preserve">Kč (slovy: </w:t>
      </w:r>
      <w:proofErr w:type="spellStart"/>
      <w:r w:rsidRPr="006C22C8">
        <w:rPr>
          <w:rFonts w:ascii="Garamond" w:hAnsi="Garamond"/>
        </w:rPr>
        <w:t>jedentisíckorunčeských</w:t>
      </w:r>
      <w:proofErr w:type="spellEnd"/>
      <w:r w:rsidRPr="006C22C8">
        <w:rPr>
          <w:rFonts w:ascii="Garamond" w:hAnsi="Garamond"/>
        </w:rPr>
        <w:t>) za každý den prodlení.</w:t>
      </w:r>
    </w:p>
    <w:p w:rsidR="004D604A" w:rsidRPr="006C22C8" w:rsidRDefault="004D604A" w:rsidP="00134E82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4D604A" w:rsidRPr="006C22C8" w:rsidRDefault="004D604A" w:rsidP="00134E82">
      <w:pPr>
        <w:numPr>
          <w:ilvl w:val="0"/>
          <w:numId w:val="5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Trvá-li prodlení nájemce s vyklizením prostor déle jak 1 týden, sjednávají strany, že vyklizení je oprávněn za nájemce provést pronajímatel, bude-li tak ochoten učinit, a to na náklady nájemce. Do těchto nákladů patří i náklady za případné skladování vyklizených věcí nájemce, pokud nevyužije pronajímatel svého práva tyto věci zadržet a zřídit tak k</w:t>
      </w:r>
      <w:r w:rsidR="00184D48" w:rsidRPr="006C22C8">
        <w:rPr>
          <w:rFonts w:ascii="Garamond" w:hAnsi="Garamond"/>
        </w:rPr>
        <w:t> </w:t>
      </w:r>
      <w:r w:rsidRPr="006C22C8">
        <w:rPr>
          <w:rFonts w:ascii="Garamond" w:hAnsi="Garamond"/>
        </w:rPr>
        <w:t xml:space="preserve">nim zadržovací právo. </w:t>
      </w:r>
    </w:p>
    <w:p w:rsidR="004D604A" w:rsidRPr="006C22C8" w:rsidRDefault="004D604A" w:rsidP="004D604A">
      <w:pPr>
        <w:autoSpaceDE/>
        <w:adjustRightInd/>
        <w:ind w:left="720"/>
        <w:jc w:val="both"/>
        <w:rPr>
          <w:rFonts w:ascii="Garamond" w:hAnsi="Garamond"/>
        </w:rPr>
      </w:pPr>
    </w:p>
    <w:p w:rsidR="004D604A" w:rsidRPr="006C22C8" w:rsidRDefault="004D604A" w:rsidP="004D604A">
      <w:pPr>
        <w:autoSpaceDE/>
        <w:adjustRightInd/>
        <w:ind w:left="720"/>
        <w:jc w:val="both"/>
        <w:rPr>
          <w:rFonts w:ascii="Garamond" w:hAnsi="Garamond"/>
        </w:rPr>
      </w:pP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 xml:space="preserve">V. 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>Práva a povinnosti stran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</w:p>
    <w:p w:rsidR="004D604A" w:rsidRPr="006C22C8" w:rsidRDefault="00EB247D" w:rsidP="00134E82">
      <w:pPr>
        <w:numPr>
          <w:ilvl w:val="0"/>
          <w:numId w:val="6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Pronajímatel je povinen provést opravy přesahující rámec běžné údržby. Běžnou údržbu předmětu nájmu provádí nájemce</w:t>
      </w:r>
      <w:r w:rsidR="00E35823" w:rsidRPr="006C22C8">
        <w:rPr>
          <w:rFonts w:ascii="Garamond" w:hAnsi="Garamond"/>
        </w:rPr>
        <w:t>, kdy pro vymezení termínu běžná údržba se použije § 2 z nařízení vlády č. 308/2015 Sb. analogicky.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6"/>
        </w:numPr>
        <w:autoSpaceDE/>
        <w:adjustRightInd/>
        <w:ind w:left="0"/>
        <w:jc w:val="both"/>
        <w:rPr>
          <w:rFonts w:ascii="Garamond" w:hAnsi="Garamond"/>
          <w:color w:val="FF0000"/>
        </w:rPr>
      </w:pPr>
      <w:r w:rsidRPr="006C22C8">
        <w:rPr>
          <w:rFonts w:ascii="Garamond" w:hAnsi="Garamond"/>
        </w:rPr>
        <w:t>Nájemce je povinen pečovat o předmět nájmu s péčí řádného hospodáře, předcházet možným škodám a pronajímateli včas hlásit potřebu oprav, k nimž je povinen pronajímatel.</w:t>
      </w:r>
    </w:p>
    <w:p w:rsidR="004D604A" w:rsidRPr="006C22C8" w:rsidRDefault="004D604A" w:rsidP="00134E82">
      <w:pPr>
        <w:pStyle w:val="Odstavecseseznamem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A61FF0" w:rsidRPr="006C22C8" w:rsidRDefault="004D604A" w:rsidP="00134E82">
      <w:pPr>
        <w:numPr>
          <w:ilvl w:val="0"/>
          <w:numId w:val="6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Nájemce není oprávněn provádět v předmětu nájmu úpravy či změny bez předchozího písemného souhlasu pronajímatele, resp. dohody o podmínkách a podobě případné úpravy prostor (včetně vizuální podoby vstupu – „výlohy“, s výjimkou uvedení svých údajů namísto dosavadního nájemce). Porušení této povinnosti zakládá právo pronajímatele odstoupit od této smlouvy. </w:t>
      </w:r>
    </w:p>
    <w:p w:rsidR="00A2267F" w:rsidRPr="006C22C8" w:rsidRDefault="00A2267F" w:rsidP="00184D48">
      <w:pPr>
        <w:jc w:val="both"/>
        <w:rPr>
          <w:rFonts w:ascii="Garamond" w:hAnsi="Garamond"/>
        </w:rPr>
      </w:pPr>
    </w:p>
    <w:p w:rsidR="00A2267F" w:rsidRPr="006C22C8" w:rsidRDefault="00A2267F" w:rsidP="004D604A">
      <w:pPr>
        <w:ind w:left="720"/>
        <w:jc w:val="both"/>
        <w:rPr>
          <w:rFonts w:ascii="Garamond" w:hAnsi="Garamond"/>
        </w:rPr>
      </w:pP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 xml:space="preserve">VI. 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>Zvláštní ujednání</w:t>
      </w:r>
    </w:p>
    <w:p w:rsidR="004D604A" w:rsidRPr="006C22C8" w:rsidRDefault="004D604A" w:rsidP="004D604A">
      <w:pPr>
        <w:jc w:val="both"/>
        <w:rPr>
          <w:rFonts w:ascii="Garamond" w:hAnsi="Garamond"/>
          <w:b/>
        </w:rPr>
      </w:pPr>
    </w:p>
    <w:p w:rsidR="004D604A" w:rsidRPr="006C22C8" w:rsidRDefault="004D604A" w:rsidP="00134E82">
      <w:pPr>
        <w:numPr>
          <w:ilvl w:val="0"/>
          <w:numId w:val="7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S ohledem na specifický provoz budovy (soud) se zavazuje pronajímatel dodržovat a</w:t>
      </w:r>
      <w:r w:rsidR="00184D48" w:rsidRPr="006C22C8">
        <w:rPr>
          <w:rFonts w:ascii="Garamond" w:hAnsi="Garamond"/>
        </w:rPr>
        <w:t> </w:t>
      </w:r>
      <w:r w:rsidRPr="006C22C8">
        <w:rPr>
          <w:rFonts w:ascii="Garamond" w:hAnsi="Garamond"/>
        </w:rPr>
        <w:t>zajistit, aby jeho zaměstnan</w:t>
      </w:r>
      <w:r w:rsidR="00174127" w:rsidRPr="006C22C8">
        <w:rPr>
          <w:rFonts w:ascii="Garamond" w:hAnsi="Garamond"/>
        </w:rPr>
        <w:t>ci či sjednané osoby</w:t>
      </w:r>
      <w:r w:rsidR="00960428" w:rsidRPr="006C22C8">
        <w:rPr>
          <w:rFonts w:ascii="Garamond" w:hAnsi="Garamond"/>
        </w:rPr>
        <w:t xml:space="preserve"> dodržovali</w:t>
      </w:r>
      <w:r w:rsidRPr="006C22C8">
        <w:rPr>
          <w:rFonts w:ascii="Garamond" w:hAnsi="Garamond"/>
        </w:rPr>
        <w:t xml:space="preserve"> pravidla vst</w:t>
      </w:r>
      <w:r w:rsidR="00CC041D" w:rsidRPr="006C22C8">
        <w:rPr>
          <w:rFonts w:ascii="Garamond" w:hAnsi="Garamond"/>
        </w:rPr>
        <w:t>upu a pohybu po budově, jakož i </w:t>
      </w:r>
      <w:r w:rsidRPr="006C22C8">
        <w:rPr>
          <w:rFonts w:ascii="Garamond" w:hAnsi="Garamond"/>
        </w:rPr>
        <w:t>pokyny justiční stráže.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7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Zejména se zavazuje podrobit se kontrole při vstupu a zákazu vnášení zbraní a jim obdobných předmětů do budovy a zákazu pořizování či umožnění pořizování zvukových či obrazových záznamů bez výslovného svolení předsedy soudu.</w:t>
      </w:r>
    </w:p>
    <w:p w:rsidR="004D604A" w:rsidRPr="006C22C8" w:rsidRDefault="004D604A" w:rsidP="00134E82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4D604A" w:rsidRPr="006C22C8" w:rsidRDefault="004D604A" w:rsidP="00134E82">
      <w:pPr>
        <w:numPr>
          <w:ilvl w:val="0"/>
          <w:numId w:val="7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Do budovy se zavazuje vstupovat výlučně vchodem „A“, tj. hlavním pro veřejnost, kdy je oprávněn jej využívat i pro zásobování, toto mu bude umožněno.</w:t>
      </w:r>
    </w:p>
    <w:p w:rsidR="004D604A" w:rsidRPr="006C22C8" w:rsidRDefault="004D604A" w:rsidP="00134E82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4D604A" w:rsidRPr="006C22C8" w:rsidRDefault="004D604A" w:rsidP="00134E82">
      <w:pPr>
        <w:numPr>
          <w:ilvl w:val="0"/>
          <w:numId w:val="7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lastRenderedPageBreak/>
        <w:t>Vstup a pobyt v předmětu nájmu je možný toliko v době, kdy j</w:t>
      </w:r>
      <w:r w:rsidR="00CC041D" w:rsidRPr="006C22C8">
        <w:rPr>
          <w:rFonts w:ascii="Garamond" w:hAnsi="Garamond"/>
        </w:rPr>
        <w:t>e otevřen hlavní vchod budovy a </w:t>
      </w:r>
      <w:r w:rsidRPr="006C22C8">
        <w:rPr>
          <w:rFonts w:ascii="Garamond" w:hAnsi="Garamond"/>
        </w:rPr>
        <w:t xml:space="preserve">k dispozici </w:t>
      </w:r>
      <w:r w:rsidR="00960428" w:rsidRPr="006C22C8">
        <w:rPr>
          <w:rFonts w:ascii="Garamond" w:hAnsi="Garamond"/>
        </w:rPr>
        <w:t>justiční stráž, tj. v době od 6.30 hod. do 16.</w:t>
      </w:r>
      <w:r w:rsidRPr="006C22C8">
        <w:rPr>
          <w:rFonts w:ascii="Garamond" w:hAnsi="Garamond"/>
        </w:rPr>
        <w:t>00 hod</w:t>
      </w:r>
      <w:r w:rsidR="00960428" w:rsidRPr="006C22C8">
        <w:rPr>
          <w:rFonts w:ascii="Garamond" w:hAnsi="Garamond"/>
        </w:rPr>
        <w:t>.</w:t>
      </w:r>
      <w:r w:rsidRPr="006C22C8">
        <w:rPr>
          <w:rFonts w:ascii="Garamond" w:hAnsi="Garamond"/>
        </w:rPr>
        <w:t xml:space="preserve">, což bere nájemce na vědomí. </w:t>
      </w:r>
      <w:r w:rsidR="00CC041D" w:rsidRPr="006C22C8">
        <w:rPr>
          <w:rFonts w:ascii="Garamond" w:hAnsi="Garamond"/>
        </w:rPr>
        <w:t xml:space="preserve">Nájemce je proto </w:t>
      </w:r>
      <w:r w:rsidRPr="006C22C8">
        <w:rPr>
          <w:rFonts w:ascii="Garamond" w:hAnsi="Garamond"/>
        </w:rPr>
        <w:t>povinen stanovit otvírací dobu bufetu tak, aby zákazníci včas opustili budovu před jejím uzavřením.</w:t>
      </w:r>
    </w:p>
    <w:p w:rsidR="004D604A" w:rsidRPr="006C22C8" w:rsidRDefault="004D604A" w:rsidP="004D604A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4D604A" w:rsidRPr="006C22C8" w:rsidRDefault="004D604A" w:rsidP="00134E82">
      <w:pPr>
        <w:numPr>
          <w:ilvl w:val="0"/>
          <w:numId w:val="7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Nájemce se zavazuje dodržovat zákaz prodeje jakýchkoliv alkoholických nápojů.</w:t>
      </w:r>
    </w:p>
    <w:p w:rsidR="004D604A" w:rsidRPr="006C22C8" w:rsidRDefault="004D604A" w:rsidP="00134E82">
      <w:pPr>
        <w:pStyle w:val="Odstavecseseznamem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4D604A" w:rsidRPr="006C22C8" w:rsidRDefault="004D604A" w:rsidP="00134E82">
      <w:pPr>
        <w:numPr>
          <w:ilvl w:val="0"/>
          <w:numId w:val="7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Dále se zavazuje dodržovat kromě obecně závazných předpisů i </w:t>
      </w:r>
      <w:r w:rsidR="0009099C" w:rsidRPr="006C22C8">
        <w:rPr>
          <w:rFonts w:ascii="Garamond" w:hAnsi="Garamond"/>
        </w:rPr>
        <w:t>povinnosti vyplývající z</w:t>
      </w:r>
      <w:r w:rsidR="00184D48" w:rsidRPr="006C22C8">
        <w:rPr>
          <w:rFonts w:ascii="Garamond" w:hAnsi="Garamond"/>
        </w:rPr>
        <w:t> </w:t>
      </w:r>
      <w:r w:rsidRPr="006C22C8">
        <w:rPr>
          <w:rFonts w:ascii="Garamond" w:hAnsi="Garamond"/>
        </w:rPr>
        <w:t>vnitřní</w:t>
      </w:r>
      <w:r w:rsidR="0009099C" w:rsidRPr="006C22C8">
        <w:rPr>
          <w:rFonts w:ascii="Garamond" w:hAnsi="Garamond"/>
        </w:rPr>
        <w:t>ch</w:t>
      </w:r>
      <w:r w:rsidRPr="006C22C8">
        <w:rPr>
          <w:rFonts w:ascii="Garamond" w:hAnsi="Garamond"/>
        </w:rPr>
        <w:t xml:space="preserve"> předpis</w:t>
      </w:r>
      <w:r w:rsidR="0009099C" w:rsidRPr="006C22C8">
        <w:rPr>
          <w:rFonts w:ascii="Garamond" w:hAnsi="Garamond"/>
        </w:rPr>
        <w:t>ů</w:t>
      </w:r>
      <w:r w:rsidRPr="006C22C8">
        <w:rPr>
          <w:rFonts w:ascii="Garamond" w:hAnsi="Garamond"/>
        </w:rPr>
        <w:t xml:space="preserve"> pronajím</w:t>
      </w:r>
      <w:r w:rsidR="00D10BCD" w:rsidRPr="006C22C8">
        <w:rPr>
          <w:rFonts w:ascii="Garamond" w:hAnsi="Garamond"/>
        </w:rPr>
        <w:t xml:space="preserve">atele, </w:t>
      </w:r>
      <w:r w:rsidR="0065311A" w:rsidRPr="006C22C8">
        <w:rPr>
          <w:rFonts w:ascii="Garamond" w:hAnsi="Garamond"/>
        </w:rPr>
        <w:t xml:space="preserve">kdy pravidla přímo pro bufet </w:t>
      </w:r>
      <w:r w:rsidR="00D10BCD" w:rsidRPr="006C22C8">
        <w:rPr>
          <w:rFonts w:ascii="Garamond" w:hAnsi="Garamond"/>
        </w:rPr>
        <w:t xml:space="preserve">jsou </w:t>
      </w:r>
      <w:r w:rsidR="00B213AE" w:rsidRPr="006C22C8">
        <w:rPr>
          <w:rFonts w:ascii="Garamond" w:hAnsi="Garamond"/>
        </w:rPr>
        <w:t>připoje</w:t>
      </w:r>
      <w:r w:rsidR="0065311A" w:rsidRPr="006C22C8">
        <w:rPr>
          <w:rFonts w:ascii="Garamond" w:hAnsi="Garamond"/>
        </w:rPr>
        <w:t>na</w:t>
      </w:r>
      <w:r w:rsidR="00D10BCD" w:rsidRPr="006C22C8">
        <w:rPr>
          <w:rFonts w:ascii="Garamond" w:hAnsi="Garamond"/>
        </w:rPr>
        <w:t xml:space="preserve"> v</w:t>
      </w:r>
      <w:r w:rsidR="00B213AE" w:rsidRPr="006C22C8">
        <w:rPr>
          <w:rFonts w:ascii="Garamond" w:hAnsi="Garamond"/>
        </w:rPr>
        <w:t> </w:t>
      </w:r>
      <w:r w:rsidR="00D10BCD" w:rsidRPr="006C22C8">
        <w:rPr>
          <w:rFonts w:ascii="Garamond" w:hAnsi="Garamond"/>
        </w:rPr>
        <w:t>příloze</w:t>
      </w:r>
      <w:r w:rsidR="00B213AE" w:rsidRPr="006C22C8">
        <w:rPr>
          <w:rFonts w:ascii="Garamond" w:hAnsi="Garamond"/>
        </w:rPr>
        <w:t xml:space="preserve"> č. 3 </w:t>
      </w:r>
      <w:proofErr w:type="gramStart"/>
      <w:r w:rsidR="00D10BCD" w:rsidRPr="006C22C8">
        <w:rPr>
          <w:rFonts w:ascii="Garamond" w:hAnsi="Garamond"/>
        </w:rPr>
        <w:t>této</w:t>
      </w:r>
      <w:proofErr w:type="gramEnd"/>
      <w:r w:rsidR="00D10BCD" w:rsidRPr="006C22C8">
        <w:rPr>
          <w:rFonts w:ascii="Garamond" w:hAnsi="Garamond"/>
        </w:rPr>
        <w:t xml:space="preserve"> smlouvy</w:t>
      </w:r>
      <w:r w:rsidR="0065311A" w:rsidRPr="006C22C8">
        <w:rPr>
          <w:rFonts w:ascii="Garamond" w:hAnsi="Garamond"/>
        </w:rPr>
        <w:t>, dále je přílohou smlouvy vyhotovení opatření předsedkyně soudu týkající se kamerového systému (příloha č. 4) a opatření k používání elektrických spotřebičů (příloha č. 5)</w:t>
      </w:r>
      <w:r w:rsidR="00D10BCD" w:rsidRPr="006C22C8">
        <w:rPr>
          <w:rFonts w:ascii="Garamond" w:hAnsi="Garamond"/>
        </w:rPr>
        <w:t>.</w:t>
      </w:r>
    </w:p>
    <w:p w:rsidR="00EE4057" w:rsidRPr="006C22C8" w:rsidRDefault="00EE4057" w:rsidP="00134E82">
      <w:pPr>
        <w:autoSpaceDE/>
        <w:adjustRightInd/>
        <w:jc w:val="both"/>
        <w:rPr>
          <w:rFonts w:ascii="Garamond" w:hAnsi="Garamond"/>
        </w:rPr>
      </w:pPr>
    </w:p>
    <w:p w:rsidR="00A84D44" w:rsidRPr="006C22C8" w:rsidRDefault="00A84D44" w:rsidP="00134E82">
      <w:pPr>
        <w:numPr>
          <w:ilvl w:val="0"/>
          <w:numId w:val="7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  <w:color w:val="000000"/>
        </w:rPr>
        <w:t>Ochrana veškerého majetku nájemce umístěného v předmětu nájmu před ztrátou, poškozením nebo zničením a jeho pojištění je výlučně věcí nájemce a jeho nákladů.</w:t>
      </w:r>
    </w:p>
    <w:p w:rsidR="00CC041D" w:rsidRPr="006C22C8" w:rsidRDefault="00CC041D" w:rsidP="00CC041D">
      <w:pPr>
        <w:autoSpaceDE/>
        <w:adjustRightInd/>
        <w:jc w:val="both"/>
        <w:rPr>
          <w:rFonts w:ascii="Garamond" w:hAnsi="Garamond"/>
          <w:color w:val="000000"/>
        </w:rPr>
      </w:pPr>
    </w:p>
    <w:p w:rsidR="00A84D44" w:rsidRPr="006C22C8" w:rsidRDefault="00A84D44" w:rsidP="00CC041D">
      <w:pPr>
        <w:numPr>
          <w:ilvl w:val="0"/>
          <w:numId w:val="7"/>
        </w:numPr>
        <w:autoSpaceDE/>
        <w:adjustRightInd/>
        <w:ind w:left="0"/>
        <w:jc w:val="both"/>
        <w:rPr>
          <w:rFonts w:ascii="Garamond" w:hAnsi="Garamond"/>
          <w:color w:val="000000"/>
        </w:rPr>
      </w:pPr>
      <w:r w:rsidRPr="006C22C8">
        <w:rPr>
          <w:rFonts w:ascii="Garamond" w:hAnsi="Garamond"/>
          <w:color w:val="000000"/>
        </w:rPr>
        <w:t>Pronajímatel neodpovídá za odcizení čehokoli z majetku nájemce umístěného v</w:t>
      </w:r>
      <w:r w:rsidR="00960428" w:rsidRPr="006C22C8">
        <w:rPr>
          <w:rFonts w:ascii="Garamond" w:hAnsi="Garamond"/>
          <w:color w:val="000000"/>
        </w:rPr>
        <w:t> </w:t>
      </w:r>
      <w:r w:rsidRPr="006C22C8">
        <w:rPr>
          <w:rFonts w:ascii="Garamond" w:hAnsi="Garamond"/>
          <w:color w:val="000000"/>
        </w:rPr>
        <w:t>předmětu nájmu ani neodpovídá za jiné škody, které by nájemci, jeho pracovníkům nebo obchodním partnerům vznikly v souvislo</w:t>
      </w:r>
      <w:r w:rsidR="00960428" w:rsidRPr="006C22C8">
        <w:rPr>
          <w:rFonts w:ascii="Garamond" w:hAnsi="Garamond"/>
          <w:color w:val="000000"/>
        </w:rPr>
        <w:t>sti s užíváním předmětu nájmu, s </w:t>
      </w:r>
      <w:r w:rsidRPr="006C22C8">
        <w:rPr>
          <w:rFonts w:ascii="Garamond" w:hAnsi="Garamond"/>
          <w:color w:val="000000"/>
        </w:rPr>
        <w:t>výjimkou případů, prokazatelně zaviněných pronajímatelem.</w:t>
      </w:r>
    </w:p>
    <w:p w:rsidR="00CC041D" w:rsidRPr="006C22C8" w:rsidRDefault="00CC041D" w:rsidP="00CC041D">
      <w:pPr>
        <w:autoSpaceDE/>
        <w:adjustRightInd/>
        <w:jc w:val="both"/>
        <w:rPr>
          <w:rFonts w:ascii="Garamond" w:hAnsi="Garamond"/>
          <w:color w:val="000000"/>
        </w:rPr>
      </w:pPr>
    </w:p>
    <w:p w:rsidR="00A84D44" w:rsidRPr="006C22C8" w:rsidRDefault="00A84D44" w:rsidP="00CC041D">
      <w:pPr>
        <w:numPr>
          <w:ilvl w:val="0"/>
          <w:numId w:val="7"/>
        </w:numPr>
        <w:autoSpaceDE/>
        <w:adjustRightInd/>
        <w:ind w:left="0"/>
        <w:jc w:val="both"/>
        <w:rPr>
          <w:rFonts w:ascii="Garamond" w:hAnsi="Garamond"/>
          <w:color w:val="000000"/>
        </w:rPr>
      </w:pPr>
      <w:r w:rsidRPr="006C22C8">
        <w:rPr>
          <w:rFonts w:ascii="Garamond" w:hAnsi="Garamond"/>
          <w:color w:val="000000"/>
        </w:rPr>
        <w:t>Nájemce odpovídá pronajímateli za veškeré jím zaviněné škody způsobené na předmětu nájmu způsobené během trvání nájmu a v souvislosti s ním.</w:t>
      </w:r>
    </w:p>
    <w:p w:rsidR="00DC64B1" w:rsidRPr="006C22C8" w:rsidRDefault="00DC64B1" w:rsidP="00A84D44">
      <w:pPr>
        <w:autoSpaceDE/>
        <w:adjustRightInd/>
        <w:ind w:left="720"/>
        <w:jc w:val="both"/>
        <w:rPr>
          <w:rFonts w:ascii="Garamond" w:hAnsi="Garamond"/>
        </w:rPr>
      </w:pP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 xml:space="preserve">VII. </w:t>
      </w:r>
    </w:p>
    <w:p w:rsidR="004D604A" w:rsidRPr="006C22C8" w:rsidRDefault="004D604A" w:rsidP="004D604A">
      <w:pPr>
        <w:jc w:val="center"/>
        <w:rPr>
          <w:rFonts w:ascii="Garamond" w:hAnsi="Garamond"/>
          <w:b/>
        </w:rPr>
      </w:pPr>
      <w:r w:rsidRPr="006C22C8">
        <w:rPr>
          <w:rFonts w:ascii="Garamond" w:hAnsi="Garamond"/>
          <w:b/>
        </w:rPr>
        <w:t>Závěrečná ustanovení</w:t>
      </w:r>
    </w:p>
    <w:p w:rsidR="004D604A" w:rsidRPr="006C22C8" w:rsidRDefault="004D604A" w:rsidP="004D604A">
      <w:pPr>
        <w:jc w:val="center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8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Tato smlouva se uzavírá ve 4 stejnopisech, z nichž každá ze stran obdrží po dvou. Měnit ji je možno pouze písemnými, řádně datovanými dodatky.</w:t>
      </w:r>
    </w:p>
    <w:p w:rsidR="005265D4" w:rsidRPr="006C22C8" w:rsidRDefault="005265D4" w:rsidP="005265D4">
      <w:pPr>
        <w:autoSpaceDE/>
        <w:adjustRightInd/>
        <w:jc w:val="both"/>
        <w:rPr>
          <w:rFonts w:ascii="Garamond" w:hAnsi="Garamond"/>
        </w:rPr>
      </w:pPr>
    </w:p>
    <w:p w:rsidR="005265D4" w:rsidRPr="006C22C8" w:rsidRDefault="005265D4" w:rsidP="005265D4">
      <w:pPr>
        <w:numPr>
          <w:ilvl w:val="0"/>
          <w:numId w:val="8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Tato smlouva nabývá platnosti dnem podpisu smlouvy oprávněnými zástupci obou smluvních stran. Účinnosti pak v souladu se zákonem č. 340/2015 Sb., o zvláštních podmínkách účinnosti některých smluv, uveřejňování těchto smluv a o registru smluv, ve znění pozdějších předpisů (dále jako „zákon o registru smluv“).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8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Podpisem této smlouvy strany potvrzují, že smlouva obsahuje jejich skutečnou vůli, s jejím obsahem se řádně seznámily a všem ujednáním plně porozuměly.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8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Přílohy tvořící součást této smlouvy byly před podpisem této smlouvy oběma stranami parafovány a budou spojeny s textem smlouvy tak, aby nemohlo dojít k rozpojení.</w:t>
      </w:r>
    </w:p>
    <w:p w:rsidR="004D604A" w:rsidRPr="006C22C8" w:rsidRDefault="004D604A" w:rsidP="00134E82">
      <w:pPr>
        <w:jc w:val="both"/>
        <w:rPr>
          <w:rFonts w:ascii="Garamond" w:hAnsi="Garamond"/>
        </w:rPr>
      </w:pPr>
    </w:p>
    <w:p w:rsidR="004D604A" w:rsidRPr="006C22C8" w:rsidRDefault="004D604A" w:rsidP="00134E82">
      <w:pPr>
        <w:numPr>
          <w:ilvl w:val="0"/>
          <w:numId w:val="8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Práva a povinnosti vyplývající z této smlouvy nepřecházejí na případného právního nástupce nájemce.</w:t>
      </w:r>
    </w:p>
    <w:p w:rsidR="004D604A" w:rsidRPr="006C22C8" w:rsidRDefault="004D604A" w:rsidP="00134E82">
      <w:pPr>
        <w:pStyle w:val="Odstavecseseznamem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4D604A" w:rsidRPr="006C22C8" w:rsidRDefault="004D604A" w:rsidP="00134E82">
      <w:pPr>
        <w:numPr>
          <w:ilvl w:val="0"/>
          <w:numId w:val="8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K řešení technických a provozních záležitostí s nájemcem je oprávněn</w:t>
      </w:r>
      <w:r w:rsidR="004614B9" w:rsidRPr="006C22C8">
        <w:rPr>
          <w:rFonts w:ascii="Garamond" w:hAnsi="Garamond"/>
        </w:rPr>
        <w:t>a</w:t>
      </w:r>
      <w:r w:rsidRPr="006C22C8">
        <w:rPr>
          <w:rFonts w:ascii="Garamond" w:hAnsi="Garamond"/>
        </w:rPr>
        <w:t xml:space="preserve"> </w:t>
      </w:r>
      <w:r w:rsidR="004614B9" w:rsidRPr="006C22C8">
        <w:rPr>
          <w:rFonts w:ascii="Garamond" w:hAnsi="Garamond"/>
        </w:rPr>
        <w:t>Mgr. Kamila Břachová, ředitelka</w:t>
      </w:r>
      <w:r w:rsidRPr="006C22C8">
        <w:rPr>
          <w:rFonts w:ascii="Garamond" w:hAnsi="Garamond"/>
        </w:rPr>
        <w:t xml:space="preserve"> správy pronajímatele.</w:t>
      </w:r>
    </w:p>
    <w:p w:rsidR="004D604A" w:rsidRPr="006C22C8" w:rsidRDefault="004D604A" w:rsidP="00134E82">
      <w:pPr>
        <w:pStyle w:val="Odstavecseseznamem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4B4485" w:rsidRPr="006C22C8" w:rsidRDefault="004D604A" w:rsidP="00134E82">
      <w:pPr>
        <w:numPr>
          <w:ilvl w:val="0"/>
          <w:numId w:val="8"/>
        </w:numPr>
        <w:autoSpaceDE/>
        <w:adjustRightInd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Prostory včetně </w:t>
      </w:r>
      <w:proofErr w:type="spellStart"/>
      <w:r w:rsidRPr="006C22C8">
        <w:rPr>
          <w:rFonts w:ascii="Garamond" w:hAnsi="Garamond"/>
        </w:rPr>
        <w:t>gastro</w:t>
      </w:r>
      <w:proofErr w:type="spellEnd"/>
      <w:r w:rsidRPr="006C22C8">
        <w:rPr>
          <w:rFonts w:ascii="Garamond" w:hAnsi="Garamond"/>
        </w:rPr>
        <w:t xml:space="preserve"> zařízení budou nájemci předány včetně klíčů proti podpisu předávacího protokolu, v němž bude zachycen stav prostor v době předání a stav měřidel. Stejným způsobem se je zavazuje nájemce předat</w:t>
      </w:r>
      <w:r w:rsidR="00CC041D" w:rsidRPr="006C22C8">
        <w:rPr>
          <w:rFonts w:ascii="Garamond" w:hAnsi="Garamond"/>
        </w:rPr>
        <w:t xml:space="preserve"> předmět nájmu</w:t>
      </w:r>
      <w:r w:rsidRPr="006C22C8">
        <w:rPr>
          <w:rFonts w:ascii="Garamond" w:hAnsi="Garamond"/>
        </w:rPr>
        <w:t xml:space="preserve"> po ukončení nájemního vztahu zpět.</w:t>
      </w:r>
    </w:p>
    <w:p w:rsidR="0026172D" w:rsidRPr="006C22C8" w:rsidRDefault="0026172D" w:rsidP="00134E82">
      <w:pPr>
        <w:autoSpaceDE/>
        <w:adjustRightInd/>
        <w:jc w:val="both"/>
        <w:rPr>
          <w:rFonts w:ascii="Garamond" w:hAnsi="Garamond"/>
        </w:rPr>
      </w:pPr>
    </w:p>
    <w:p w:rsidR="0026172D" w:rsidRPr="006C22C8" w:rsidRDefault="00FC0A94" w:rsidP="00134E82">
      <w:pPr>
        <w:numPr>
          <w:ilvl w:val="0"/>
          <w:numId w:val="8"/>
        </w:numPr>
        <w:autoSpaceDE/>
        <w:autoSpaceDN/>
        <w:adjustRightInd/>
        <w:spacing w:after="120"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  <w:snapToGrid w:val="0"/>
        </w:rPr>
        <w:lastRenderedPageBreak/>
        <w:t>Pokud by kterékoli</w:t>
      </w:r>
      <w:r w:rsidR="00545C46" w:rsidRPr="006C22C8">
        <w:rPr>
          <w:rFonts w:ascii="Garamond" w:hAnsi="Garamond"/>
          <w:snapToGrid w:val="0"/>
        </w:rPr>
        <w:t>v</w:t>
      </w:r>
      <w:r w:rsidRPr="006C22C8">
        <w:rPr>
          <w:rFonts w:ascii="Garamond" w:hAnsi="Garamond"/>
          <w:snapToGrid w:val="0"/>
        </w:rPr>
        <w:t xml:space="preserve"> ustanovení této smlouvy bylo shledáno neplatným či nevykonatelným, ostatní ustanovení této s</w:t>
      </w:r>
      <w:r w:rsidR="00DC64B1" w:rsidRPr="006C22C8">
        <w:rPr>
          <w:rFonts w:ascii="Garamond" w:hAnsi="Garamond"/>
          <w:snapToGrid w:val="0"/>
        </w:rPr>
        <w:t>mlouvy tím zůstávají nedotčena. V případě, že některé ustanovení této smlouvy se stane neplatným či neúčinným, zavazují se smluvní strany nahradit takovéto ustanovení novým ustanovením, které nejlépe odpovídá původně zamý</w:t>
      </w:r>
      <w:r w:rsidR="00545C46" w:rsidRPr="006C22C8">
        <w:rPr>
          <w:rFonts w:ascii="Garamond" w:hAnsi="Garamond"/>
          <w:snapToGrid w:val="0"/>
        </w:rPr>
        <w:t>š</w:t>
      </w:r>
      <w:r w:rsidR="00DC64B1" w:rsidRPr="006C22C8">
        <w:rPr>
          <w:rFonts w:ascii="Garamond" w:hAnsi="Garamond"/>
          <w:snapToGrid w:val="0"/>
        </w:rPr>
        <w:t>le</w:t>
      </w:r>
      <w:r w:rsidR="00545C46" w:rsidRPr="006C22C8">
        <w:rPr>
          <w:rFonts w:ascii="Garamond" w:hAnsi="Garamond"/>
          <w:snapToGrid w:val="0"/>
        </w:rPr>
        <w:t>n</w:t>
      </w:r>
      <w:r w:rsidR="00DC64B1" w:rsidRPr="006C22C8">
        <w:rPr>
          <w:rFonts w:ascii="Garamond" w:hAnsi="Garamond"/>
          <w:snapToGrid w:val="0"/>
        </w:rPr>
        <w:t>ému hospodářskému účelu neplatného či neúčinného ustanovení. Do té doby platí</w:t>
      </w:r>
      <w:r w:rsidR="00E66090" w:rsidRPr="006C22C8">
        <w:rPr>
          <w:rFonts w:ascii="Garamond" w:hAnsi="Garamond"/>
          <w:snapToGrid w:val="0"/>
        </w:rPr>
        <w:t xml:space="preserve"> úprava obecně závazných právních </w:t>
      </w:r>
      <w:r w:rsidR="00DC64B1" w:rsidRPr="006C22C8">
        <w:rPr>
          <w:rFonts w:ascii="Garamond" w:hAnsi="Garamond"/>
          <w:snapToGrid w:val="0"/>
        </w:rPr>
        <w:t>předpisů ČR.</w:t>
      </w:r>
    </w:p>
    <w:p w:rsidR="00417537" w:rsidRPr="006C22C8" w:rsidRDefault="00417537" w:rsidP="00134E82">
      <w:pPr>
        <w:pStyle w:val="Odstavec"/>
        <w:numPr>
          <w:ilvl w:val="0"/>
          <w:numId w:val="8"/>
        </w:numPr>
        <w:spacing w:after="0" w:line="240" w:lineRule="auto"/>
        <w:ind w:left="0"/>
        <w:jc w:val="both"/>
        <w:rPr>
          <w:rFonts w:ascii="Garamond" w:hAnsi="Garamond"/>
          <w:szCs w:val="24"/>
        </w:rPr>
      </w:pPr>
      <w:r w:rsidRPr="006C22C8">
        <w:rPr>
          <w:rFonts w:ascii="Garamond" w:hAnsi="Garamond"/>
          <w:szCs w:val="24"/>
        </w:rPr>
        <w:t xml:space="preserve">Vztahy mezi smluvními stranami se řídí právním řádem České republiky, zejména občanským zákoníkem. Pokud některé vztahy tato smlouva neupravuje, tak se řídí úpravou provedenou v občanském zákoníku.  </w:t>
      </w:r>
    </w:p>
    <w:p w:rsidR="00184D48" w:rsidRPr="006C22C8" w:rsidRDefault="00184D48" w:rsidP="00134E82">
      <w:pPr>
        <w:numPr>
          <w:ilvl w:val="0"/>
          <w:numId w:val="8"/>
        </w:numPr>
        <w:autoSpaceDE/>
        <w:autoSpaceDN/>
        <w:adjustRightInd/>
        <w:spacing w:before="120"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S ohledem na účinnost nařízení Evropského parlamentu a rady (EU) 2016/679 o ochraně fyzických osob v souvislosti se zpracováním osobních údajů a o volném pohybu těchto údajů a o zrušení směrnice 95/46/ES, </w:t>
      </w:r>
      <w:r w:rsidR="00947B23" w:rsidRPr="006C22C8">
        <w:rPr>
          <w:rFonts w:ascii="Garamond" w:hAnsi="Garamond"/>
        </w:rPr>
        <w:t>nájemce</w:t>
      </w:r>
      <w:r w:rsidRPr="006C22C8">
        <w:rPr>
          <w:rFonts w:ascii="Garamond" w:hAnsi="Garamond"/>
        </w:rPr>
        <w:t xml:space="preserve"> souhlasí se shromažďováním, zpracováním a uchováváním osobních údajů </w:t>
      </w:r>
      <w:r w:rsidR="00947B23" w:rsidRPr="006C22C8">
        <w:rPr>
          <w:rFonts w:ascii="Garamond" w:hAnsi="Garamond"/>
        </w:rPr>
        <w:t>pronajímatelem</w:t>
      </w:r>
      <w:r w:rsidRPr="006C22C8">
        <w:rPr>
          <w:rFonts w:ascii="Garamond" w:hAnsi="Garamond"/>
        </w:rPr>
        <w:t xml:space="preserve">, a to v rozsahu nezbytném pro realizaci této smlouvy. </w:t>
      </w:r>
      <w:r w:rsidR="00947B23" w:rsidRPr="006C22C8">
        <w:rPr>
          <w:rFonts w:ascii="Garamond" w:hAnsi="Garamond"/>
        </w:rPr>
        <w:t>Nájemce</w:t>
      </w:r>
      <w:r w:rsidRPr="006C22C8">
        <w:rPr>
          <w:rFonts w:ascii="Garamond" w:hAnsi="Garamond"/>
        </w:rPr>
        <w:t xml:space="preserve"> současně bere na vědomí, že po skončení splnění povinností z této smlouvy či jiného ukončení smluvního vztahu budou jím poskytnuté osobní údaje, včetně listin, jež je obsahují, uchovávány ČR - Okresním soudem v Liberci po dobu deseti let, přičemž po uplynutí této lhůty s nimi bude naloženo v souladu s výše uvedeným nařízením a zákonem o ochraně osobních údajů.</w:t>
      </w:r>
    </w:p>
    <w:p w:rsidR="00184D48" w:rsidRPr="006C22C8" w:rsidRDefault="00947B23" w:rsidP="00134E82">
      <w:pPr>
        <w:numPr>
          <w:ilvl w:val="0"/>
          <w:numId w:val="8"/>
        </w:numPr>
        <w:autoSpaceDE/>
        <w:autoSpaceDN/>
        <w:adjustRightInd/>
        <w:spacing w:before="120"/>
        <w:ind w:left="0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Nájemce</w:t>
      </w:r>
      <w:r w:rsidR="00184D48" w:rsidRPr="006C22C8">
        <w:rPr>
          <w:rFonts w:ascii="Garamond" w:hAnsi="Garamond"/>
        </w:rPr>
        <w:t xml:space="preserve"> v rámci výkonu této smlouvy bude disponovat údaji, pomocí nichž lze identifikovat fyzické osoby (zaměstnance) působící u Okresního soudu v Liberci, a proto pro něj ustanovení nařízení Evropského parlamentu a rady (EU) 2016/679 o ochraně fyzických osob v souvislosti se zpracováním osobních údajů a o volném pohybu těchto údajů a o zrušení směrnice 95/46/ES, v otázce shromažďování, zpracování a uchovávání osobních údajů získaných z realizace a výkonu této smlouvy platí obdobně.</w:t>
      </w:r>
    </w:p>
    <w:p w:rsidR="00417537" w:rsidRPr="006C22C8" w:rsidRDefault="00417537" w:rsidP="00134E82">
      <w:pPr>
        <w:autoSpaceDE/>
        <w:autoSpaceDN/>
        <w:adjustRightInd/>
        <w:spacing w:after="120"/>
        <w:jc w:val="both"/>
        <w:rPr>
          <w:rFonts w:ascii="Garamond" w:hAnsi="Garamond"/>
        </w:rPr>
      </w:pPr>
    </w:p>
    <w:p w:rsidR="00E66090" w:rsidRPr="006C22C8" w:rsidRDefault="00E66090" w:rsidP="00134E82">
      <w:pPr>
        <w:numPr>
          <w:ilvl w:val="0"/>
          <w:numId w:val="8"/>
        </w:numPr>
        <w:autoSpaceDE/>
        <w:autoSpaceDN/>
        <w:adjustRightInd/>
        <w:spacing w:after="120"/>
        <w:ind w:left="0" w:hanging="357"/>
        <w:jc w:val="both"/>
        <w:rPr>
          <w:rFonts w:ascii="Garamond" w:hAnsi="Garamond"/>
        </w:rPr>
      </w:pPr>
      <w:r w:rsidRPr="006C22C8">
        <w:rPr>
          <w:rFonts w:ascii="Garamond" w:hAnsi="Garamond"/>
          <w:snapToGrid w:val="0"/>
        </w:rPr>
        <w:t>Seznam příloh, které jsou nedílnou součástí této smlouvy:</w:t>
      </w:r>
    </w:p>
    <w:p w:rsidR="00544F71" w:rsidRPr="006C22C8" w:rsidRDefault="00544F71" w:rsidP="00134E82">
      <w:pPr>
        <w:numPr>
          <w:ilvl w:val="1"/>
          <w:numId w:val="8"/>
        </w:numPr>
        <w:tabs>
          <w:tab w:val="clear" w:pos="1440"/>
          <w:tab w:val="num" w:pos="1276"/>
        </w:tabs>
        <w:autoSpaceDE/>
        <w:autoSpaceDN/>
        <w:adjustRightInd/>
        <w:ind w:left="851" w:hanging="357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Situační plán prostor</w:t>
      </w:r>
    </w:p>
    <w:p w:rsidR="00544F71" w:rsidRPr="006C22C8" w:rsidRDefault="00544F71" w:rsidP="00134E82">
      <w:pPr>
        <w:numPr>
          <w:ilvl w:val="1"/>
          <w:numId w:val="8"/>
        </w:numPr>
        <w:tabs>
          <w:tab w:val="clear" w:pos="1440"/>
          <w:tab w:val="num" w:pos="1276"/>
        </w:tabs>
        <w:autoSpaceDE/>
        <w:autoSpaceDN/>
        <w:adjustRightInd/>
        <w:ind w:left="851" w:hanging="357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Soupis vybavení prostor (movité věci dle inventarizace</w:t>
      </w:r>
      <w:r w:rsidR="00947B23" w:rsidRPr="006C22C8">
        <w:rPr>
          <w:rFonts w:ascii="Garamond" w:hAnsi="Garamond"/>
        </w:rPr>
        <w:t>)</w:t>
      </w:r>
    </w:p>
    <w:p w:rsidR="00E66090" w:rsidRPr="006C22C8" w:rsidRDefault="00544F71" w:rsidP="00134E82">
      <w:pPr>
        <w:numPr>
          <w:ilvl w:val="1"/>
          <w:numId w:val="8"/>
        </w:numPr>
        <w:tabs>
          <w:tab w:val="clear" w:pos="1440"/>
          <w:tab w:val="num" w:pos="1276"/>
        </w:tabs>
        <w:autoSpaceDE/>
        <w:autoSpaceDN/>
        <w:adjustRightInd/>
        <w:ind w:left="851" w:hanging="357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P</w:t>
      </w:r>
      <w:r w:rsidR="0026172D" w:rsidRPr="006C22C8">
        <w:rPr>
          <w:rFonts w:ascii="Garamond" w:hAnsi="Garamond"/>
        </w:rPr>
        <w:t>ravidla provozu</w:t>
      </w:r>
      <w:r w:rsidRPr="006C22C8">
        <w:rPr>
          <w:rFonts w:ascii="Garamond" w:hAnsi="Garamond"/>
        </w:rPr>
        <w:t xml:space="preserve"> bufetu</w:t>
      </w:r>
    </w:p>
    <w:p w:rsidR="00544F71" w:rsidRPr="006C22C8" w:rsidRDefault="00544F71" w:rsidP="00134E82">
      <w:pPr>
        <w:numPr>
          <w:ilvl w:val="1"/>
          <w:numId w:val="8"/>
        </w:numPr>
        <w:tabs>
          <w:tab w:val="clear" w:pos="1440"/>
          <w:tab w:val="num" w:pos="1276"/>
        </w:tabs>
        <w:autoSpaceDE/>
        <w:autoSpaceDN/>
        <w:adjustRightInd/>
        <w:ind w:left="851" w:hanging="357"/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Opatření </w:t>
      </w:r>
      <w:r w:rsidRPr="006C22C8">
        <w:rPr>
          <w:rFonts w:ascii="Garamond" w:hAnsi="Garamond"/>
          <w:bCs/>
        </w:rPr>
        <w:t>k zásadám ochrany osobních údajů v kamerovém systému</w:t>
      </w:r>
    </w:p>
    <w:p w:rsidR="0026172D" w:rsidRPr="006C22C8" w:rsidRDefault="0026172D" w:rsidP="00134E82">
      <w:pPr>
        <w:numPr>
          <w:ilvl w:val="1"/>
          <w:numId w:val="8"/>
        </w:numPr>
        <w:tabs>
          <w:tab w:val="clear" w:pos="1440"/>
          <w:tab w:val="num" w:pos="1276"/>
        </w:tabs>
        <w:autoSpaceDE/>
        <w:autoSpaceDN/>
        <w:adjustRightInd/>
        <w:ind w:left="851" w:hanging="357"/>
        <w:jc w:val="both"/>
        <w:rPr>
          <w:rFonts w:ascii="Garamond" w:hAnsi="Garamond"/>
        </w:rPr>
      </w:pPr>
      <w:r w:rsidRPr="006C22C8">
        <w:rPr>
          <w:rFonts w:ascii="Garamond" w:hAnsi="Garamond"/>
        </w:rPr>
        <w:t>Opatření k používání elektrických spotřebičů</w:t>
      </w:r>
    </w:p>
    <w:p w:rsidR="00DC64B1" w:rsidRPr="006C22C8" w:rsidRDefault="00DC64B1" w:rsidP="004D604A">
      <w:pPr>
        <w:pStyle w:val="Odstavecseseznamem"/>
        <w:rPr>
          <w:rFonts w:ascii="Garamond" w:hAnsi="Garamond"/>
          <w:sz w:val="24"/>
          <w:szCs w:val="24"/>
        </w:rPr>
      </w:pPr>
    </w:p>
    <w:p w:rsidR="00134E82" w:rsidRPr="006C22C8" w:rsidRDefault="00134E82" w:rsidP="00134E82">
      <w:pPr>
        <w:jc w:val="both"/>
        <w:rPr>
          <w:rFonts w:ascii="Garamond" w:hAnsi="Garamond"/>
          <w:lang w:eastAsia="en-US"/>
        </w:rPr>
      </w:pPr>
    </w:p>
    <w:p w:rsidR="004D604A" w:rsidRPr="006C22C8" w:rsidRDefault="004D604A" w:rsidP="00134E82">
      <w:pPr>
        <w:jc w:val="both"/>
        <w:rPr>
          <w:rFonts w:ascii="Garamond" w:hAnsi="Garamond"/>
        </w:rPr>
      </w:pPr>
      <w:r w:rsidRPr="006C22C8">
        <w:rPr>
          <w:rFonts w:ascii="Garamond" w:hAnsi="Garamond"/>
        </w:rPr>
        <w:t xml:space="preserve">V Liberci dne </w:t>
      </w:r>
      <w:r w:rsidRPr="006C22C8">
        <w:rPr>
          <w:rFonts w:ascii="Garamond" w:hAnsi="Garamond"/>
        </w:rPr>
        <w:tab/>
      </w:r>
      <w:r w:rsidRPr="006C22C8">
        <w:rPr>
          <w:rFonts w:ascii="Garamond" w:hAnsi="Garamond"/>
        </w:rPr>
        <w:tab/>
      </w:r>
      <w:r w:rsidRPr="006C22C8">
        <w:rPr>
          <w:rFonts w:ascii="Garamond" w:hAnsi="Garamond"/>
        </w:rPr>
        <w:tab/>
      </w:r>
      <w:r w:rsidRPr="006C22C8">
        <w:rPr>
          <w:rFonts w:ascii="Garamond" w:hAnsi="Garamond"/>
        </w:rPr>
        <w:tab/>
      </w:r>
      <w:r w:rsidRPr="006C22C8">
        <w:rPr>
          <w:rFonts w:ascii="Garamond" w:hAnsi="Garamond"/>
        </w:rPr>
        <w:tab/>
        <w:t xml:space="preserve">                            </w:t>
      </w:r>
    </w:p>
    <w:p w:rsidR="00C60DD0" w:rsidRPr="006C22C8" w:rsidRDefault="00C60DD0" w:rsidP="00C60DD0">
      <w:pPr>
        <w:jc w:val="both"/>
        <w:rPr>
          <w:rFonts w:ascii="Garamond" w:hAnsi="Garamond"/>
        </w:rPr>
      </w:pPr>
    </w:p>
    <w:p w:rsidR="00C60DD0" w:rsidRPr="006C22C8" w:rsidRDefault="00C60DD0" w:rsidP="00C60DD0">
      <w:pPr>
        <w:jc w:val="both"/>
        <w:rPr>
          <w:rFonts w:ascii="Garamond" w:hAnsi="Garamond"/>
        </w:rPr>
      </w:pPr>
    </w:p>
    <w:p w:rsidR="004D604A" w:rsidRPr="006C22C8" w:rsidRDefault="004D604A" w:rsidP="00C60DD0">
      <w:pPr>
        <w:jc w:val="both"/>
        <w:rPr>
          <w:rFonts w:ascii="Garamond" w:hAnsi="Garamond"/>
        </w:rPr>
      </w:pPr>
      <w:r w:rsidRPr="006C22C8">
        <w:rPr>
          <w:rFonts w:ascii="Garamond" w:hAnsi="Garamond"/>
        </w:rPr>
        <w:t>_______________________</w:t>
      </w:r>
      <w:r w:rsidRPr="006C22C8">
        <w:rPr>
          <w:rFonts w:ascii="Garamond" w:hAnsi="Garamond"/>
        </w:rPr>
        <w:tab/>
      </w:r>
      <w:r w:rsidRPr="006C22C8">
        <w:rPr>
          <w:rFonts w:ascii="Garamond" w:hAnsi="Garamond"/>
        </w:rPr>
        <w:tab/>
      </w:r>
      <w:r w:rsidR="00C60DD0" w:rsidRPr="006C22C8">
        <w:rPr>
          <w:rFonts w:ascii="Garamond" w:hAnsi="Garamond"/>
        </w:rPr>
        <w:tab/>
      </w:r>
      <w:r w:rsidR="00C60DD0" w:rsidRPr="006C22C8">
        <w:rPr>
          <w:rFonts w:ascii="Garamond" w:hAnsi="Garamond"/>
        </w:rPr>
        <w:tab/>
      </w:r>
      <w:r w:rsidR="008A13C9" w:rsidRPr="006C22C8">
        <w:rPr>
          <w:rFonts w:ascii="Garamond" w:hAnsi="Garamond"/>
        </w:rPr>
        <w:t xml:space="preserve">   </w:t>
      </w:r>
      <w:r w:rsidRPr="006C22C8">
        <w:rPr>
          <w:rFonts w:ascii="Garamond" w:hAnsi="Garamond"/>
        </w:rPr>
        <w:t>__________________________</w:t>
      </w:r>
    </w:p>
    <w:p w:rsidR="004D604A" w:rsidRPr="006C22C8" w:rsidRDefault="004D604A" w:rsidP="00C60DD0">
      <w:pPr>
        <w:jc w:val="both"/>
        <w:rPr>
          <w:rFonts w:ascii="Garamond" w:hAnsi="Garamond"/>
        </w:rPr>
      </w:pPr>
      <w:r w:rsidRPr="006C22C8">
        <w:rPr>
          <w:rFonts w:ascii="Garamond" w:hAnsi="Garamond"/>
        </w:rPr>
        <w:t>JUDr. Ivana Šoljaková</w:t>
      </w:r>
      <w:r w:rsidRPr="006C22C8">
        <w:rPr>
          <w:rFonts w:ascii="Garamond" w:hAnsi="Garamond"/>
        </w:rPr>
        <w:tab/>
      </w:r>
      <w:r w:rsidRPr="006C22C8">
        <w:rPr>
          <w:rFonts w:ascii="Garamond" w:hAnsi="Garamond"/>
        </w:rPr>
        <w:tab/>
      </w:r>
      <w:r w:rsidRPr="006C22C8">
        <w:rPr>
          <w:rFonts w:ascii="Garamond" w:hAnsi="Garamond"/>
        </w:rPr>
        <w:tab/>
      </w:r>
    </w:p>
    <w:p w:rsidR="004D604A" w:rsidRPr="006C22C8" w:rsidRDefault="004D604A" w:rsidP="00C60DD0">
      <w:pPr>
        <w:jc w:val="both"/>
        <w:rPr>
          <w:rFonts w:ascii="Garamond" w:hAnsi="Garamond"/>
        </w:rPr>
      </w:pPr>
      <w:r w:rsidRPr="006C22C8">
        <w:rPr>
          <w:rFonts w:ascii="Garamond" w:hAnsi="Garamond"/>
        </w:rPr>
        <w:t>předsedkyně okresního soudu</w:t>
      </w:r>
      <w:r w:rsidRPr="006C22C8">
        <w:rPr>
          <w:rFonts w:ascii="Garamond" w:hAnsi="Garamond"/>
        </w:rPr>
        <w:tab/>
      </w:r>
      <w:r w:rsidRPr="006C22C8">
        <w:rPr>
          <w:rFonts w:ascii="Garamond" w:hAnsi="Garamond"/>
        </w:rPr>
        <w:tab/>
      </w:r>
    </w:p>
    <w:p w:rsidR="004D604A" w:rsidRPr="006C22C8" w:rsidRDefault="004D604A" w:rsidP="004D604A">
      <w:pPr>
        <w:ind w:left="720"/>
        <w:jc w:val="both"/>
        <w:rPr>
          <w:rFonts w:ascii="Garamond" w:hAnsi="Garamond"/>
        </w:rPr>
      </w:pPr>
    </w:p>
    <w:p w:rsidR="004D604A" w:rsidRPr="006C22C8" w:rsidRDefault="004D604A" w:rsidP="004D604A">
      <w:pPr>
        <w:ind w:left="720"/>
        <w:jc w:val="both"/>
        <w:rPr>
          <w:rFonts w:ascii="Garamond" w:hAnsi="Garamond"/>
        </w:rPr>
      </w:pPr>
    </w:p>
    <w:p w:rsidR="004D604A" w:rsidRPr="006C22C8" w:rsidRDefault="004D604A" w:rsidP="0035590E">
      <w:pPr>
        <w:jc w:val="both"/>
        <w:rPr>
          <w:rFonts w:ascii="Garamond" w:hAnsi="Garamond"/>
        </w:rPr>
      </w:pPr>
    </w:p>
    <w:p w:rsidR="004D604A" w:rsidRPr="006C22C8" w:rsidRDefault="004D604A" w:rsidP="004D604A">
      <w:pPr>
        <w:rPr>
          <w:rFonts w:ascii="Garamond" w:hAnsi="Garamond"/>
        </w:rPr>
      </w:pPr>
    </w:p>
    <w:p w:rsidR="004D604A" w:rsidRPr="006C22C8" w:rsidRDefault="004D604A" w:rsidP="004D604A">
      <w:pPr>
        <w:rPr>
          <w:rFonts w:ascii="Garamond" w:hAnsi="Garamond"/>
        </w:rPr>
      </w:pPr>
    </w:p>
    <w:sectPr w:rsidR="004D604A" w:rsidRPr="006C22C8" w:rsidSect="001741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954EF6" w15:done="0"/>
  <w15:commentEx w15:paraId="464ECB5E" w15:done="0"/>
  <w15:commentEx w15:paraId="77218800" w15:done="0"/>
  <w15:commentEx w15:paraId="347B9FA8" w15:done="0"/>
  <w15:commentEx w15:paraId="3681BE2F" w15:done="0"/>
  <w15:commentEx w15:paraId="201A87AE" w15:done="0"/>
  <w15:commentEx w15:paraId="6503D416" w15:done="0"/>
  <w15:commentEx w15:paraId="10B71E54" w15:done="0"/>
  <w15:commentEx w15:paraId="2E0384C6" w15:done="0"/>
  <w15:commentEx w15:paraId="69A2C2F8" w15:done="0"/>
  <w15:commentEx w15:paraId="44AF61FD" w15:done="0"/>
  <w15:commentEx w15:paraId="6D922E24" w15:done="0"/>
  <w15:commentEx w15:paraId="58095F2B" w15:done="0"/>
  <w15:commentEx w15:paraId="17668A5C" w15:done="0"/>
  <w15:commentEx w15:paraId="601E1228" w15:done="0"/>
  <w15:commentEx w15:paraId="1949A366" w15:done="0"/>
  <w15:commentEx w15:paraId="465C310A" w15:done="0"/>
  <w15:commentEx w15:paraId="7A94DA2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0C" w:rsidRDefault="00FB4A0C" w:rsidP="001C2EEA">
      <w:r>
        <w:separator/>
      </w:r>
    </w:p>
  </w:endnote>
  <w:endnote w:type="continuationSeparator" w:id="0">
    <w:p w:rsidR="00FB4A0C" w:rsidRDefault="00FB4A0C" w:rsidP="001C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20E" w:rsidRDefault="008A420E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22C8">
      <w:rPr>
        <w:noProof/>
      </w:rPr>
      <w:t>1</w:t>
    </w:r>
    <w:r>
      <w:rPr>
        <w:noProof/>
      </w:rPr>
      <w:fldChar w:fldCharType="end"/>
    </w:r>
  </w:p>
  <w:p w:rsidR="008A420E" w:rsidRDefault="008A42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0C" w:rsidRDefault="00FB4A0C" w:rsidP="001C2EEA">
      <w:r>
        <w:separator/>
      </w:r>
    </w:p>
  </w:footnote>
  <w:footnote w:type="continuationSeparator" w:id="0">
    <w:p w:rsidR="00FB4A0C" w:rsidRDefault="00FB4A0C" w:rsidP="001C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67B"/>
    <w:multiLevelType w:val="hybridMultilevel"/>
    <w:tmpl w:val="8BDC19B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FC1495"/>
    <w:multiLevelType w:val="hybridMultilevel"/>
    <w:tmpl w:val="F9409D46"/>
    <w:lvl w:ilvl="0" w:tplc="248A4FA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15BA42C3"/>
    <w:multiLevelType w:val="hybridMultilevel"/>
    <w:tmpl w:val="950ECA5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31D4D2D"/>
    <w:multiLevelType w:val="hybridMultilevel"/>
    <w:tmpl w:val="A7E21646"/>
    <w:lvl w:ilvl="0" w:tplc="7AB01BD2">
      <w:start w:val="1"/>
      <w:numFmt w:val="decimal"/>
      <w:lvlText w:val="6.%1"/>
      <w:lvlJc w:val="righ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76A14"/>
    <w:multiLevelType w:val="hybridMultilevel"/>
    <w:tmpl w:val="AED0D1E8"/>
    <w:lvl w:ilvl="0" w:tplc="35B609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7154D"/>
    <w:multiLevelType w:val="hybridMultilevel"/>
    <w:tmpl w:val="AF562D6E"/>
    <w:lvl w:ilvl="0" w:tplc="3CFCE1F8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330BFF"/>
    <w:multiLevelType w:val="hybridMultilevel"/>
    <w:tmpl w:val="CF00E5E4"/>
    <w:lvl w:ilvl="0" w:tplc="0A8635C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8340D53"/>
    <w:multiLevelType w:val="hybridMultilevel"/>
    <w:tmpl w:val="71EE2A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AF3723"/>
    <w:multiLevelType w:val="hybridMultilevel"/>
    <w:tmpl w:val="F3522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F7C76"/>
    <w:multiLevelType w:val="hybridMultilevel"/>
    <w:tmpl w:val="A66E472A"/>
    <w:lvl w:ilvl="0" w:tplc="F52422A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917A76"/>
    <w:multiLevelType w:val="hybridMultilevel"/>
    <w:tmpl w:val="A9243C5A"/>
    <w:lvl w:ilvl="0" w:tplc="E114388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207F4"/>
    <w:multiLevelType w:val="hybridMultilevel"/>
    <w:tmpl w:val="5414E664"/>
    <w:lvl w:ilvl="0" w:tplc="272E5A02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umbová Jana Mgr.">
    <w15:presenceInfo w15:providerId="AD" w15:userId="S-1-5-21-28715671-822186009-2199326268-1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54_2017_OIM_D_4_1.doc 29.06.2017 07:00:41"/>
    <w:docVar w:name="DOKUMENT_ADRESAR_FS" w:val="C:\TMP\DB"/>
    <w:docVar w:name="DOKUMENT_AUTOMATICKE_UKLADANI" w:val="ANO"/>
    <w:docVar w:name="DOKUMENT_PERIODA_UKLADANI" w:val="10"/>
  </w:docVars>
  <w:rsids>
    <w:rsidRoot w:val="004D604A"/>
    <w:rsid w:val="000056AB"/>
    <w:rsid w:val="00012BAA"/>
    <w:rsid w:val="00012DFE"/>
    <w:rsid w:val="00033600"/>
    <w:rsid w:val="00056F60"/>
    <w:rsid w:val="000808C7"/>
    <w:rsid w:val="0009099C"/>
    <w:rsid w:val="00094E55"/>
    <w:rsid w:val="000B21B5"/>
    <w:rsid w:val="000D5E31"/>
    <w:rsid w:val="00103580"/>
    <w:rsid w:val="00121037"/>
    <w:rsid w:val="00134E82"/>
    <w:rsid w:val="00146E5B"/>
    <w:rsid w:val="00174127"/>
    <w:rsid w:val="00174133"/>
    <w:rsid w:val="00184D48"/>
    <w:rsid w:val="001C2EEA"/>
    <w:rsid w:val="001F4001"/>
    <w:rsid w:val="00214F03"/>
    <w:rsid w:val="00232ECE"/>
    <w:rsid w:val="0026172D"/>
    <w:rsid w:val="002A2C3F"/>
    <w:rsid w:val="00311D8E"/>
    <w:rsid w:val="0033543D"/>
    <w:rsid w:val="00350A81"/>
    <w:rsid w:val="0035590E"/>
    <w:rsid w:val="003724AF"/>
    <w:rsid w:val="00372AC0"/>
    <w:rsid w:val="003D597C"/>
    <w:rsid w:val="00417537"/>
    <w:rsid w:val="004246A2"/>
    <w:rsid w:val="0042547B"/>
    <w:rsid w:val="00427824"/>
    <w:rsid w:val="004412A7"/>
    <w:rsid w:val="00455994"/>
    <w:rsid w:val="004614B9"/>
    <w:rsid w:val="00461E2A"/>
    <w:rsid w:val="00471A99"/>
    <w:rsid w:val="00492571"/>
    <w:rsid w:val="004A2A23"/>
    <w:rsid w:val="004A6B8F"/>
    <w:rsid w:val="004B4485"/>
    <w:rsid w:val="004D604A"/>
    <w:rsid w:val="004E2B99"/>
    <w:rsid w:val="004F00DD"/>
    <w:rsid w:val="0052194F"/>
    <w:rsid w:val="005265D4"/>
    <w:rsid w:val="00544F71"/>
    <w:rsid w:val="00545C46"/>
    <w:rsid w:val="005A3A41"/>
    <w:rsid w:val="005B69F9"/>
    <w:rsid w:val="006021DB"/>
    <w:rsid w:val="00602D72"/>
    <w:rsid w:val="00617AD1"/>
    <w:rsid w:val="006345DF"/>
    <w:rsid w:val="0065311A"/>
    <w:rsid w:val="00662B6D"/>
    <w:rsid w:val="006B4F6F"/>
    <w:rsid w:val="006C22C8"/>
    <w:rsid w:val="006E01F4"/>
    <w:rsid w:val="00760A88"/>
    <w:rsid w:val="0076758A"/>
    <w:rsid w:val="0077673E"/>
    <w:rsid w:val="00781CC1"/>
    <w:rsid w:val="007B1382"/>
    <w:rsid w:val="007F4D7B"/>
    <w:rsid w:val="007F5333"/>
    <w:rsid w:val="007F551B"/>
    <w:rsid w:val="0085161B"/>
    <w:rsid w:val="008659E8"/>
    <w:rsid w:val="00874761"/>
    <w:rsid w:val="0088509B"/>
    <w:rsid w:val="0088658F"/>
    <w:rsid w:val="008A13C9"/>
    <w:rsid w:val="008A420E"/>
    <w:rsid w:val="008C5C41"/>
    <w:rsid w:val="008C7824"/>
    <w:rsid w:val="008D7C11"/>
    <w:rsid w:val="008E1EDD"/>
    <w:rsid w:val="008F3D2E"/>
    <w:rsid w:val="008F69E4"/>
    <w:rsid w:val="00947B23"/>
    <w:rsid w:val="00960428"/>
    <w:rsid w:val="009676AD"/>
    <w:rsid w:val="009728FE"/>
    <w:rsid w:val="009D245C"/>
    <w:rsid w:val="00A068B6"/>
    <w:rsid w:val="00A2267F"/>
    <w:rsid w:val="00A4712B"/>
    <w:rsid w:val="00A51225"/>
    <w:rsid w:val="00A56BDD"/>
    <w:rsid w:val="00A61FF0"/>
    <w:rsid w:val="00A73386"/>
    <w:rsid w:val="00A84D44"/>
    <w:rsid w:val="00A97D7F"/>
    <w:rsid w:val="00AA3FCA"/>
    <w:rsid w:val="00AD009F"/>
    <w:rsid w:val="00AD4505"/>
    <w:rsid w:val="00B071D7"/>
    <w:rsid w:val="00B11159"/>
    <w:rsid w:val="00B1420A"/>
    <w:rsid w:val="00B213AE"/>
    <w:rsid w:val="00B27284"/>
    <w:rsid w:val="00B361C7"/>
    <w:rsid w:val="00BA2FC1"/>
    <w:rsid w:val="00BD196C"/>
    <w:rsid w:val="00C1272A"/>
    <w:rsid w:val="00C24251"/>
    <w:rsid w:val="00C36F2A"/>
    <w:rsid w:val="00C541B1"/>
    <w:rsid w:val="00C60DD0"/>
    <w:rsid w:val="00C739FB"/>
    <w:rsid w:val="00C97805"/>
    <w:rsid w:val="00CA3D22"/>
    <w:rsid w:val="00CB3658"/>
    <w:rsid w:val="00CC041D"/>
    <w:rsid w:val="00CC4E7B"/>
    <w:rsid w:val="00CD06A3"/>
    <w:rsid w:val="00CE7C66"/>
    <w:rsid w:val="00D10BCD"/>
    <w:rsid w:val="00D15BD8"/>
    <w:rsid w:val="00D22241"/>
    <w:rsid w:val="00D43570"/>
    <w:rsid w:val="00DA5B28"/>
    <w:rsid w:val="00DB40E7"/>
    <w:rsid w:val="00DC1EF1"/>
    <w:rsid w:val="00DC64B1"/>
    <w:rsid w:val="00DE2364"/>
    <w:rsid w:val="00E11307"/>
    <w:rsid w:val="00E35823"/>
    <w:rsid w:val="00E66090"/>
    <w:rsid w:val="00E73939"/>
    <w:rsid w:val="00E87463"/>
    <w:rsid w:val="00E90DF9"/>
    <w:rsid w:val="00E97A18"/>
    <w:rsid w:val="00EB247D"/>
    <w:rsid w:val="00ED217A"/>
    <w:rsid w:val="00EE4057"/>
    <w:rsid w:val="00F02D0C"/>
    <w:rsid w:val="00F45328"/>
    <w:rsid w:val="00F56045"/>
    <w:rsid w:val="00F740EB"/>
    <w:rsid w:val="00F933CA"/>
    <w:rsid w:val="00FB4A0C"/>
    <w:rsid w:val="00FC0A94"/>
    <w:rsid w:val="00FD327C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04A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2FC1"/>
    <w:pPr>
      <w:keepNext/>
      <w:numPr>
        <w:numId w:val="1"/>
      </w:numPr>
      <w:spacing w:before="240" w:after="60"/>
      <w:outlineLvl w:val="0"/>
    </w:pPr>
    <w:rPr>
      <w:rFonts w:ascii="Calibri" w:eastAsia="Calibri" w:hAnsi="Calibri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A2FC1"/>
    <w:rPr>
      <w:b/>
      <w:bCs/>
      <w:kern w:val="32"/>
      <w:sz w:val="28"/>
      <w:szCs w:val="32"/>
    </w:rPr>
  </w:style>
  <w:style w:type="paragraph" w:styleId="Odstavecseseznamem">
    <w:name w:val="List Paragraph"/>
    <w:basedOn w:val="Normln"/>
    <w:uiPriority w:val="34"/>
    <w:qFormat/>
    <w:rsid w:val="004D604A"/>
    <w:pPr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A56B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BD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56BD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B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BD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6BDD"/>
    <w:rPr>
      <w:rFonts w:ascii="Tahoma" w:eastAsia="Times New Roman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84D44"/>
    <w:pPr>
      <w:autoSpaceDE/>
      <w:autoSpaceDN/>
      <w:adjustRightInd/>
      <w:spacing w:before="100" w:beforeAutospacing="1" w:after="100" w:afterAutospacing="1"/>
      <w:ind w:left="75" w:right="75"/>
    </w:pPr>
  </w:style>
  <w:style w:type="paragraph" w:styleId="Zhlav">
    <w:name w:val="header"/>
    <w:basedOn w:val="Normln"/>
    <w:link w:val="ZhlavChar"/>
    <w:uiPriority w:val="99"/>
    <w:semiHidden/>
    <w:unhideWhenUsed/>
    <w:rsid w:val="001C2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C2EE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2EE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2EE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rsid w:val="00417537"/>
    <w:pPr>
      <w:widowControl w:val="0"/>
      <w:autoSpaceDE/>
      <w:autoSpaceDN/>
      <w:adjustRightInd/>
      <w:spacing w:after="115" w:line="288" w:lineRule="auto"/>
      <w:ind w:firstLine="480"/>
    </w:pPr>
    <w:rPr>
      <w:szCs w:val="20"/>
    </w:rPr>
  </w:style>
  <w:style w:type="character" w:styleId="Siln">
    <w:name w:val="Strong"/>
    <w:uiPriority w:val="22"/>
    <w:qFormat/>
    <w:rsid w:val="0035590E"/>
    <w:rPr>
      <w:b/>
      <w:bCs/>
    </w:rPr>
  </w:style>
  <w:style w:type="character" w:customStyle="1" w:styleId="nowrap">
    <w:name w:val="nowrap"/>
    <w:basedOn w:val="Standardnpsmoodstavce"/>
    <w:rsid w:val="00F45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04A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2FC1"/>
    <w:pPr>
      <w:keepNext/>
      <w:numPr>
        <w:numId w:val="1"/>
      </w:numPr>
      <w:spacing w:before="240" w:after="60"/>
      <w:outlineLvl w:val="0"/>
    </w:pPr>
    <w:rPr>
      <w:rFonts w:ascii="Calibri" w:eastAsia="Calibri" w:hAnsi="Calibri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A2FC1"/>
    <w:rPr>
      <w:b/>
      <w:bCs/>
      <w:kern w:val="32"/>
      <w:sz w:val="28"/>
      <w:szCs w:val="32"/>
    </w:rPr>
  </w:style>
  <w:style w:type="paragraph" w:styleId="Odstavecseseznamem">
    <w:name w:val="List Paragraph"/>
    <w:basedOn w:val="Normln"/>
    <w:uiPriority w:val="34"/>
    <w:qFormat/>
    <w:rsid w:val="004D604A"/>
    <w:pPr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A56B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BD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56BD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B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BD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6BDD"/>
    <w:rPr>
      <w:rFonts w:ascii="Tahoma" w:eastAsia="Times New Roman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84D44"/>
    <w:pPr>
      <w:autoSpaceDE/>
      <w:autoSpaceDN/>
      <w:adjustRightInd/>
      <w:spacing w:before="100" w:beforeAutospacing="1" w:after="100" w:afterAutospacing="1"/>
      <w:ind w:left="75" w:right="75"/>
    </w:pPr>
  </w:style>
  <w:style w:type="paragraph" w:styleId="Zhlav">
    <w:name w:val="header"/>
    <w:basedOn w:val="Normln"/>
    <w:link w:val="ZhlavChar"/>
    <w:uiPriority w:val="99"/>
    <w:semiHidden/>
    <w:unhideWhenUsed/>
    <w:rsid w:val="001C2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C2EE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2EE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2EE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rsid w:val="00417537"/>
    <w:pPr>
      <w:widowControl w:val="0"/>
      <w:autoSpaceDE/>
      <w:autoSpaceDN/>
      <w:adjustRightInd/>
      <w:spacing w:after="115" w:line="288" w:lineRule="auto"/>
      <w:ind w:firstLine="480"/>
    </w:pPr>
    <w:rPr>
      <w:szCs w:val="20"/>
    </w:rPr>
  </w:style>
  <w:style w:type="character" w:styleId="Siln">
    <w:name w:val="Strong"/>
    <w:uiPriority w:val="22"/>
    <w:qFormat/>
    <w:rsid w:val="0035590E"/>
    <w:rPr>
      <w:b/>
      <w:bCs/>
    </w:rPr>
  </w:style>
  <w:style w:type="character" w:customStyle="1" w:styleId="nowrap">
    <w:name w:val="nowrap"/>
    <w:basedOn w:val="Standardnpsmoodstavce"/>
    <w:rsid w:val="00F4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1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6B7F-ECAF-460A-84FD-EACBACC7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44</TotalTime>
  <Pages>1</Pages>
  <Words>2183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 - Okresní soud v Liberci</Company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Nosek Tomáš</dc:creator>
  <cp:lastModifiedBy>mlajtarova</cp:lastModifiedBy>
  <cp:revision>12</cp:revision>
  <cp:lastPrinted>2019-06-28T10:51:00Z</cp:lastPrinted>
  <dcterms:created xsi:type="dcterms:W3CDTF">2019-06-28T10:12:00Z</dcterms:created>
  <dcterms:modified xsi:type="dcterms:W3CDTF">2019-07-03T04:27:00Z</dcterms:modified>
</cp:coreProperties>
</file>