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FD" w:rsidRDefault="00F42F33">
      <w:pPr>
        <w:pStyle w:val="Nzev"/>
        <w:rPr>
          <w:color w:val="000000"/>
          <w:sz w:val="28"/>
          <w:szCs w:val="28"/>
        </w:rPr>
      </w:pPr>
      <w:bookmarkStart w:id="0" w:name="_gjdgxs" w:colFirst="0" w:colLast="0"/>
      <w:bookmarkEnd w:id="0"/>
      <w:r>
        <w:rPr>
          <w:color w:val="000000"/>
          <w:sz w:val="28"/>
          <w:szCs w:val="28"/>
        </w:rPr>
        <w:t>Servisní smlouva</w:t>
      </w:r>
    </w:p>
    <w:p w:rsidR="00210EFD" w:rsidRDefault="00F42F33">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210EFD" w:rsidRDefault="00F42F33">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Severočeská vědecká knihovna v Ústí nad Labem p.o.</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W. Churchilla 3, 400 01 Ústí nad Labem</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00083186</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Mgr. Jana Linhartová, ředitelka</w:t>
      </w:r>
    </w:p>
    <w:p w:rsidR="00210EFD" w:rsidRDefault="00F42F33">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210EFD" w:rsidRDefault="00F42F33">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210EFD" w:rsidRDefault="00210EFD">
      <w:pPr>
        <w:shd w:val="clear" w:color="auto" w:fill="FFFFFF"/>
        <w:spacing w:after="0" w:line="240" w:lineRule="auto"/>
        <w:rPr>
          <w:rFonts w:ascii="Georgia" w:eastAsia="Georgia" w:hAnsi="Georgia" w:cs="Georgia"/>
          <w:sz w:val="20"/>
          <w:szCs w:val="20"/>
        </w:rPr>
      </w:pPr>
    </w:p>
    <w:p w:rsidR="00210EFD" w:rsidRDefault="00F42F33">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210EFD" w:rsidRDefault="00F42F33">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CZ05700582</w:t>
      </w:r>
      <w:r>
        <w:rPr>
          <w:rFonts w:ascii="Georgia" w:eastAsia="Georgia" w:hAnsi="Georgia" w:cs="Georgia"/>
          <w:sz w:val="16"/>
          <w:szCs w:val="16"/>
        </w:rPr>
        <w:t xml:space="preserve"> (také MOSS identifikační číslo)</w:t>
      </w:r>
    </w:p>
    <w:p w:rsidR="00210EFD" w:rsidRDefault="00F42F33">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rsidR="00210EFD" w:rsidRDefault="00F42F33">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210EFD" w:rsidRDefault="00210EFD">
      <w:pPr>
        <w:shd w:val="clear" w:color="auto" w:fill="FFFFFF"/>
        <w:spacing w:after="0" w:line="240" w:lineRule="auto"/>
        <w:ind w:left="708"/>
        <w:rPr>
          <w:rFonts w:ascii="Georgia" w:eastAsia="Georgia" w:hAnsi="Georgia" w:cs="Georgia"/>
          <w:sz w:val="20"/>
          <w:szCs w:val="20"/>
        </w:rPr>
      </w:pPr>
    </w:p>
    <w:p w:rsidR="00210EFD" w:rsidRDefault="00F42F33">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210EFD" w:rsidRDefault="00210EFD">
      <w:pPr>
        <w:shd w:val="clear" w:color="auto" w:fill="FFFFFF"/>
        <w:spacing w:after="0" w:line="240" w:lineRule="auto"/>
        <w:jc w:val="center"/>
        <w:rPr>
          <w:rFonts w:ascii="Georgia" w:eastAsia="Georgia" w:hAnsi="Georgia" w:cs="Georgia"/>
          <w:sz w:val="20"/>
          <w:szCs w:val="20"/>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Předmětem smlouvy je závazek zhotovitele zajistit pro objednatele dále vyjmenované servisní a udržovací činnosti, které jsou nutné pro řádné užití knihovního systému Tritius (dále jen „systém“), a závazek objednatele tyto činnosti řádně uhradit.</w:t>
      </w: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služby Hotline - vzdálené podpory uživatelů systému. prostřednictvím: helpdesk Tritius, elektronické pošty, komunikační služby Skype nebo telefonu.</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jejich instalace, včetně zajištění dříve provedených individuálních úprav a nastavení systému objednatele.</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Komunikace s objednatelem primárně pomocí systému Helpdesk Tritius (JIRA) provozovaného zhotovitelem.</w:t>
      </w:r>
    </w:p>
    <w:p w:rsidR="00210EFD" w:rsidRDefault="00210EFD">
      <w:pPr>
        <w:pBdr>
          <w:top w:val="nil"/>
          <w:left w:val="nil"/>
          <w:bottom w:val="nil"/>
          <w:right w:val="nil"/>
          <w:between w:val="nil"/>
        </w:pBdr>
        <w:shd w:val="clear" w:color="auto" w:fill="FFFFFF"/>
        <w:spacing w:after="0" w:line="240" w:lineRule="auto"/>
        <w:ind w:left="1440"/>
        <w:rPr>
          <w:rFonts w:ascii="Georgia" w:eastAsia="Georgia" w:hAnsi="Georgia" w:cs="Georgia"/>
          <w:color w:val="000000"/>
          <w:sz w:val="22"/>
          <w:szCs w:val="22"/>
        </w:rPr>
      </w:pPr>
    </w:p>
    <w:p w:rsidR="00210EFD" w:rsidRDefault="00210EFD">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210EFD" w:rsidRDefault="00F42F33">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rozšířené záruky</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 je platné od roku  2020</w:t>
      </w:r>
      <w:r>
        <w:rPr>
          <w:rFonts w:ascii="Georgia" w:eastAsia="Georgia" w:hAnsi="Georgia" w:cs="Georgia"/>
          <w:sz w:val="22"/>
          <w:szCs w:val="22"/>
        </w:rPr>
        <w:t xml:space="preserve">. </w:t>
      </w: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210EFD" w:rsidRDefault="00210EFD">
      <w:pPr>
        <w:shd w:val="clear" w:color="auto" w:fill="FFFFFF"/>
        <w:spacing w:after="0" w:line="240" w:lineRule="auto"/>
        <w:ind w:left="720"/>
        <w:rPr>
          <w:rFonts w:ascii="Georgia" w:eastAsia="Georgia" w:hAnsi="Georgia" w:cs="Georgia"/>
          <w:sz w:val="22"/>
          <w:szCs w:val="22"/>
        </w:rPr>
      </w:pPr>
    </w:p>
    <w:p w:rsidR="00210EFD" w:rsidRDefault="00F42F33">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210EFD" w:rsidRDefault="00F42F33">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210EFD" w:rsidRDefault="00210EFD">
      <w:pPr>
        <w:shd w:val="clear" w:color="auto" w:fill="FFFFFF"/>
        <w:spacing w:after="0" w:line="240" w:lineRule="auto"/>
        <w:rPr>
          <w:rFonts w:ascii="Georgia" w:eastAsia="Georgia" w:hAnsi="Georgia" w:cs="Georgia"/>
          <w:sz w:val="22"/>
          <w:szCs w:val="22"/>
          <w:u w:val="single"/>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210EFD" w:rsidRDefault="00210EF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210EFD" w:rsidRDefault="00F42F33">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color w:val="000000"/>
          <w:sz w:val="22"/>
          <w:szCs w:val="22"/>
        </w:rPr>
        <w:t>Roční servisní a udržovací poplatek systému ve vý</w:t>
      </w:r>
      <w:r>
        <w:rPr>
          <w:rFonts w:ascii="Georgia" w:eastAsia="Georgia" w:hAnsi="Georgia" w:cs="Georgia"/>
          <w:sz w:val="22"/>
          <w:szCs w:val="22"/>
        </w:rPr>
        <w:t>ši 68 400,00 Kč bez DPH</w:t>
      </w:r>
      <w:r>
        <w:rPr>
          <w:rFonts w:ascii="Georgia" w:eastAsia="Georgia" w:hAnsi="Georgia" w:cs="Georgia"/>
          <w:sz w:val="22"/>
          <w:szCs w:val="22"/>
        </w:rPr>
        <w:br/>
        <w:t xml:space="preserve"> (tj. 82 764,00 Kč včetně DPH).</w:t>
      </w:r>
    </w:p>
    <w:p w:rsidR="00210EFD" w:rsidRDefault="00210EF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210EFD" w:rsidRDefault="00F42F33">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210EFD" w:rsidRDefault="00F42F33">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210EFD" w:rsidRDefault="00F42F33">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210EFD" w:rsidRDefault="00210EFD">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210EFD" w:rsidRDefault="00F42F33">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210EFD" w:rsidRDefault="00210EFD">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Cena poskytnutí nových verzí systému a rozšířené záruky dle článku 2.2. bod II.</w:t>
      </w:r>
      <w:r>
        <w:rPr>
          <w:rFonts w:ascii="Georgia" w:eastAsia="Georgia" w:hAnsi="Georgia" w:cs="Georgia"/>
          <w:color w:val="000000"/>
          <w:sz w:val="22"/>
          <w:szCs w:val="22"/>
        </w:rPr>
        <w:br/>
        <w:t xml:space="preserve">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210EFD" w:rsidRDefault="00210EF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210EFD" w:rsidRDefault="00F42F33">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rsidR="00210EFD" w:rsidRDefault="00210EF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210EFD" w:rsidRDefault="00F42F33">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9. předchozího roku.</w:t>
      </w: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210EFD" w:rsidRDefault="00210EFD">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210EFD" w:rsidRDefault="00F42F33">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3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210EFD" w:rsidRDefault="00F42F33">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3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210EFD" w:rsidRDefault="00F42F33">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210EFD" w:rsidRDefault="00210EFD">
      <w:pPr>
        <w:pBdr>
          <w:top w:val="nil"/>
          <w:left w:val="nil"/>
          <w:bottom w:val="nil"/>
          <w:right w:val="nil"/>
          <w:between w:val="nil"/>
        </w:pBdr>
        <w:spacing w:after="0"/>
        <w:rPr>
          <w:rFonts w:ascii="Georgia" w:eastAsia="Georgia" w:hAnsi="Georgia" w:cs="Georgia"/>
          <w:color w:val="000000"/>
          <w:sz w:val="22"/>
          <w:szCs w:val="22"/>
          <w:u w:val="single"/>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w:t>
      </w:r>
      <w:r w:rsidR="00572E99">
        <w:rPr>
          <w:rFonts w:ascii="Georgia" w:eastAsia="Georgia" w:hAnsi="Georgia" w:cs="Georgia"/>
          <w:color w:val="000000"/>
          <w:sz w:val="22"/>
          <w:szCs w:val="22"/>
        </w:rPr>
        <w:t xml:space="preserve">rozdělen na čtyři splátky, které </w:t>
      </w:r>
      <w:r w:rsidR="00572E99">
        <w:rPr>
          <w:rFonts w:ascii="Georgia" w:eastAsia="Georgia" w:hAnsi="Georgia" w:cs="Georgia"/>
          <w:sz w:val="22"/>
          <w:szCs w:val="22"/>
        </w:rPr>
        <w:t>jsou</w:t>
      </w:r>
      <w:r w:rsidR="00572E99">
        <w:rPr>
          <w:rFonts w:ascii="Georgia" w:eastAsia="Georgia" w:hAnsi="Georgia" w:cs="Georgia"/>
          <w:color w:val="000000"/>
          <w:sz w:val="22"/>
          <w:szCs w:val="22"/>
        </w:rPr>
        <w:t xml:space="preserve"> uhrazeny na základě daňových dokladů vystavených zhotovitelem vždy k poslednímu dni daného kalendářního čtvrtletí</w:t>
      </w:r>
      <w:r w:rsidR="00572E99">
        <w:rPr>
          <w:rFonts w:ascii="Georgia" w:eastAsia="Georgia" w:hAnsi="Georgia" w:cs="Georgia"/>
          <w:sz w:val="22"/>
          <w:szCs w:val="22"/>
        </w:rPr>
        <w:t>.</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rsidR="00210EFD" w:rsidRDefault="00210EFD">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Tritius komunikuje se zástupcem objednatele až do vyřešení požadavku. </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210EFD" w:rsidRDefault="00210EFD">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210EFD" w:rsidRDefault="00210EF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210EFD" w:rsidRDefault="00F42F33">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210EFD" w:rsidRDefault="00F42F33">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w:t>
      </w:r>
      <w:r w:rsidR="006F3C06">
        <w:rPr>
          <w:rFonts w:ascii="Georgia" w:eastAsia="Georgia" w:hAnsi="Georgia" w:cs="Georgia"/>
          <w:color w:val="000000"/>
          <w:sz w:val="22"/>
          <w:szCs w:val="22"/>
        </w:rPr>
        <w:t>produktu, a souhlasí</w:t>
      </w:r>
      <w:r>
        <w:rPr>
          <w:rFonts w:ascii="Georgia" w:eastAsia="Georgia" w:hAnsi="Georgia" w:cs="Georgia"/>
          <w:color w:val="000000"/>
          <w:sz w:val="22"/>
          <w:szCs w:val="22"/>
        </w:rPr>
        <w:t xml:space="preserve">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210EFD" w:rsidRDefault="00210EFD">
      <w:pPr>
        <w:keepNext/>
        <w:shd w:val="clear" w:color="auto" w:fill="FFFFFF"/>
        <w:spacing w:after="0" w:line="240" w:lineRule="auto"/>
        <w:rPr>
          <w:rFonts w:ascii="Georgia" w:eastAsia="Georgia" w:hAnsi="Georgia" w:cs="Georgia"/>
          <w:sz w:val="22"/>
          <w:szCs w:val="22"/>
        </w:rPr>
      </w:pPr>
    </w:p>
    <w:p w:rsidR="00210EFD" w:rsidRDefault="00F42F33">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p>
    <w:p w:rsidR="00210EFD" w:rsidRDefault="00F42F33">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 xml:space="preserve">Jméno: </w:t>
      </w:r>
      <w:r w:rsidR="00E81115" w:rsidRPr="00406725">
        <w:rPr>
          <w:rFonts w:ascii="Georgia" w:eastAsia="Georgia" w:hAnsi="Georgia" w:cs="Georgia"/>
          <w:sz w:val="22"/>
          <w:szCs w:val="22"/>
        </w:rPr>
        <w:t>Zbyněk Šachl</w:t>
      </w:r>
      <w:r w:rsidR="00E81115">
        <w:rPr>
          <w:rFonts w:ascii="Georgia" w:eastAsia="Georgia" w:hAnsi="Georgia" w:cs="Georgia"/>
          <w:sz w:val="22"/>
          <w:szCs w:val="22"/>
        </w:rPr>
        <w:t xml:space="preserve">  </w:t>
      </w:r>
      <w:r w:rsidR="00406725">
        <w:rPr>
          <w:rFonts w:ascii="Georgia" w:eastAsia="Georgia" w:hAnsi="Georgia" w:cs="Georgia"/>
          <w:sz w:val="22"/>
          <w:szCs w:val="22"/>
        </w:rPr>
        <w:t xml:space="preserve"> </w:t>
      </w:r>
      <w:r>
        <w:rPr>
          <w:rFonts w:ascii="Georgia" w:eastAsia="Georgia" w:hAnsi="Georgia" w:cs="Georgia"/>
          <w:sz w:val="22"/>
          <w:szCs w:val="22"/>
        </w:rPr>
        <w:t xml:space="preserve">Mail: </w:t>
      </w:r>
      <w:r w:rsidR="00E81115">
        <w:rPr>
          <w:rFonts w:ascii="Georgia" w:eastAsia="Georgia" w:hAnsi="Georgia" w:cs="Georgia"/>
          <w:sz w:val="22"/>
          <w:szCs w:val="22"/>
        </w:rPr>
        <w:t>sachl@svkul.cz</w:t>
      </w:r>
      <w:r>
        <w:rPr>
          <w:rFonts w:ascii="Georgia" w:eastAsia="Georgia" w:hAnsi="Georgia" w:cs="Georgia"/>
          <w:sz w:val="22"/>
          <w:szCs w:val="22"/>
        </w:rPr>
        <w:t xml:space="preserve">  </w:t>
      </w:r>
      <w:r w:rsidR="00406725">
        <w:rPr>
          <w:rFonts w:ascii="Georgia" w:eastAsia="Georgia" w:hAnsi="Georgia" w:cs="Georgia"/>
          <w:sz w:val="22"/>
          <w:szCs w:val="22"/>
        </w:rPr>
        <w:t xml:space="preserve"> </w:t>
      </w:r>
      <w:r>
        <w:rPr>
          <w:rFonts w:ascii="Georgia" w:eastAsia="Georgia" w:hAnsi="Georgia" w:cs="Georgia"/>
          <w:sz w:val="22"/>
          <w:szCs w:val="22"/>
        </w:rPr>
        <w:t>Tel.:</w:t>
      </w:r>
      <w:r w:rsidR="00E81115">
        <w:rPr>
          <w:rFonts w:ascii="Georgia" w:eastAsia="Georgia" w:hAnsi="Georgia" w:cs="Georgia"/>
          <w:sz w:val="22"/>
          <w:szCs w:val="22"/>
        </w:rPr>
        <w:t xml:space="preserve"> 777 27 537</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p>
    <w:p w:rsidR="00210EFD" w:rsidRDefault="00F42F33">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 xml:space="preserve">Jméno: Ing. Jan Šimeček </w:t>
      </w:r>
      <w:r w:rsidR="00083BD3">
        <w:rPr>
          <w:rFonts w:ascii="Georgia" w:eastAsia="Georgia" w:hAnsi="Georgia" w:cs="Georgia"/>
          <w:sz w:val="22"/>
          <w:szCs w:val="22"/>
        </w:rPr>
        <w:t xml:space="preserve"> </w:t>
      </w:r>
      <w:r>
        <w:rPr>
          <w:rFonts w:ascii="Georgia" w:eastAsia="Georgia" w:hAnsi="Georgia" w:cs="Georgia"/>
          <w:sz w:val="22"/>
          <w:szCs w:val="22"/>
        </w:rPr>
        <w:t xml:space="preserve">Mail: </w:t>
      </w:r>
      <w:hyperlink r:id="rId8">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381 251 715</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210EFD" w:rsidRDefault="00210EFD">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210EFD" w:rsidRDefault="00F42F33">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nižší než Blocker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každou započatou hodinu prodlení v provozní době.</w:t>
      </w:r>
    </w:p>
    <w:p w:rsidR="00210EFD" w:rsidRDefault="00F42F33">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Blocker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500,- Kč za každý započatý den prodlení v provozní době.</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Smluvní pokuty dle této smlouvy jsou splatné do 21 dnů po obdržení vyúčtování smluvní pokuty. Strany si sjednávají, že ve vztahu k náhradě škody vzniklé porušením smluvní povinnosti platí, že právo na její náhradu není zaplacením </w:t>
      </w:r>
      <w:r>
        <w:rPr>
          <w:rFonts w:ascii="Georgia" w:eastAsia="Georgia" w:hAnsi="Georgia" w:cs="Georgia"/>
          <w:color w:val="000000"/>
          <w:sz w:val="22"/>
          <w:szCs w:val="22"/>
        </w:rPr>
        <w:lastRenderedPageBreak/>
        <w:t>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210EFD" w:rsidRDefault="00210EFD">
      <w:pPr>
        <w:keepNext/>
        <w:shd w:val="clear" w:color="auto" w:fill="FFFFFF"/>
        <w:spacing w:after="0" w:line="240" w:lineRule="auto"/>
        <w:rPr>
          <w:rFonts w:ascii="Georgia" w:eastAsia="Georgia" w:hAnsi="Georgia" w:cs="Georgia"/>
          <w:sz w:val="22"/>
          <w:szCs w:val="22"/>
        </w:rPr>
      </w:pPr>
    </w:p>
    <w:p w:rsidR="00210EFD" w:rsidRDefault="00F42F33">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210EFD" w:rsidRDefault="00F42F33">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 xml:space="preserve">mlouva se uzavírá na dobu </w:t>
      </w:r>
      <w:r w:rsidR="00AD2251">
        <w:rPr>
          <w:rFonts w:ascii="Georgia" w:eastAsia="Georgia" w:hAnsi="Georgia" w:cs="Georgia"/>
          <w:color w:val="000000"/>
          <w:sz w:val="22"/>
          <w:szCs w:val="22"/>
        </w:rPr>
        <w:t>určitou 3 roky ode dne podepsání smlouvy s možností prodloužení.</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210EFD" w:rsidRDefault="00F42F33">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210EFD" w:rsidRDefault="00F42F33">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210EFD" w:rsidRDefault="00F42F33">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AD2251" w:rsidRPr="00AD2251" w:rsidRDefault="00F42F33">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210EFD" w:rsidRDefault="00AD2251">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uplynutím doby</w:t>
      </w:r>
      <w:r w:rsidR="00F42F33">
        <w:rPr>
          <w:rFonts w:ascii="Georgia" w:eastAsia="Georgia" w:hAnsi="Georgia" w:cs="Georgia"/>
          <w:sz w:val="22"/>
          <w:szCs w:val="22"/>
        </w:rPr>
        <w:t>.</w:t>
      </w:r>
    </w:p>
    <w:p w:rsidR="00210EFD" w:rsidRDefault="00210EFD">
      <w:pPr>
        <w:shd w:val="clear" w:color="auto" w:fill="FFFFFF"/>
        <w:spacing w:after="0" w:line="240" w:lineRule="auto"/>
        <w:rPr>
          <w:rFonts w:ascii="Georgia" w:eastAsia="Georgia" w:hAnsi="Georgia" w:cs="Georgia"/>
          <w:sz w:val="22"/>
          <w:szCs w:val="22"/>
        </w:rPr>
      </w:pPr>
      <w:bookmarkStart w:id="1" w:name="_GoBack"/>
      <w:bookmarkEnd w:id="1"/>
    </w:p>
    <w:p w:rsidR="00210EFD" w:rsidRDefault="00F42F33">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9">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210EFD" w:rsidRDefault="00F42F33">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210EFD" w:rsidRDefault="00F42F33">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210EFD" w:rsidRDefault="00F42F33">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210EFD" w:rsidRDefault="00F42F33">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210EFD" w:rsidRDefault="00F42F33">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210EFD" w:rsidRDefault="00210EFD">
      <w:pPr>
        <w:shd w:val="clear" w:color="auto" w:fill="FFFFFF"/>
        <w:spacing w:after="0" w:line="240" w:lineRule="auto"/>
        <w:ind w:left="792"/>
        <w:rPr>
          <w:rFonts w:ascii="Georgia" w:eastAsia="Georgia" w:hAnsi="Georgia" w:cs="Georgia"/>
          <w:sz w:val="22"/>
          <w:szCs w:val="22"/>
          <w:highlight w:val="yellow"/>
        </w:rPr>
      </w:pPr>
    </w:p>
    <w:p w:rsidR="00156DAB" w:rsidRDefault="00156DAB">
      <w:pPr>
        <w:shd w:val="clear" w:color="auto" w:fill="FFFFFF"/>
        <w:spacing w:after="0" w:line="240" w:lineRule="auto"/>
        <w:ind w:left="792"/>
        <w:rPr>
          <w:rFonts w:ascii="Georgia" w:eastAsia="Georgia" w:hAnsi="Georgia" w:cs="Georgia"/>
          <w:sz w:val="22"/>
          <w:szCs w:val="22"/>
          <w:highlight w:val="yellow"/>
        </w:rPr>
      </w:pPr>
    </w:p>
    <w:p w:rsidR="00156DAB" w:rsidRDefault="00156DAB">
      <w:pPr>
        <w:shd w:val="clear" w:color="auto" w:fill="FFFFFF"/>
        <w:spacing w:after="0" w:line="240" w:lineRule="auto"/>
        <w:ind w:left="792"/>
        <w:rPr>
          <w:rFonts w:ascii="Georgia" w:eastAsia="Georgia" w:hAnsi="Georgia" w:cs="Georgia"/>
          <w:sz w:val="22"/>
          <w:szCs w:val="22"/>
          <w:highlight w:val="yellow"/>
        </w:rPr>
      </w:pPr>
    </w:p>
    <w:p w:rsidR="00210EFD" w:rsidRDefault="00210EFD">
      <w:pPr>
        <w:shd w:val="clear" w:color="auto" w:fill="FFFFFF"/>
        <w:spacing w:after="0" w:line="240" w:lineRule="auto"/>
        <w:rPr>
          <w:rFonts w:ascii="Georgia" w:eastAsia="Georgia" w:hAnsi="Georgia" w:cs="Georgia"/>
          <w:sz w:val="22"/>
          <w:szCs w:val="22"/>
        </w:rPr>
      </w:pPr>
    </w:p>
    <w:p w:rsidR="00210EFD" w:rsidRDefault="00F42F33">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w:t>
      </w:r>
      <w:r w:rsidR="00083BD3">
        <w:rPr>
          <w:rFonts w:ascii="Georgia" w:eastAsia="Georgia" w:hAnsi="Georgia" w:cs="Georgia"/>
          <w:sz w:val="22"/>
          <w:szCs w:val="22"/>
        </w:rPr>
        <w:t> Ústí n. L.</w:t>
      </w:r>
      <w:r>
        <w:rPr>
          <w:rFonts w:ascii="Georgia" w:eastAsia="Georgia" w:hAnsi="Georgia" w:cs="Georgia"/>
          <w:sz w:val="22"/>
          <w:szCs w:val="22"/>
        </w:rPr>
        <w:t xml:space="preserve"> </w:t>
      </w:r>
      <w:r w:rsidR="00083BD3">
        <w:rPr>
          <w:rFonts w:ascii="Georgia" w:eastAsia="Georgia" w:hAnsi="Georgia" w:cs="Georgia"/>
          <w:sz w:val="22"/>
          <w:szCs w:val="22"/>
        </w:rPr>
        <w:t xml:space="preserve"> </w:t>
      </w:r>
      <w:r>
        <w:rPr>
          <w:rFonts w:ascii="Georgia" w:eastAsia="Georgia" w:hAnsi="Georgia" w:cs="Georgia"/>
          <w:sz w:val="22"/>
          <w:szCs w:val="22"/>
        </w:rPr>
        <w:t xml:space="preserve">dne </w:t>
      </w:r>
      <w:r>
        <w:rPr>
          <w:rFonts w:ascii="Georgia" w:eastAsia="Georgia" w:hAnsi="Georgia" w:cs="Georgia"/>
          <w:sz w:val="22"/>
          <w:szCs w:val="22"/>
          <w:highlight w:val="yellow"/>
        </w:rPr>
        <w:t xml:space="preserve">  </w:t>
      </w:r>
    </w:p>
    <w:p w:rsidR="00210EFD" w:rsidRDefault="00210EFD">
      <w:pPr>
        <w:rPr>
          <w:rFonts w:ascii="Georgia" w:eastAsia="Georgia" w:hAnsi="Georgia" w:cs="Georgia"/>
          <w:sz w:val="22"/>
          <w:szCs w:val="22"/>
        </w:rPr>
      </w:pPr>
    </w:p>
    <w:p w:rsidR="00210EFD" w:rsidRDefault="00210EFD">
      <w:pPr>
        <w:rPr>
          <w:rFonts w:ascii="Georgia" w:eastAsia="Georgia" w:hAnsi="Georgia" w:cs="Georgia"/>
          <w:sz w:val="22"/>
          <w:szCs w:val="22"/>
        </w:rPr>
      </w:pPr>
    </w:p>
    <w:p w:rsidR="00210EFD" w:rsidRDefault="00F42F33">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210EFD" w:rsidRDefault="00F42F33">
      <w:pPr>
        <w:spacing w:after="0"/>
        <w:ind w:firstLine="720"/>
        <w:rPr>
          <w:rFonts w:ascii="Georgia" w:eastAsia="Georgia" w:hAnsi="Georgia" w:cs="Georgia"/>
          <w:i/>
          <w:sz w:val="22"/>
          <w:szCs w:val="22"/>
        </w:rPr>
      </w:pPr>
      <w:r>
        <w:rPr>
          <w:rFonts w:ascii="Georgia" w:eastAsia="Georgia" w:hAnsi="Georgia" w:cs="Georgia"/>
          <w:sz w:val="22"/>
          <w:szCs w:val="22"/>
        </w:rPr>
        <w:t>Jiří Šilha, předseda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7C7C01">
        <w:rPr>
          <w:rFonts w:ascii="Georgia" w:eastAsia="Georgia" w:hAnsi="Georgia" w:cs="Georgia"/>
          <w:sz w:val="22"/>
          <w:szCs w:val="22"/>
        </w:rPr>
        <w:t>Mgr. Jana Linhartová, ředitelka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rsidR="00210EFD" w:rsidRDefault="00F42F33">
      <w:pPr>
        <w:rPr>
          <w:rFonts w:ascii="Georgia" w:eastAsia="Georgia" w:hAnsi="Georgia" w:cs="Georgia"/>
          <w:sz w:val="22"/>
          <w:szCs w:val="22"/>
        </w:rPr>
      </w:pPr>
      <w:r>
        <w:br w:type="page"/>
      </w:r>
    </w:p>
    <w:p w:rsidR="00210EFD" w:rsidRDefault="00F42F33">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210EFD" w:rsidRDefault="00210EFD">
      <w:pPr>
        <w:pBdr>
          <w:top w:val="nil"/>
          <w:left w:val="nil"/>
          <w:bottom w:val="nil"/>
          <w:right w:val="nil"/>
          <w:between w:val="nil"/>
        </w:pBdr>
        <w:spacing w:after="0" w:line="240" w:lineRule="auto"/>
        <w:rPr>
          <w:rFonts w:ascii="Georgia" w:eastAsia="Georgia" w:hAnsi="Georgia" w:cs="Georgia"/>
          <w:b/>
          <w:color w:val="000000"/>
          <w:sz w:val="22"/>
          <w:szCs w:val="22"/>
        </w:rPr>
      </w:pPr>
    </w:p>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210EFD" w:rsidRDefault="00210EFD">
      <w:pPr>
        <w:spacing w:after="0" w:line="240" w:lineRule="auto"/>
        <w:rPr>
          <w:rFonts w:ascii="Georgia" w:eastAsia="Georgia" w:hAnsi="Georgia" w:cs="Georgia"/>
          <w:sz w:val="22"/>
          <w:szCs w:val="22"/>
        </w:rPr>
      </w:pPr>
    </w:p>
    <w:p w:rsidR="00210EFD" w:rsidRDefault="00210EFD">
      <w:pPr>
        <w:spacing w:after="0" w:line="240" w:lineRule="auto"/>
        <w:rPr>
          <w:rFonts w:ascii="Georgia" w:eastAsia="Georgia" w:hAnsi="Georgia" w:cs="Georgia"/>
          <w:b/>
          <w:sz w:val="22"/>
          <w:szCs w:val="22"/>
        </w:rPr>
      </w:pPr>
    </w:p>
    <w:p w:rsidR="00210EFD" w:rsidRDefault="00F42F33">
      <w:pPr>
        <w:rPr>
          <w:rFonts w:ascii="Georgia" w:eastAsia="Georgia" w:hAnsi="Georgia" w:cs="Georgia"/>
          <w:sz w:val="24"/>
          <w:szCs w:val="24"/>
        </w:rPr>
      </w:pPr>
      <w:r>
        <w:rPr>
          <w:rFonts w:ascii="Georgia" w:eastAsia="Georgia" w:hAnsi="Georgia" w:cs="Georgia"/>
          <w:b/>
          <w:sz w:val="24"/>
          <w:szCs w:val="24"/>
        </w:rPr>
        <w:t>Záruční servis</w:t>
      </w:r>
    </w:p>
    <w:p w:rsidR="00210EFD" w:rsidRDefault="00F42F33">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210EFD">
        <w:trPr>
          <w:trHeight w:val="480"/>
        </w:trPr>
        <w:tc>
          <w:tcPr>
            <w:tcW w:w="1560"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Doba odstranění</w:t>
            </w:r>
          </w:p>
        </w:tc>
      </w:tr>
      <w:tr w:rsidR="00210EFD">
        <w:trPr>
          <w:trHeight w:val="240"/>
        </w:trPr>
        <w:tc>
          <w:tcPr>
            <w:tcW w:w="1560"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210EFD">
        <w:trPr>
          <w:trHeight w:val="300"/>
        </w:trPr>
        <w:tc>
          <w:tcPr>
            <w:tcW w:w="1560"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210EFD">
        <w:trPr>
          <w:trHeight w:val="240"/>
        </w:trPr>
        <w:tc>
          <w:tcPr>
            <w:tcW w:w="1560"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210EFD">
        <w:trPr>
          <w:trHeight w:val="280"/>
        </w:trPr>
        <w:tc>
          <w:tcPr>
            <w:tcW w:w="1560"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210EFD" w:rsidRDefault="00F42F33">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210EFD" w:rsidRDefault="00210EFD">
      <w:pPr>
        <w:rPr>
          <w:rFonts w:ascii="Georgia" w:eastAsia="Georgia" w:hAnsi="Georgia" w:cs="Georgia"/>
          <w:b/>
          <w:sz w:val="24"/>
          <w:szCs w:val="24"/>
        </w:rPr>
      </w:pPr>
    </w:p>
    <w:p w:rsidR="00210EFD" w:rsidRDefault="00F42F33">
      <w:pPr>
        <w:rPr>
          <w:rFonts w:ascii="Georgia" w:eastAsia="Georgia" w:hAnsi="Georgia" w:cs="Georgia"/>
          <w:sz w:val="24"/>
          <w:szCs w:val="24"/>
        </w:rPr>
      </w:pPr>
      <w:r>
        <w:rPr>
          <w:rFonts w:ascii="Georgia" w:eastAsia="Georgia" w:hAnsi="Georgia" w:cs="Georgia"/>
          <w:b/>
          <w:sz w:val="24"/>
          <w:szCs w:val="24"/>
        </w:rPr>
        <w:t>Mimozáruční servis</w:t>
      </w:r>
    </w:p>
    <w:p w:rsidR="00210EFD" w:rsidRDefault="00F42F33">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0"/>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210EFD">
        <w:trPr>
          <w:trHeight w:val="480"/>
        </w:trPr>
        <w:tc>
          <w:tcPr>
            <w:tcW w:w="1452"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210EFD" w:rsidRDefault="00F42F33">
            <w:pPr>
              <w:rPr>
                <w:rFonts w:ascii="Georgia" w:eastAsia="Georgia" w:hAnsi="Georgia" w:cs="Georgia"/>
                <w:b/>
                <w:sz w:val="22"/>
                <w:szCs w:val="22"/>
              </w:rPr>
            </w:pPr>
            <w:r>
              <w:rPr>
                <w:rFonts w:ascii="Georgia" w:eastAsia="Georgia" w:hAnsi="Georgia" w:cs="Georgia"/>
                <w:b/>
                <w:sz w:val="22"/>
                <w:szCs w:val="22"/>
              </w:rPr>
              <w:t xml:space="preserve">III. úroveň </w:t>
            </w:r>
          </w:p>
        </w:tc>
      </w:tr>
      <w:tr w:rsidR="00210EFD">
        <w:trPr>
          <w:trHeight w:val="300"/>
        </w:trPr>
        <w:tc>
          <w:tcPr>
            <w:tcW w:w="1452"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417"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210EFD">
        <w:trPr>
          <w:trHeight w:val="300"/>
        </w:trPr>
        <w:tc>
          <w:tcPr>
            <w:tcW w:w="1452"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417"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210EFD">
        <w:trPr>
          <w:trHeight w:val="300"/>
        </w:trPr>
        <w:tc>
          <w:tcPr>
            <w:tcW w:w="1452"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210EFD">
        <w:trPr>
          <w:trHeight w:val="300"/>
        </w:trPr>
        <w:tc>
          <w:tcPr>
            <w:tcW w:w="1452"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210EFD" w:rsidRDefault="00F42F33">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210EFD" w:rsidRDefault="00210EFD">
      <w:pPr>
        <w:rPr>
          <w:rFonts w:ascii="Georgia" w:eastAsia="Georgia" w:hAnsi="Georgia" w:cs="Georgia"/>
          <w:b/>
          <w:color w:val="000000"/>
          <w:sz w:val="22"/>
          <w:szCs w:val="22"/>
        </w:rPr>
      </w:pPr>
    </w:p>
    <w:p w:rsidR="00210EFD" w:rsidRDefault="00F42F33">
      <w:pPr>
        <w:pBdr>
          <w:top w:val="nil"/>
          <w:left w:val="nil"/>
          <w:bottom w:val="nil"/>
          <w:right w:val="nil"/>
          <w:between w:val="nil"/>
        </w:pBdr>
        <w:spacing w:after="0" w:line="240" w:lineRule="auto"/>
        <w:rPr>
          <w:rFonts w:ascii="Georgia" w:eastAsia="Georgia" w:hAnsi="Georgia" w:cs="Georgia"/>
          <w:b/>
          <w:sz w:val="22"/>
          <w:szCs w:val="22"/>
        </w:rPr>
      </w:pPr>
      <w:r>
        <w:br w:type="page"/>
      </w:r>
    </w:p>
    <w:p w:rsidR="00210EFD" w:rsidRDefault="00F42F33">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210EFD" w:rsidRDefault="00210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210EFD" w:rsidRDefault="00F42F33">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210EFD" w:rsidRDefault="00F42F33">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210EFD" w:rsidRDefault="00F42F33">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210EFD" w:rsidRDefault="00F42F33">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210EFD" w:rsidRDefault="00F42F33">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rsidR="00210EFD" w:rsidRDefault="00F42F33">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210EFD" w:rsidRDefault="00210EFD">
      <w:pPr>
        <w:pBdr>
          <w:top w:val="nil"/>
          <w:left w:val="nil"/>
          <w:bottom w:val="nil"/>
          <w:right w:val="nil"/>
          <w:between w:val="nil"/>
        </w:pBdr>
        <w:spacing w:after="0"/>
        <w:rPr>
          <w:rFonts w:ascii="Georgia" w:eastAsia="Georgia" w:hAnsi="Georgia" w:cs="Georgia"/>
          <w:sz w:val="22"/>
          <w:szCs w:val="22"/>
        </w:rPr>
      </w:pPr>
    </w:p>
    <w:p w:rsidR="00210EFD" w:rsidRDefault="00210EFD">
      <w:pPr>
        <w:spacing w:after="0"/>
        <w:rPr>
          <w:rFonts w:ascii="Georgia" w:eastAsia="Georgia" w:hAnsi="Georgia" w:cs="Georgia"/>
          <w:sz w:val="22"/>
          <w:szCs w:val="22"/>
        </w:rPr>
      </w:pPr>
    </w:p>
    <w:p w:rsidR="00210EFD" w:rsidRDefault="00210EFD">
      <w:pPr>
        <w:spacing w:after="0"/>
        <w:rPr>
          <w:rFonts w:ascii="Georgia" w:eastAsia="Georgia" w:hAnsi="Georgia" w:cs="Georgia"/>
          <w:sz w:val="22"/>
          <w:szCs w:val="22"/>
          <w:highlight w:val="yellow"/>
        </w:rPr>
      </w:pPr>
    </w:p>
    <w:p w:rsidR="00156DAB" w:rsidRDefault="00156DAB">
      <w:pPr>
        <w:rPr>
          <w:rFonts w:ascii="Georgia" w:eastAsia="Georgia" w:hAnsi="Georgia" w:cs="Georgia"/>
          <w:sz w:val="22"/>
          <w:szCs w:val="22"/>
        </w:rPr>
      </w:pPr>
      <w:r>
        <w:rPr>
          <w:rFonts w:ascii="Georgia" w:eastAsia="Georgia" w:hAnsi="Georgia" w:cs="Georgia"/>
          <w:sz w:val="22"/>
          <w:szCs w:val="22"/>
        </w:rPr>
        <w:br w:type="page"/>
      </w:r>
    </w:p>
    <w:p w:rsidR="00156DAB" w:rsidRPr="00156DAB" w:rsidRDefault="00156DAB" w:rsidP="00156DAB">
      <w:pPr>
        <w:pStyle w:val="Normlnweb"/>
        <w:pBdr>
          <w:top w:val="single" w:sz="6" w:space="8" w:color="A5A5A5"/>
          <w:bottom w:val="single" w:sz="6" w:space="8" w:color="A5A5A5"/>
        </w:pBdr>
        <w:spacing w:before="0" w:beforeAutospacing="0" w:after="400" w:afterAutospacing="0"/>
        <w:jc w:val="center"/>
        <w:rPr>
          <w:rFonts w:ascii="Georgia" w:hAnsi="Georgia"/>
        </w:rPr>
      </w:pPr>
      <w:r w:rsidRPr="00156DAB">
        <w:rPr>
          <w:rFonts w:ascii="Georgia" w:eastAsia="Georgia" w:hAnsi="Georgia" w:cs="Georgia"/>
          <w:b/>
          <w:color w:val="000000"/>
          <w:sz w:val="22"/>
          <w:szCs w:val="22"/>
        </w:rPr>
        <w:lastRenderedPageBreak/>
        <w:t xml:space="preserve">Příloha č. 3 – </w:t>
      </w:r>
      <w:r w:rsidRPr="00156DAB">
        <w:rPr>
          <w:rFonts w:ascii="Georgia" w:hAnsi="Georgia" w:cs="Calibri"/>
          <w:smallCaps/>
          <w:color w:val="000000"/>
          <w:sz w:val="28"/>
          <w:szCs w:val="28"/>
        </w:rPr>
        <w:t>Všeobecné obchodní podmínky</w:t>
      </w:r>
    </w:p>
    <w:p w:rsidR="00156DAB" w:rsidRDefault="00156DAB" w:rsidP="00156DAB">
      <w:pPr>
        <w:pStyle w:val="Normlnweb"/>
        <w:shd w:val="clear" w:color="auto" w:fill="FFFFFF"/>
        <w:spacing w:before="0" w:beforeAutospacing="0" w:after="0" w:afterAutospacing="0"/>
      </w:pPr>
      <w:r>
        <w:rPr>
          <w:rFonts w:ascii="Georgia" w:hAnsi="Georgia"/>
          <w:color w:val="000000"/>
        </w:rPr>
        <w:t>Poskytovatel</w:t>
      </w:r>
    </w:p>
    <w:p w:rsidR="00156DAB" w:rsidRDefault="00156DAB" w:rsidP="00156DAB">
      <w:pPr>
        <w:pStyle w:val="Normlnweb"/>
        <w:shd w:val="clear" w:color="auto" w:fill="FFFFFF"/>
        <w:spacing w:before="0" w:beforeAutospacing="0" w:after="0" w:afterAutospacing="0"/>
        <w:ind w:left="720" w:hanging="708"/>
      </w:pPr>
      <w:r>
        <w:rPr>
          <w:rFonts w:ascii="Georgia" w:hAnsi="Georgia"/>
          <w:b/>
          <w:bCs/>
          <w:color w:val="000000"/>
        </w:rPr>
        <w:t>Tritius Solutions a.s.</w:t>
      </w:r>
    </w:p>
    <w:p w:rsidR="00156DAB" w:rsidRDefault="00156DAB" w:rsidP="00156DAB">
      <w:pPr>
        <w:pStyle w:val="Normlnweb"/>
        <w:shd w:val="clear" w:color="auto" w:fill="FFFFFF"/>
        <w:spacing w:before="0" w:beforeAutospacing="0" w:after="0" w:afterAutospacing="0"/>
        <w:ind w:left="720" w:hanging="708"/>
      </w:pPr>
      <w:r>
        <w:rPr>
          <w:rFonts w:ascii="Georgia" w:hAnsi="Georgia"/>
          <w:color w:val="000000"/>
        </w:rPr>
        <w:t>se sídlem Vodní 258/13, Brno 602 00, doručit : Jiráskova 1775, 390 02 Tábor</w:t>
      </w:r>
    </w:p>
    <w:p w:rsidR="00156DAB" w:rsidRDefault="00156DAB" w:rsidP="00156DAB">
      <w:pPr>
        <w:pStyle w:val="Normlnweb"/>
        <w:shd w:val="clear" w:color="auto" w:fill="FFFFFF"/>
        <w:spacing w:before="0" w:beforeAutospacing="0" w:after="0" w:afterAutospacing="0"/>
        <w:ind w:left="720" w:hanging="708"/>
      </w:pPr>
      <w:r>
        <w:rPr>
          <w:rFonts w:ascii="Georgia" w:hAnsi="Georgia"/>
          <w:color w:val="000000"/>
        </w:rPr>
        <w:t>IČ: 05700582, DIČ: CZ05700582</w:t>
      </w:r>
      <w:r>
        <w:rPr>
          <w:rFonts w:ascii="Georgia" w:hAnsi="Georgia"/>
          <w:color w:val="000000"/>
          <w:sz w:val="16"/>
          <w:szCs w:val="16"/>
        </w:rPr>
        <w:t xml:space="preserve"> (také MOSS identifikační číslo)</w:t>
      </w:r>
    </w:p>
    <w:p w:rsidR="00156DAB" w:rsidRDefault="00156DAB" w:rsidP="00156DAB">
      <w:pPr>
        <w:pStyle w:val="Normlnweb"/>
        <w:shd w:val="clear" w:color="auto" w:fill="FFFFFF"/>
        <w:spacing w:before="0" w:beforeAutospacing="0" w:after="0" w:afterAutospacing="0"/>
        <w:ind w:left="720" w:hanging="708"/>
      </w:pPr>
      <w:r>
        <w:rPr>
          <w:rFonts w:ascii="Georgia" w:hAnsi="Georgia"/>
          <w:color w:val="000000"/>
        </w:rPr>
        <w:t>zastoupen předsedou představenstva Ing. Jiřím Šilhou</w:t>
      </w:r>
    </w:p>
    <w:p w:rsidR="00156DAB" w:rsidRDefault="00156DAB" w:rsidP="00156DAB">
      <w:pPr>
        <w:pStyle w:val="Normlnweb"/>
        <w:shd w:val="clear" w:color="auto" w:fill="FFFFFF"/>
        <w:spacing w:before="0" w:beforeAutospacing="0" w:after="0" w:afterAutospacing="0"/>
        <w:ind w:left="720" w:hanging="708"/>
      </w:pPr>
      <w:r>
        <w:rPr>
          <w:rFonts w:ascii="Georgia" w:hAnsi="Georgia"/>
          <w:i/>
          <w:iCs/>
          <w:color w:val="000000"/>
          <w:sz w:val="20"/>
          <w:szCs w:val="20"/>
        </w:rPr>
        <w:t>(dále jako “Poskytovatel“)</w:t>
      </w:r>
    </w:p>
    <w:p w:rsidR="00156DAB" w:rsidRDefault="00156DAB" w:rsidP="00156DAB">
      <w:pPr>
        <w:pStyle w:val="Normlnweb"/>
        <w:shd w:val="clear" w:color="auto" w:fill="FFFFFF"/>
        <w:spacing w:before="0" w:beforeAutospacing="0" w:after="0" w:afterAutospacing="0"/>
        <w:ind w:left="720" w:hanging="708"/>
      </w:pPr>
      <w:r>
        <w:t> </w:t>
      </w:r>
    </w:p>
    <w:p w:rsidR="00156DAB" w:rsidRDefault="00156DAB" w:rsidP="00156DAB">
      <w:pPr>
        <w:pStyle w:val="Normlnweb"/>
        <w:shd w:val="clear" w:color="auto" w:fill="FFFFFF"/>
        <w:spacing w:before="0" w:beforeAutospacing="0" w:after="0" w:afterAutospacing="0"/>
      </w:pPr>
      <w:r>
        <w:rPr>
          <w:rFonts w:ascii="Georgia" w:hAnsi="Georgia"/>
          <w:color w:val="000000"/>
        </w:rPr>
        <w:t>Objednatel</w:t>
      </w:r>
    </w:p>
    <w:p w:rsidR="00156DAB" w:rsidRDefault="00156DAB" w:rsidP="00156DAB">
      <w:pPr>
        <w:pStyle w:val="Normlnweb"/>
        <w:shd w:val="clear" w:color="auto" w:fill="FFFFFF"/>
        <w:spacing w:before="0" w:beforeAutospacing="0" w:after="0" w:afterAutospacing="0"/>
        <w:ind w:left="720" w:hanging="708"/>
      </w:pPr>
      <w:r>
        <w:rPr>
          <w:rFonts w:ascii="Georgia" w:hAnsi="Georgia"/>
          <w:i/>
          <w:iCs/>
          <w:color w:val="000000"/>
        </w:rPr>
        <w:t>Uživatel systému nebo služeb Poskytovatele</w:t>
      </w:r>
    </w:p>
    <w:p w:rsidR="00156DAB" w:rsidRDefault="00156DAB" w:rsidP="00156DAB">
      <w:pPr>
        <w:pStyle w:val="Normlnweb"/>
        <w:shd w:val="clear" w:color="auto" w:fill="FFFFFF"/>
        <w:spacing w:before="0" w:beforeAutospacing="0" w:after="0" w:afterAutospacing="0"/>
        <w:jc w:val="center"/>
      </w:pPr>
      <w:r>
        <w:t> </w:t>
      </w:r>
    </w:p>
    <w:p w:rsidR="00156DAB" w:rsidRDefault="00156DAB" w:rsidP="00156DAB">
      <w:pPr>
        <w:pStyle w:val="Normlnweb"/>
        <w:numPr>
          <w:ilvl w:val="0"/>
          <w:numId w:val="4"/>
        </w:numPr>
        <w:shd w:val="clear" w:color="auto" w:fill="FFFFFF"/>
        <w:spacing w:before="0" w:beforeAutospacing="0" w:after="0" w:afterAutospacing="0"/>
        <w:ind w:left="360"/>
        <w:textAlignment w:val="baseline"/>
        <w:rPr>
          <w:rFonts w:ascii="Georgia" w:hAnsi="Georgia"/>
          <w:color w:val="000000"/>
          <w:sz w:val="22"/>
          <w:szCs w:val="22"/>
        </w:rPr>
      </w:pPr>
      <w:r>
        <w:rPr>
          <w:rFonts w:ascii="Georgia" w:hAnsi="Georgia"/>
          <w:color w:val="000000"/>
          <w:sz w:val="22"/>
          <w:szCs w:val="22"/>
          <w:u w:val="single"/>
        </w:rPr>
        <w:t>Úvodní ustanovení</w:t>
      </w:r>
    </w:p>
    <w:p w:rsidR="00156DAB" w:rsidRDefault="00156DAB" w:rsidP="00156DAB">
      <w:pPr>
        <w:pStyle w:val="Normlnweb"/>
        <w:numPr>
          <w:ilvl w:val="1"/>
          <w:numId w:val="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Tyto všeobecné obchodní podmínky jsou součástí smluvních vztahů mezi poskytovatelem o objednatelem pro služby spojené s knihovním systém Tritius.</w:t>
      </w:r>
    </w:p>
    <w:p w:rsidR="00156DAB" w:rsidRDefault="00156DAB" w:rsidP="00156DAB">
      <w:pPr>
        <w:pStyle w:val="Normlnweb"/>
        <w:numPr>
          <w:ilvl w:val="1"/>
          <w:numId w:val="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Pro zajištění skutečného seznámení objednatele s těmito podmínkami jsou vždy v platné verzi přílohou uzavírané smlouvy.</w:t>
      </w:r>
    </w:p>
    <w:p w:rsidR="00156DAB" w:rsidRDefault="00156DAB" w:rsidP="00156DAB">
      <w:pPr>
        <w:pStyle w:val="Normlnweb"/>
        <w:numPr>
          <w:ilvl w:val="1"/>
          <w:numId w:val="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V případě rozdílu mezi obsahem těchto podmínek a uzavřené smlouvy má přednost úprava ve smlouvě (smlouva má vyšší prioritu).</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5"/>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Definice pojmů</w:t>
      </w:r>
    </w:p>
    <w:p w:rsidR="00156DAB" w:rsidRDefault="00156DAB" w:rsidP="00156DAB">
      <w:pPr>
        <w:pStyle w:val="Normlnweb"/>
        <w:numPr>
          <w:ilvl w:val="1"/>
          <w:numId w:val="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b/>
          <w:bCs/>
          <w:color w:val="000000"/>
          <w:sz w:val="22"/>
          <w:szCs w:val="22"/>
        </w:rPr>
        <w:t>VOP</w:t>
      </w:r>
      <w:r>
        <w:rPr>
          <w:rFonts w:ascii="Georgia" w:hAnsi="Georgia"/>
          <w:color w:val="000000"/>
          <w:sz w:val="22"/>
          <w:szCs w:val="22"/>
        </w:rPr>
        <w:t>: Všeobecné obchodní podmínky (tento dokument).</w:t>
      </w:r>
    </w:p>
    <w:p w:rsidR="00156DAB" w:rsidRDefault="00156DAB" w:rsidP="00156DAB">
      <w:pPr>
        <w:pStyle w:val="Normlnweb"/>
        <w:numPr>
          <w:ilvl w:val="1"/>
          <w:numId w:val="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b/>
          <w:bCs/>
          <w:color w:val="000000"/>
          <w:sz w:val="22"/>
          <w:szCs w:val="22"/>
        </w:rPr>
        <w:t>Systém</w:t>
      </w:r>
      <w:r>
        <w:rPr>
          <w:rFonts w:ascii="Georgia" w:hAnsi="Georgia"/>
          <w:color w:val="000000"/>
          <w:sz w:val="22"/>
          <w:szCs w:val="22"/>
        </w:rPr>
        <w:t>: Knihovní systém Tritius.</w:t>
      </w:r>
    </w:p>
    <w:p w:rsidR="00156DAB" w:rsidRDefault="00156DAB" w:rsidP="00156DAB">
      <w:pPr>
        <w:pStyle w:val="Normlnweb"/>
        <w:numPr>
          <w:ilvl w:val="1"/>
          <w:numId w:val="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b/>
          <w:bCs/>
          <w:color w:val="000000"/>
          <w:sz w:val="22"/>
          <w:szCs w:val="22"/>
        </w:rPr>
        <w:t>Smlouva</w:t>
      </w:r>
      <w:r>
        <w:rPr>
          <w:rFonts w:ascii="Georgia" w:hAnsi="Georgia"/>
          <w:color w:val="000000"/>
          <w:sz w:val="22"/>
          <w:szCs w:val="22"/>
        </w:rPr>
        <w:t>: Smlouva mezi poskytovatelem a objednatelem pro dodání systému nebo služby spojené se systémem, k níž se vztahují tyto VOP.</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6"/>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Pravidla užívání systému (licenční podmínky)</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systém užívat pouze v rozsahu udělené licence uvedené v samostatné smlouvě.</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systém užívat výlučně pro své vnitřní účely v souladu s účelem, pro které byl software vytvořen.</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není oprávněn systém šířit, kopírovat nebo jiným způsobem umožnit jeho užívání jinými osobami, nebude-li smluvními stranami předem písemně sjednáno jinak. Výjimkou jsou veřejně dostupné části služby systému (webový katalog) a případně další pořízené komunikační moduly, tj. OAI Provider, NCIP Server a Z39.50 Server.</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Pokud objednatel umožní provoz dalších platných licencí systému třetím stranám na svém serveru (sdílení serveru pro provoz více licencí systému více knihovnami), zavazuje se, že bude garantovat dostupnost serveru a systému v takové kvalitě, aby provoz nepoškozoval dobré jméno produktu a souhlasí s tím, že update systému může být instalován jen v případě jeho řádného uhrazení všemi připojenými třetími stranami (knihovnami) na sdíleném serveru.</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bere na vědomí, že k řádnému užívání systému je zapotřebí, aby systém užíval za pomocí hardwaru a softwaru, splňujícího požadavky písemně stanovené poskytovatelem ve veřejně dostupné dokumentaci.</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poskytovateli neprodleně písemně emailem oznámit každou změnu, která má nebo by mohla mít vliv na jeho užívání systému.</w:t>
      </w:r>
    </w:p>
    <w:p w:rsidR="00156DAB" w:rsidRDefault="00156DAB" w:rsidP="00156DAB">
      <w:pPr>
        <w:pStyle w:val="Normlnweb"/>
        <w:numPr>
          <w:ilvl w:val="1"/>
          <w:numId w:val="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Objednatel si je vědom toho, že systém je softwarové dílo a jako takové reaguje na okolnosti působící na něj během jeho činnosti, přičemž tyto jeho reakce mohou spočívat v nepředvídaných přerušeních prováděné akce, v potřebě zadání opakovaného příkazu k provedení akce či v jiných potížích při jeho užívání a provozování. Poskytovatel i objednatel shodně konstatují, že takové ojedinělé reakce </w:t>
      </w:r>
      <w:r>
        <w:rPr>
          <w:rFonts w:ascii="Georgia" w:hAnsi="Georgia"/>
          <w:color w:val="000000"/>
          <w:sz w:val="22"/>
          <w:szCs w:val="22"/>
        </w:rPr>
        <w:lastRenderedPageBreak/>
        <w:t>systému, přechodného rázu, nemohou být a nebudou považovány za vadu systému. Poskytovatel je však povinen poskytnout objednateli veškerou možnou odbornou pomoc při překonávání takovýchto situací.</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7"/>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Obecná součinnost objednatele</w:t>
      </w:r>
    </w:p>
    <w:p w:rsidR="00156DAB" w:rsidRDefault="00156DAB" w:rsidP="00156DAB">
      <w:pPr>
        <w:pStyle w:val="Normlnweb"/>
        <w:numPr>
          <w:ilvl w:val="1"/>
          <w:numId w:val="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k zadávání svých požadavků využívat přednostně zákaznickou aplikaci helpdesku systému Tritius.</w:t>
      </w:r>
    </w:p>
    <w:p w:rsidR="00156DAB" w:rsidRDefault="00156DAB" w:rsidP="00156DAB">
      <w:pPr>
        <w:pStyle w:val="Normlnweb"/>
        <w:numPr>
          <w:ilvl w:val="1"/>
          <w:numId w:val="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poskytnout potřebnou součinnost poskytovateli v souvislosti s plněním smlouvy, zejména:</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Poskytnout potřebných údajů pro implementaci (formou online formuláře).</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Poskytnout nezbytnou technickou a odbornou součinnost zejména při instalaci systému do virtualizačního prostředí, provozu na pracovních stanicích a jejich periferiích.</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Zajistit součinnost třetích stran při integraci s jinými informačními systémy.</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Dodržovat termíny v rámci dohodnutého harmonogramu prací.</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Zajistit školení pracovníků objednatele v oblasti knihovnických standardů (AACR2, ISBD, MARC21, MARC21/Autority, RDA).</w:t>
      </w:r>
    </w:p>
    <w:p w:rsidR="00156DAB" w:rsidRDefault="00156DAB" w:rsidP="00156DAB">
      <w:pPr>
        <w:pStyle w:val="Normlnweb"/>
        <w:numPr>
          <w:ilvl w:val="2"/>
          <w:numId w:val="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Předávat požadované úpravy systému, úpravy a opravy konverzí dat ze stávajícího systému písemnou formou výhradně do helpdesku systému Tritius.</w:t>
      </w:r>
    </w:p>
    <w:p w:rsidR="00156DAB" w:rsidRDefault="00156DAB" w:rsidP="00156DAB">
      <w:pPr>
        <w:pStyle w:val="Normlnweb"/>
        <w:numPr>
          <w:ilvl w:val="1"/>
          <w:numId w:val="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Objednatel je povinen dle varianty provozu systému plnit </w:t>
      </w:r>
      <w:hyperlink r:id="rId10" w:history="1">
        <w:r>
          <w:rPr>
            <w:rStyle w:val="Hypertextovodkaz"/>
            <w:rFonts w:ascii="Georgia" w:hAnsi="Georgia"/>
            <w:color w:val="1155CC"/>
            <w:sz w:val="22"/>
            <w:szCs w:val="22"/>
          </w:rPr>
          <w:t>Technické požadavky na provoz systému na vlastním serveru</w:t>
        </w:r>
      </w:hyperlink>
      <w:r>
        <w:rPr>
          <w:rFonts w:ascii="Georgia" w:hAnsi="Georgia"/>
          <w:color w:val="000000"/>
          <w:sz w:val="22"/>
          <w:szCs w:val="22"/>
        </w:rPr>
        <w:t xml:space="preserve"> případně </w:t>
      </w:r>
      <w:hyperlink r:id="rId11" w:history="1">
        <w:r>
          <w:rPr>
            <w:rStyle w:val="Hypertextovodkaz"/>
            <w:rFonts w:ascii="Georgia" w:hAnsi="Georgia"/>
            <w:color w:val="1155CC"/>
            <w:sz w:val="22"/>
            <w:szCs w:val="22"/>
          </w:rPr>
          <w:t>Technické požadavky na provoz systému jako služby</w:t>
        </w:r>
      </w:hyperlink>
      <w:r>
        <w:rPr>
          <w:rFonts w:ascii="Georgia" w:hAnsi="Georgia"/>
          <w:color w:val="000000"/>
          <w:sz w:val="22"/>
          <w:szCs w:val="22"/>
        </w:rPr>
        <w:t>, které jsou dostupné ve veřejné dokumentaci Tritia.</w:t>
      </w:r>
    </w:p>
    <w:p w:rsidR="00156DAB" w:rsidRDefault="00156DAB" w:rsidP="00156DAB">
      <w:pPr>
        <w:pStyle w:val="Normlnweb"/>
        <w:numPr>
          <w:ilvl w:val="1"/>
          <w:numId w:val="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jakékoli zásahy, změny, opravy a rozšíření systému mimo dohodnutý rozsah předem konzultovat s poskytovatelem. Přitom je povinen respektovat ty podmínky, které označí zhotovitel jako podstatné pro zachování spolehlivé funkce SW.</w:t>
      </w:r>
    </w:p>
    <w:p w:rsidR="00156DAB" w:rsidRDefault="00156DAB" w:rsidP="00156DAB">
      <w:pPr>
        <w:pStyle w:val="Normlnweb"/>
        <w:numPr>
          <w:ilvl w:val="1"/>
          <w:numId w:val="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na výzvu zhotovitele obratem potvrdit nebo odmítnout požadovanou součinnost. Přitom je povinen komunikovat bez zbytečných odkladů, a v případě žádosti zhotovitele následně tuto komunikaci potvrdit v písemné podobě.</w:t>
      </w:r>
    </w:p>
    <w:p w:rsidR="00156DAB" w:rsidRDefault="00156DAB" w:rsidP="00156DAB">
      <w:pPr>
        <w:pStyle w:val="Normlnweb"/>
        <w:numPr>
          <w:ilvl w:val="1"/>
          <w:numId w:val="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bude přihlížet k organizačním změnám navržených zhotovitelem vedoucím k racionalizaci provozu a zvýšení produktivity práce.</w:t>
      </w:r>
    </w:p>
    <w:p w:rsidR="00156DAB" w:rsidRDefault="00156DAB" w:rsidP="00156DAB">
      <w:pPr>
        <w:pStyle w:val="Normlnweb"/>
        <w:shd w:val="clear" w:color="auto" w:fill="FFFFFF"/>
        <w:spacing w:before="0" w:beforeAutospacing="0" w:after="0" w:afterAutospacing="0"/>
        <w:ind w:left="792"/>
      </w:pPr>
      <w:r>
        <w:t> </w:t>
      </w:r>
    </w:p>
    <w:p w:rsidR="00156DAB" w:rsidRDefault="00156DAB" w:rsidP="00156DAB">
      <w:pPr>
        <w:pStyle w:val="Normlnweb"/>
        <w:numPr>
          <w:ilvl w:val="0"/>
          <w:numId w:val="9"/>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Garance</w:t>
      </w:r>
    </w:p>
    <w:p w:rsidR="00156DAB" w:rsidRDefault="00156DAB" w:rsidP="00156DAB">
      <w:pPr>
        <w:pStyle w:val="Normlnweb"/>
        <w:numPr>
          <w:ilvl w:val="1"/>
          <w:numId w:val="9"/>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garantuje dodržování knihovnických a technických standardů (AACR2, ISBD, MARC21, MARC21/Autority, RDA) a bezpečnostních komunikačních standardů (SSL).</w:t>
      </w:r>
    </w:p>
    <w:p w:rsidR="00156DAB" w:rsidRDefault="00156DAB" w:rsidP="00156DAB">
      <w:pPr>
        <w:pStyle w:val="Normlnweb"/>
        <w:shd w:val="clear" w:color="auto" w:fill="FFFFFF"/>
        <w:spacing w:before="0" w:beforeAutospacing="0" w:after="0" w:afterAutospacing="0"/>
        <w:ind w:left="360"/>
      </w:pPr>
      <w:r>
        <w:t> </w:t>
      </w:r>
    </w:p>
    <w:p w:rsidR="00156DAB" w:rsidRDefault="00156DAB" w:rsidP="00156DAB">
      <w:pPr>
        <w:pStyle w:val="Normlnweb"/>
        <w:numPr>
          <w:ilvl w:val="0"/>
          <w:numId w:val="10"/>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Záruční servis systému</w:t>
      </w:r>
    </w:p>
    <w:p w:rsid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Záručním servisem se rozumí odborné zásahy poskytovatele vedoucí k obnovení fungování systému podle aktuální elektronické dokumentace, zejména opravy zjevných chyb systému.</w:t>
      </w:r>
    </w:p>
    <w:p w:rsid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Záruční servis je poskytován na fungování předaných částí (modulů) systému pouze v rozsahu uvedeného v dokumentu </w:t>
      </w:r>
      <w:hyperlink r:id="rId12" w:history="1">
        <w:r>
          <w:rPr>
            <w:rStyle w:val="Hypertextovodkaz"/>
            <w:rFonts w:ascii="Georgia" w:hAnsi="Georgia"/>
            <w:color w:val="1155CC"/>
            <w:sz w:val="22"/>
            <w:szCs w:val="22"/>
          </w:rPr>
          <w:t>Základní funkčnosti systému Tritius</w:t>
        </w:r>
      </w:hyperlink>
      <w:r>
        <w:rPr>
          <w:rFonts w:ascii="Georgia" w:hAnsi="Georgia"/>
          <w:color w:val="000000"/>
          <w:sz w:val="22"/>
          <w:szCs w:val="22"/>
        </w:rPr>
        <w:t xml:space="preserve"> dostupného online na webu poskytovatele během platného záručního období.</w:t>
      </w:r>
    </w:p>
    <w:p w:rsid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neručí za chybné fungování systému způsobené chybnými daty zadanými objednatelem do systému nebo technickými nedostatky na straně objednatele.</w:t>
      </w:r>
    </w:p>
    <w:p w:rsid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Garantované lhůty pro řešení nahlášených vad systému bez uzavřené servisní smlouvy se liší v závislosti na prioritě závady.</w:t>
      </w:r>
    </w:p>
    <w:p w:rsid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Všechny uvedené lhůty se počítají v rámci pracovní doby poskytovatele.</w:t>
      </w:r>
    </w:p>
    <w:p w:rsidR="00156DAB" w:rsidRPr="00156DAB" w:rsidRDefault="00156DAB" w:rsidP="00156DAB">
      <w:pPr>
        <w:pStyle w:val="Normlnweb"/>
        <w:numPr>
          <w:ilvl w:val="1"/>
          <w:numId w:val="1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Pravidla pro určení priority požadavků určuje následující tabulka.</w:t>
      </w:r>
    </w:p>
    <w:p w:rsidR="00156DAB" w:rsidRDefault="00156DAB" w:rsidP="00156DAB">
      <w:pPr>
        <w:pStyle w:val="Normlnweb"/>
        <w:shd w:val="clear" w:color="auto" w:fill="FFFFFF"/>
        <w:spacing w:before="0" w:beforeAutospacing="0" w:after="0" w:afterAutospacing="0"/>
        <w:ind w:left="720"/>
        <w:textAlignment w:val="baseline"/>
        <w:rPr>
          <w:rFonts w:ascii="Georgia" w:hAnsi="Georgia"/>
          <w:color w:val="000000"/>
          <w:sz w:val="22"/>
          <w:szCs w:val="22"/>
        </w:rPr>
      </w:pPr>
    </w:p>
    <w:p w:rsidR="00156DAB" w:rsidRDefault="00156DAB" w:rsidP="00156DAB">
      <w:pPr>
        <w:pStyle w:val="Normlnweb"/>
        <w:shd w:val="clear" w:color="auto" w:fill="FFFFFF"/>
        <w:spacing w:before="0" w:beforeAutospacing="0" w:after="0" w:afterAutospacing="0"/>
        <w:ind w:left="720"/>
        <w:textAlignment w:val="baseline"/>
        <w:rPr>
          <w:rFonts w:ascii="Georgia" w:hAnsi="Georgia"/>
          <w:color w:val="000000"/>
          <w:sz w:val="22"/>
          <w:szCs w:val="22"/>
        </w:rPr>
      </w:pPr>
    </w:p>
    <w:p w:rsidR="00156DAB" w:rsidRDefault="00156DAB" w:rsidP="00156DAB">
      <w:pPr>
        <w:pStyle w:val="Normlnweb"/>
        <w:shd w:val="clear" w:color="auto" w:fill="FFFFFF"/>
        <w:spacing w:before="0" w:beforeAutospacing="0" w:after="0" w:afterAutospacing="0"/>
        <w:ind w:left="720"/>
        <w:textAlignment w:val="baseline"/>
        <w:rPr>
          <w:rFonts w:ascii="Georgia" w:hAnsi="Georgia"/>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155"/>
        <w:gridCol w:w="8115"/>
      </w:tblGrid>
      <w:tr w:rsidR="00156DAB" w:rsidTr="00156DAB">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lastRenderedPageBreak/>
              <w:t>Priorita</w:t>
            </w:r>
          </w:p>
        </w:tc>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t>Vysvětlení</w:t>
            </w:r>
          </w:p>
        </w:tc>
      </w:tr>
      <w:tr w:rsidR="00156DAB" w:rsidTr="00156DAB">
        <w:trPr>
          <w:trHeight w:val="5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color w:val="000000"/>
                <w:sz w:val="22"/>
                <w:szCs w:val="22"/>
              </w:rPr>
              <w:t>A – Blocker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Zásadní problém dostupnosti systému, neumožňuje systém využívat vůbec nebo nefungují základní funkce a činnosti.</w:t>
            </w:r>
          </w:p>
        </w:tc>
      </w:tr>
      <w:tr w:rsidR="00156DAB" w:rsidTr="00156D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color w:val="000000"/>
                <w:sz w:val="22"/>
                <w:szCs w:val="22"/>
              </w:rPr>
              <w:t>B – Critical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Závada brání primární funkčnosti systému a/nebo způsobuje chyby v datech na více místech softwaru nebo chyby, které výrazně ovlivňují chod dalších součástí softwaru, způsobuje chyby v datech, které nemohou být opraveny objednatelem a neexistuje náhradní řešení (tzv. Workaround)</w:t>
            </w:r>
          </w:p>
        </w:tc>
      </w:tr>
      <w:tr w:rsidR="00156DAB" w:rsidTr="00156D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color w:val="000000"/>
                <w:sz w:val="22"/>
                <w:szCs w:val="22"/>
              </w:rPr>
              <w:t>C – Major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 xml:space="preserve">Závažný problém v jedné z vyjmenovaných </w:t>
            </w:r>
            <w:hyperlink r:id="rId13" w:history="1">
              <w:r>
                <w:rPr>
                  <w:rStyle w:val="Hypertextovodkaz"/>
                  <w:rFonts w:ascii="Georgia" w:hAnsi="Georgia"/>
                  <w:color w:val="0563C1"/>
                  <w:sz w:val="22"/>
                  <w:szCs w:val="22"/>
                </w:rPr>
                <w:t>Základních funkčností systému</w:t>
              </w:r>
            </w:hyperlink>
            <w:r>
              <w:rPr>
                <w:rFonts w:ascii="Georgia" w:hAnsi="Georgia"/>
                <w:color w:val="000000"/>
                <w:sz w:val="22"/>
                <w:szCs w:val="22"/>
              </w:rPr>
              <w:t>. Problém lze obejít náhradním řešením nebo je funkčnost závislá na zařízení od třetího dodavatele.</w:t>
            </w:r>
          </w:p>
        </w:tc>
      </w:tr>
      <w:tr w:rsidR="00156DAB" w:rsidTr="00156DA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color w:val="000000"/>
                <w:sz w:val="22"/>
                <w:szCs w:val="22"/>
              </w:rPr>
              <w:t>D – Minor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Méně závažné požadavky a drobné chyby, které nemají vliv na správnou funkci systému.</w:t>
            </w:r>
          </w:p>
        </w:tc>
      </w:tr>
    </w:tbl>
    <w:p w:rsidR="00156DAB" w:rsidRDefault="00156DAB" w:rsidP="00156DAB">
      <w:pPr>
        <w:pStyle w:val="Normlnweb"/>
        <w:numPr>
          <w:ilvl w:val="1"/>
          <w:numId w:val="11"/>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si vyhrazuje právo prioritu změnit a tuto změnu odůvodnit objednateli.</w:t>
      </w:r>
    </w:p>
    <w:p w:rsidR="00156DAB" w:rsidRDefault="00156DAB" w:rsidP="00156DAB">
      <w:pPr>
        <w:pStyle w:val="Normlnweb"/>
        <w:numPr>
          <w:ilvl w:val="1"/>
          <w:numId w:val="12"/>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Lhůty pro odstranění vad v závislosti na prioritě závady:</w:t>
      </w:r>
    </w:p>
    <w:tbl>
      <w:tblPr>
        <w:tblW w:w="0" w:type="auto"/>
        <w:tblCellMar>
          <w:top w:w="15" w:type="dxa"/>
          <w:left w:w="15" w:type="dxa"/>
          <w:bottom w:w="15" w:type="dxa"/>
          <w:right w:w="15" w:type="dxa"/>
        </w:tblCellMar>
        <w:tblLook w:val="04A0" w:firstRow="1" w:lastRow="0" w:firstColumn="1" w:lastColumn="0" w:noHBand="0" w:noVBand="1"/>
      </w:tblPr>
      <w:tblGrid>
        <w:gridCol w:w="1993"/>
        <w:gridCol w:w="1666"/>
        <w:gridCol w:w="1606"/>
        <w:gridCol w:w="2091"/>
      </w:tblGrid>
      <w:tr w:rsidR="00156DAB" w:rsidTr="00156DAB">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t>Priorita</w:t>
            </w:r>
          </w:p>
        </w:tc>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t>Typ tiketu</w:t>
            </w:r>
          </w:p>
        </w:tc>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t>Doba reakce</w:t>
            </w:r>
          </w:p>
        </w:tc>
        <w:tc>
          <w:tcPr>
            <w:tcW w:w="0" w:type="auto"/>
            <w:tcBorders>
              <w:top w:val="single" w:sz="6" w:space="0" w:color="000000"/>
              <w:left w:val="single" w:sz="6" w:space="0" w:color="000000"/>
              <w:bottom w:val="single" w:sz="6" w:space="0" w:color="000000"/>
              <w:right w:val="single" w:sz="6" w:space="0" w:color="000000"/>
            </w:tcBorders>
            <w:shd w:val="clear" w:color="auto" w:fill="E7E6E6"/>
            <w:tcMar>
              <w:top w:w="100" w:type="dxa"/>
              <w:left w:w="100" w:type="dxa"/>
              <w:bottom w:w="100" w:type="dxa"/>
              <w:right w:w="100" w:type="dxa"/>
            </w:tcMar>
            <w:hideMark/>
          </w:tcPr>
          <w:p w:rsidR="00156DAB" w:rsidRDefault="00156DAB">
            <w:pPr>
              <w:pStyle w:val="Normlnweb"/>
              <w:spacing w:before="0" w:beforeAutospacing="0" w:after="160" w:afterAutospacing="0"/>
            </w:pPr>
            <w:r>
              <w:rPr>
                <w:rFonts w:ascii="Georgia" w:hAnsi="Georgia"/>
                <w:b/>
                <w:bCs/>
                <w:color w:val="000000"/>
                <w:sz w:val="22"/>
                <w:szCs w:val="22"/>
              </w:rPr>
              <w:t>Doba odstranění</w:t>
            </w:r>
          </w:p>
        </w:tc>
      </w:tr>
      <w:tr w:rsidR="00156DAB" w:rsidTr="00156DAB">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jc w:val="center"/>
            </w:pPr>
            <w:r>
              <w:rPr>
                <w:rFonts w:ascii="Georgia" w:hAnsi="Georgia"/>
                <w:color w:val="000000"/>
                <w:sz w:val="22"/>
                <w:szCs w:val="22"/>
              </w:rPr>
              <w:t>Nefunkční hosting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Chyba systému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2 hodin*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24 hodin*</w:t>
            </w:r>
          </w:p>
        </w:tc>
      </w:tr>
      <w:tr w:rsidR="00156DAB" w:rsidTr="00156DAB">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A – Blocker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Chyba systému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4 hodin*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8 hodin*</w:t>
            </w:r>
          </w:p>
        </w:tc>
      </w:tr>
      <w:tr w:rsidR="00156DAB" w:rsidTr="00156DAB">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B – Critical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Chyba systému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2 dnů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5 dnů</w:t>
            </w:r>
          </w:p>
        </w:tc>
      </w:tr>
      <w:tr w:rsidR="00156DAB" w:rsidTr="00156DAB">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 – Major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Chyba systému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 xml:space="preserve">do 7 dnů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 xml:space="preserve">do 14 dnů    </w:t>
            </w:r>
          </w:p>
        </w:tc>
      </w:tr>
      <w:tr w:rsidR="00156DAB" w:rsidTr="00156DAB">
        <w:trPr>
          <w:trHeight w:val="2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 – Minor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Chyba systému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7 dnů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156DAB" w:rsidRDefault="00156DAB">
            <w:pPr>
              <w:pStyle w:val="Normlnweb"/>
              <w:spacing w:before="0" w:beforeAutospacing="0" w:after="0" w:afterAutospacing="0"/>
            </w:pPr>
            <w:r>
              <w:rPr>
                <w:rFonts w:ascii="Georgia" w:hAnsi="Georgia"/>
                <w:color w:val="000000"/>
                <w:sz w:val="22"/>
                <w:szCs w:val="22"/>
              </w:rPr>
              <w:t>do 30 dnů</w:t>
            </w:r>
          </w:p>
        </w:tc>
      </w:tr>
    </w:tbl>
    <w:p w:rsidR="00156DAB" w:rsidRDefault="00156DAB" w:rsidP="00156DAB">
      <w:pPr>
        <w:pStyle w:val="Normlnweb"/>
        <w:spacing w:before="0" w:beforeAutospacing="0" w:after="160" w:afterAutospacing="0"/>
      </w:pPr>
      <w:r>
        <w:rPr>
          <w:rFonts w:ascii="Georgia" w:hAnsi="Georgia"/>
          <w:color w:val="000000"/>
        </w:rPr>
        <w:t xml:space="preserve">* </w:t>
      </w:r>
      <w:r>
        <w:rPr>
          <w:rFonts w:ascii="Georgia" w:hAnsi="Georgia"/>
          <w:i/>
          <w:iCs/>
          <w:color w:val="000000"/>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156DAB" w:rsidRDefault="00156DAB" w:rsidP="00156DAB">
      <w:pPr>
        <w:pStyle w:val="Normlnweb"/>
        <w:numPr>
          <w:ilvl w:val="0"/>
          <w:numId w:val="13"/>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Služba hotline a pracovní doba poskytovatele</w:t>
      </w:r>
    </w:p>
    <w:p w:rsidR="00156DAB" w:rsidRDefault="00156DAB" w:rsidP="00156DAB">
      <w:pPr>
        <w:pStyle w:val="Normlnweb"/>
        <w:numPr>
          <w:ilvl w:val="1"/>
          <w:numId w:val="1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Pracovní doba poskytovatele je pondělí – pátek od 8:00 do 16:00. </w:t>
      </w:r>
    </w:p>
    <w:p w:rsidR="00156DAB" w:rsidRDefault="00156DAB" w:rsidP="00156DAB">
      <w:pPr>
        <w:pStyle w:val="Normlnweb"/>
        <w:numPr>
          <w:ilvl w:val="1"/>
          <w:numId w:val="1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Pracovní den odpovídá 8 pracovním hodinám.</w:t>
      </w:r>
    </w:p>
    <w:p w:rsidR="00156DAB" w:rsidRDefault="00156DAB" w:rsidP="00156DAB">
      <w:pPr>
        <w:pStyle w:val="Normlnweb"/>
        <w:numPr>
          <w:ilvl w:val="1"/>
          <w:numId w:val="1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Zhotovitel zajišťuje hotline službu v rámci jeho provozní doby formou:</w:t>
      </w:r>
    </w:p>
    <w:p w:rsidR="00156DAB" w:rsidRDefault="00156DAB" w:rsidP="00156DAB">
      <w:pPr>
        <w:pStyle w:val="Normlnweb"/>
        <w:numPr>
          <w:ilvl w:val="2"/>
          <w:numId w:val="14"/>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 xml:space="preserve">preferované zákaznické Helpdesk aplikace: </w:t>
      </w:r>
      <w:hyperlink r:id="rId14" w:history="1">
        <w:r>
          <w:rPr>
            <w:rStyle w:val="Hypertextovodkaz"/>
            <w:rFonts w:ascii="Georgia" w:hAnsi="Georgia"/>
            <w:color w:val="1155CC"/>
            <w:sz w:val="22"/>
            <w:szCs w:val="22"/>
          </w:rPr>
          <w:t>https://jira.tritius.cz/servicedesk</w:t>
        </w:r>
      </w:hyperlink>
      <w:r>
        <w:rPr>
          <w:rFonts w:ascii="Georgia" w:hAnsi="Georgia"/>
          <w:color w:val="000000"/>
          <w:sz w:val="22"/>
          <w:szCs w:val="22"/>
        </w:rPr>
        <w:t>,</w:t>
      </w:r>
    </w:p>
    <w:p w:rsidR="00156DAB" w:rsidRDefault="00156DAB" w:rsidP="00156DAB">
      <w:pPr>
        <w:pStyle w:val="Normlnweb"/>
        <w:numPr>
          <w:ilvl w:val="2"/>
          <w:numId w:val="14"/>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 xml:space="preserve">telefonní komunikace: </w:t>
      </w:r>
      <w:r>
        <w:rPr>
          <w:rFonts w:ascii="Georgia" w:hAnsi="Georgia"/>
          <w:b/>
          <w:bCs/>
          <w:color w:val="000000"/>
          <w:sz w:val="22"/>
          <w:szCs w:val="22"/>
        </w:rPr>
        <w:t>+420 381 251 715</w:t>
      </w:r>
      <w:r>
        <w:rPr>
          <w:rFonts w:ascii="Georgia" w:hAnsi="Georgia"/>
          <w:color w:val="000000"/>
          <w:sz w:val="22"/>
          <w:szCs w:val="22"/>
        </w:rPr>
        <w:t>,</w:t>
      </w:r>
    </w:p>
    <w:p w:rsidR="00156DAB" w:rsidRDefault="00156DAB" w:rsidP="00156DAB">
      <w:pPr>
        <w:pStyle w:val="Normlnweb"/>
        <w:numPr>
          <w:ilvl w:val="2"/>
          <w:numId w:val="14"/>
        </w:numPr>
        <w:shd w:val="clear" w:color="auto" w:fill="FFFFFF"/>
        <w:spacing w:before="0" w:beforeAutospacing="0" w:after="0" w:afterAutospacing="0"/>
        <w:ind w:left="1080"/>
        <w:textAlignment w:val="baseline"/>
        <w:rPr>
          <w:rFonts w:ascii="Georgia" w:hAnsi="Georgia"/>
          <w:color w:val="000000"/>
          <w:sz w:val="22"/>
          <w:szCs w:val="22"/>
        </w:rPr>
      </w:pPr>
      <w:r>
        <w:rPr>
          <w:rFonts w:ascii="Georgia" w:hAnsi="Georgia"/>
          <w:color w:val="000000"/>
          <w:sz w:val="22"/>
          <w:szCs w:val="22"/>
        </w:rPr>
        <w:t xml:space="preserve">e-mailové komunikace: </w:t>
      </w:r>
      <w:hyperlink r:id="rId15" w:history="1">
        <w:r>
          <w:rPr>
            <w:rStyle w:val="Hypertextovodkaz"/>
            <w:rFonts w:ascii="Georgia" w:hAnsi="Georgia"/>
            <w:color w:val="1155CC"/>
            <w:sz w:val="22"/>
            <w:szCs w:val="22"/>
          </w:rPr>
          <w:t>podpora@tritius.cz</w:t>
        </w:r>
      </w:hyperlink>
      <w:r>
        <w:rPr>
          <w:rFonts w:ascii="Georgia" w:hAnsi="Georgia"/>
          <w:color w:val="000000"/>
          <w:sz w:val="22"/>
          <w:szCs w:val="22"/>
        </w:rPr>
        <w:t>.</w:t>
      </w:r>
    </w:p>
    <w:p w:rsidR="00156DAB" w:rsidRDefault="00156DAB" w:rsidP="00156DAB">
      <w:pPr>
        <w:pStyle w:val="Normlnweb"/>
        <w:numPr>
          <w:ilvl w:val="1"/>
          <w:numId w:val="1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Hotline službu lze použít pouze k řešení konkrétních dotazů a nejasností nebo k objednávání servisních zásahů a návštěv. </w:t>
      </w:r>
    </w:p>
    <w:p w:rsidR="00156DAB" w:rsidRDefault="00156DAB" w:rsidP="00156DAB">
      <w:pPr>
        <w:pStyle w:val="Normlnweb"/>
        <w:numPr>
          <w:ilvl w:val="1"/>
          <w:numId w:val="1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Hotline služba nenahrazuje řádné školení. </w:t>
      </w:r>
    </w:p>
    <w:p w:rsidR="00156DAB" w:rsidRDefault="00156DAB" w:rsidP="00156DAB">
      <w:pPr>
        <w:pStyle w:val="Normlnweb"/>
        <w:shd w:val="clear" w:color="auto" w:fill="FFFFFF"/>
        <w:spacing w:before="0" w:beforeAutospacing="0" w:after="0" w:afterAutospacing="0"/>
        <w:ind w:left="360"/>
      </w:pPr>
      <w:r>
        <w:t> </w:t>
      </w:r>
    </w:p>
    <w:p w:rsidR="00156DAB" w:rsidRDefault="00156DAB" w:rsidP="00156DAB">
      <w:pPr>
        <w:pStyle w:val="Normlnweb"/>
        <w:numPr>
          <w:ilvl w:val="0"/>
          <w:numId w:val="15"/>
        </w:numPr>
        <w:shd w:val="clear" w:color="auto" w:fill="FFFFFF"/>
        <w:spacing w:before="0" w:beforeAutospacing="0" w:after="0" w:afterAutospacing="0"/>
        <w:ind w:left="360"/>
        <w:textAlignment w:val="baseline"/>
        <w:rPr>
          <w:rFonts w:ascii="Georgia" w:hAnsi="Georgia"/>
          <w:color w:val="000000"/>
          <w:sz w:val="22"/>
          <w:szCs w:val="22"/>
        </w:rPr>
      </w:pPr>
      <w:r>
        <w:rPr>
          <w:rFonts w:ascii="Georgia" w:hAnsi="Georgia"/>
          <w:color w:val="000000"/>
          <w:sz w:val="22"/>
          <w:szCs w:val="22"/>
          <w:u w:val="single"/>
        </w:rPr>
        <w:t>Obecné platební podmínky</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Splatnost všech daňových dokladů (dále faktur) se oboustranně sjednává na 21 dnů.</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Poslední faktura v kalendářním roce musí být oběma smluvním stranám doručena nejpozději 15. prosince příslušného roku.</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Dnem zaplacení ceny se rozumí den připsání platby na cílový bankovní účet.</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Při vyhotovování faktur se uplatňují pravidla členského státu spotřeby. Faktury musí být v souladu s právními předpisy členského státu objednatele.</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lastRenderedPageBreak/>
        <w:t>Pokud faktura neobsahuje všechny zákonem a smlouvou stanovené náležitosti, je cílová smluvní strana oprávněna ji do data splatnosti vrátit s tím, že vystavitel faktury je poté povinen vystavit novou fakturu s novým termínem splatnosti. V takovém případě není cílová smluvní strana v prodlení s úhradou.</w:t>
      </w:r>
    </w:p>
    <w:p w:rsidR="00156DAB" w:rsidRDefault="00156DAB" w:rsidP="00156DAB">
      <w:pPr>
        <w:pStyle w:val="Normlnweb"/>
        <w:numPr>
          <w:ilvl w:val="1"/>
          <w:numId w:val="1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Další závazné podmínky pro plnění v rámci České republiky:</w:t>
      </w:r>
    </w:p>
    <w:p w:rsidR="00156DAB" w:rsidRDefault="00156DAB" w:rsidP="00156DAB">
      <w:pPr>
        <w:pStyle w:val="Normlnweb"/>
        <w:numPr>
          <w:ilvl w:val="2"/>
          <w:numId w:val="16"/>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Poskytovatel prohlašuje, že ke dni podpisu smlouvy není nespolehlivým plátcem DPH dle § 106a zákona č. 235/2004 Sb., o dani z přidané hodnoty, v platném znění, a není vedena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poskytovatel povinen uhradit objednateli smluvní pokutu ve výši 10.000,- Kč, a to za každý jednotlivý případ porušení povinnosti. Uhrazení smluvní pokuty se nedotýká nároku na náhradu škody způsobené porušením této povinnosti.</w:t>
      </w:r>
    </w:p>
    <w:p w:rsidR="00156DAB" w:rsidRDefault="00156DAB" w:rsidP="00156DAB">
      <w:pPr>
        <w:pStyle w:val="Normlnweb"/>
        <w:numPr>
          <w:ilvl w:val="2"/>
          <w:numId w:val="16"/>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Poskytovatel dále souhlasí s tím, aby objednatel provedl zajišťovací úhradu DPH přímo na účet jeho správce daně, jestliže poskytovatel bude ke dni uskutečnění zdanitelného plnění veden v registru nespolehlivých plátců DPH.</w:t>
      </w:r>
    </w:p>
    <w:p w:rsidR="00156DAB" w:rsidRDefault="00156DAB" w:rsidP="00156DAB">
      <w:pPr>
        <w:pStyle w:val="Normlnweb"/>
        <w:numPr>
          <w:ilvl w:val="1"/>
          <w:numId w:val="1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Při nedodržení termínu splatnosti faktur má poskytovatel právo uložit smluvní pokutu ve výši 0.3% z ceny díla za každý den prodlení, nejméně však ve výši stanovené platnými právními předpisy.</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17"/>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Zabezpečení osobních údajů</w:t>
      </w:r>
    </w:p>
    <w:p w:rsidR="00156DAB" w:rsidRDefault="00156DAB" w:rsidP="00156DAB">
      <w:pPr>
        <w:pStyle w:val="Normlnweb"/>
        <w:numPr>
          <w:ilvl w:val="1"/>
          <w:numId w:val="1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Poskytovatel je zpracovatelem osobních údajů a objednatel je správce osobních údajů ve smyslu zákona 101/2000 Sb. o ochraně osobních údajů a nařízení evropského parlamentu č. 2006/679 o ochraně osobních údajů fyzických osob (GDPR). </w:t>
      </w:r>
    </w:p>
    <w:p w:rsidR="00156DAB" w:rsidRDefault="00156DAB" w:rsidP="00156DAB">
      <w:pPr>
        <w:pStyle w:val="Normlnweb"/>
        <w:numPr>
          <w:ilvl w:val="1"/>
          <w:numId w:val="1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Správce osobních údajů zpracovává osobní údaje o čtenářích v rozsahu zejména : jméno, příjmení, datum narození, bydliště uvedená na přihlášce čtenáře za účelem vedení knihovnické agendy, aby bylo umožněno poskytování knihovnických a informačních služeb a byla zabezpečena ochrana knihovního fondu. Osobní údaje objednatel používá pouze pro jmenované účely po dobu trvání čtenářského vztahu, chrání je před zneužitím a neposkytuje je třetím osobám. </w:t>
      </w:r>
    </w:p>
    <w:p w:rsidR="00156DAB" w:rsidRDefault="00156DAB" w:rsidP="00156DAB">
      <w:pPr>
        <w:pStyle w:val="Normlnweb"/>
        <w:numPr>
          <w:ilvl w:val="1"/>
          <w:numId w:val="1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se zavazuje jako zpracovatel osobní údaje vymezené výše (dále jen „osobní údaje“) zpracovávat tímto způsobem: spravuje systém, provádí úpravy softwaru, programové změny apod. Zpracování se nesmí účastnit žádná třetí osoba s výjimkou poskytovatele serverhostingových služeb, pokud jsou zpracovatelem či správcem využívány.</w:t>
      </w:r>
    </w:p>
    <w:p w:rsidR="00156DAB" w:rsidRDefault="00156DAB" w:rsidP="00156DAB">
      <w:pPr>
        <w:pStyle w:val="Normlnweb"/>
        <w:numPr>
          <w:ilvl w:val="1"/>
          <w:numId w:val="17"/>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Poskytovatel tímto deklaruje záruky zpracovatele o technickém a organizačním zabezpečení ochrany osobních údajů. </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18"/>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Parametry poskytování služby</w:t>
      </w:r>
    </w:p>
    <w:p w:rsidR="00156DAB" w:rsidRDefault="00156DAB" w:rsidP="00156DAB">
      <w:pPr>
        <w:pStyle w:val="Normlnweb"/>
        <w:numPr>
          <w:ilvl w:val="1"/>
          <w:numId w:val="1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Tyto parametry platí pro poskytování služby (např. poskytování služby systému nebo poskytování hostingu systému).</w:t>
      </w:r>
    </w:p>
    <w:p w:rsidR="00156DAB" w:rsidRDefault="00156DAB" w:rsidP="00156DAB">
      <w:pPr>
        <w:pStyle w:val="Normlnweb"/>
        <w:numPr>
          <w:ilvl w:val="1"/>
          <w:numId w:val="18"/>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je oprávněn pověřit provedením části prací jinou osobu; v takovém případě však má poskytovatel odpovědnost, jako by tyto činnosti prováděl sám.</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19"/>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Dostupnost služby</w:t>
      </w:r>
    </w:p>
    <w:p w:rsidR="00156DAB" w:rsidRDefault="00156DAB" w:rsidP="00156DAB">
      <w:pPr>
        <w:pStyle w:val="Normlnweb"/>
        <w:numPr>
          <w:ilvl w:val="2"/>
          <w:numId w:val="20"/>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 xml:space="preserve">Služba je dostupná přes síť internet a to 24 hodin denně, 7 dní v týdnu. Poskytovatel garantuje dostupnost minimálně 97 %. </w:t>
      </w:r>
    </w:p>
    <w:p w:rsidR="00156DAB" w:rsidRDefault="00156DAB" w:rsidP="00156DAB">
      <w:pPr>
        <w:pStyle w:val="Normlnweb"/>
        <w:numPr>
          <w:ilvl w:val="2"/>
          <w:numId w:val="20"/>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Služba je dostupná z jakéhokoliv místa, podmínkou je zařízení (počítač) plnohodnotně připojený do mezinárodní sítě internet a internetový prohlížeč uvedený v aktuální elektronické dokumentaci.</w:t>
      </w:r>
    </w:p>
    <w:p w:rsidR="00156DAB" w:rsidRDefault="00156DAB" w:rsidP="00156DAB">
      <w:pPr>
        <w:pStyle w:val="Normlnweb"/>
        <w:numPr>
          <w:ilvl w:val="2"/>
          <w:numId w:val="20"/>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lastRenderedPageBreak/>
        <w:t>Tolerována je nedostupnost v rozsahu 24 hodin v průběhu jednoho kalendářního měsíce. Pokud služba není dostupná z důvodů technických problémů na straně objednatele není toto zahrnuto do výpočtu garantované dostupnosti.</w:t>
      </w:r>
    </w:p>
    <w:p w:rsidR="00156DAB" w:rsidRDefault="00156DAB" w:rsidP="00156DAB">
      <w:pPr>
        <w:pStyle w:val="Normlnweb"/>
        <w:numPr>
          <w:ilvl w:val="2"/>
          <w:numId w:val="20"/>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Výpadek služby je definován jako kompletní přerušení poskytování služby minimálně na 15 minut a to z důvodů, které jsou prokazatelně na straně poskytovatele a nejsou způsobeny vyšší mocí.</w:t>
      </w:r>
    </w:p>
    <w:p w:rsidR="00156DAB" w:rsidRDefault="00156DAB" w:rsidP="00156DAB">
      <w:pPr>
        <w:pStyle w:val="Normlnweb"/>
        <w:numPr>
          <w:ilvl w:val="2"/>
          <w:numId w:val="20"/>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Je-li služba dostupná, ale vykazuje sníženou funkčnost nebo je pomalejší odezvu, nejedná se o výpadek služby.</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21"/>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Plánované odstavení služby</w:t>
      </w:r>
    </w:p>
    <w:p w:rsidR="00156DAB" w:rsidRDefault="00156DAB" w:rsidP="00156DAB">
      <w:pPr>
        <w:pStyle w:val="Normlnweb"/>
        <w:numPr>
          <w:ilvl w:val="2"/>
          <w:numId w:val="22"/>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V některých případech je nutné službu dočasně odstavit na nezbytně nutnou dobu z důvodů údržby či update systému. Plánované odstavení není počítáno do dostupnosti služby. Údržba je prováděna přednostně v časech od 23:00 do 05:00 hod.</w:t>
      </w:r>
    </w:p>
    <w:p w:rsidR="00156DAB" w:rsidRDefault="00156DAB" w:rsidP="00156DAB">
      <w:pPr>
        <w:pStyle w:val="Normlnweb"/>
        <w:numPr>
          <w:ilvl w:val="2"/>
          <w:numId w:val="22"/>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Poskytovatel je povinen objednatele předem informovat o plánovaném odstavení služby během běžné pracovní doby případně mimo běžnou pracovní dobu pro plánované odstavení delší než 30 minut a to mailem na adresu kontaktu objednatele alespoň 1 den předem.</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23"/>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Bezpečnost služby</w:t>
      </w:r>
    </w:p>
    <w:p w:rsidR="00156DAB" w:rsidRDefault="00156DAB" w:rsidP="00156DAB">
      <w:pPr>
        <w:pStyle w:val="Normlnweb"/>
        <w:numPr>
          <w:ilvl w:val="2"/>
          <w:numId w:val="24"/>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 xml:space="preserve">Služba je provozována v profesionálním hostingovém centru. </w:t>
      </w:r>
      <w:r>
        <w:rPr>
          <w:rFonts w:ascii="Georgia" w:hAnsi="Georgia"/>
          <w:color w:val="000000"/>
          <w:sz w:val="22"/>
          <w:szCs w:val="22"/>
        </w:rPr>
        <w:br/>
        <w:t>Služba je poskytována pomocí zabezpečeného protokolu HTTPS, který je průmyslovým standardem v oblasti zabezpečeného připojení webových aplikací. Pro jeho použití je potřeba, aby klientská zařízení akceptovala tento protokol.</w:t>
      </w:r>
    </w:p>
    <w:p w:rsidR="00156DAB" w:rsidRDefault="00156DAB" w:rsidP="00156DAB">
      <w:pPr>
        <w:pStyle w:val="Normlnweb"/>
        <w:numPr>
          <w:ilvl w:val="2"/>
          <w:numId w:val="24"/>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Přístupové údaje jsou uživateli předány při nastavení systému osobně nebo formou emailu/SMS. Objednatel je povinen uchovávat v tajnosti své přístupové údaje k systému a chránit je před zneužitím ze strany třetích osob. Objednatel je výhradně zodpovědný za ochranu a utajení svých přístupových údajů. Objednatel souhlasí s tím, že zejména své heslo nikdy nesdělí nikomu jinému a také nebude používat přihlašovací jméno nebo heslo žádného jiného uživatele. Poskytovatel nenese žádným způsobem odpovědnost za užití přihlašovacího jména nebo hesla třetí osobou.</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25"/>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Zálohování dat</w:t>
      </w:r>
    </w:p>
    <w:p w:rsidR="00156DAB" w:rsidRDefault="00156DAB" w:rsidP="00156DAB">
      <w:pPr>
        <w:pStyle w:val="Normlnweb"/>
        <w:numPr>
          <w:ilvl w:val="2"/>
          <w:numId w:val="26"/>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Poskytovatel zajišťuje denní zálohy a tyto archivuje v režimu 3 poslední denní zálohy, 1 poslední týdenní záloha a 1 poslední měsíční záloha. Zálohy jsou uložené jednou ve stejném datovém centru a podruhé v geograficky odděleném datovém centru.</w:t>
      </w:r>
    </w:p>
    <w:p w:rsidR="00156DAB" w:rsidRDefault="00156DAB" w:rsidP="00156DAB">
      <w:pPr>
        <w:pStyle w:val="Normlnweb"/>
        <w:numPr>
          <w:ilvl w:val="2"/>
          <w:numId w:val="26"/>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Objednatel má právo přístupu ke všem zálohám jeho dat. Zálohy jsou dostupné přes zabezpečené webové rozhraní, ke kterému je předán na vyžádání přístup.</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27"/>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Hrubé porušení pravidel pro užití systému</w:t>
      </w:r>
    </w:p>
    <w:p w:rsidR="00156DAB" w:rsidRDefault="00156DAB" w:rsidP="00156DAB">
      <w:pPr>
        <w:pStyle w:val="Normlnweb"/>
        <w:numPr>
          <w:ilvl w:val="2"/>
          <w:numId w:val="2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Poskytovatel je oprávněn jednostranně ukončit poskytování služby hostingu či poskytování služby Tritius, jestliže objednatel hrubým způsobem nebo opakovaně poruší pravidla pro užití systému, stanovená právními předpisy nebo uvedená ve smlouvě a/nebo ve VOP, nebo jestliže objednatel takto poruší svou jinou povinnost či jiné povinnosti podle smlouvy a/nebo VOP, jakož i v dalších případech uvedených ve smlouvě a/nebo VOP.</w:t>
      </w:r>
    </w:p>
    <w:p w:rsidR="00156DAB" w:rsidRDefault="00156DAB" w:rsidP="00156DAB">
      <w:pPr>
        <w:pStyle w:val="Normlnweb"/>
        <w:numPr>
          <w:ilvl w:val="2"/>
          <w:numId w:val="2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V případě ukončení poskytování služby Tritius je objednatel povinen ukončit užívání systému včetně dokumentace. Poskytovatel je též oprávněn provést takový technický zásah, kterým znemožní objednateli další užívání systému a objednatel je povinen umožnit či neznemožnit poskytovateli provedení takového technického zásahu.</w:t>
      </w:r>
    </w:p>
    <w:p w:rsidR="00156DAB" w:rsidRDefault="00156DAB" w:rsidP="00156DAB">
      <w:pPr>
        <w:pStyle w:val="Normlnweb"/>
        <w:numPr>
          <w:ilvl w:val="2"/>
          <w:numId w:val="2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lastRenderedPageBreak/>
        <w:t>V případě ukončení poskytování hostingu je poskytovatel povinen předat kompletní systém včetně konfigurace objednateli ve formě virtuálního stroje.</w:t>
      </w:r>
    </w:p>
    <w:p w:rsidR="00156DAB" w:rsidRDefault="00156DAB" w:rsidP="00156DAB">
      <w:pPr>
        <w:pStyle w:val="Normlnweb"/>
        <w:numPr>
          <w:ilvl w:val="2"/>
          <w:numId w:val="28"/>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Pro případ hrubého porušení povinností objednatele je objednatel povinen zaplatit poskytovateli smluvní pokutu ve výši roční ceny služby za každé jednotlivé porušení, a to do čtrnácti (14) kalendářních dnů ode dne doručení jejího vyúčtování objednateli.</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29"/>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u w:val="single"/>
        </w:rPr>
        <w:t>Období garantované ceny služby a změna ceny služby</w:t>
      </w:r>
    </w:p>
    <w:p w:rsidR="00156DAB" w:rsidRDefault="00156DAB" w:rsidP="00156DAB">
      <w:pPr>
        <w:pStyle w:val="Normlnweb"/>
        <w:numPr>
          <w:ilvl w:val="2"/>
          <w:numId w:val="30"/>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 xml:space="preserve">Pro poskytování služby (např. poskytování služby systému nebo poskytování hostingu systému) může poskytovatel ve smlouvě stanovit období garantované ceny služby. </w:t>
      </w:r>
    </w:p>
    <w:p w:rsidR="00156DAB" w:rsidRDefault="00156DAB" w:rsidP="00156DAB">
      <w:pPr>
        <w:pStyle w:val="Normlnweb"/>
        <w:numPr>
          <w:ilvl w:val="2"/>
          <w:numId w:val="30"/>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Během období garantované ceny služby nesmí poskytovatel cenu změnit.</w:t>
      </w:r>
    </w:p>
    <w:p w:rsidR="00156DAB" w:rsidRDefault="00156DAB" w:rsidP="00156DAB">
      <w:pPr>
        <w:pStyle w:val="Normlnweb"/>
        <w:numPr>
          <w:ilvl w:val="2"/>
          <w:numId w:val="30"/>
        </w:numPr>
        <w:shd w:val="clear" w:color="auto" w:fill="FFFFFF"/>
        <w:spacing w:before="0" w:beforeAutospacing="0" w:after="0" w:afterAutospacing="0"/>
        <w:ind w:left="1080"/>
        <w:textAlignment w:val="baseline"/>
        <w:rPr>
          <w:rFonts w:ascii="Georgia" w:hAnsi="Georgia"/>
          <w:color w:val="000000"/>
          <w:sz w:val="18"/>
          <w:szCs w:val="18"/>
        </w:rPr>
      </w:pPr>
      <w:r>
        <w:rPr>
          <w:rFonts w:ascii="Georgia" w:hAnsi="Georgia"/>
          <w:color w:val="000000"/>
          <w:sz w:val="22"/>
          <w:szCs w:val="22"/>
        </w:rPr>
        <w:t>Mimo období garantované ceny služby je poskytovatel oprávněn cenu změnit:</w:t>
      </w:r>
    </w:p>
    <w:p w:rsidR="00156DAB" w:rsidRDefault="00156DAB" w:rsidP="00156DAB">
      <w:pPr>
        <w:pStyle w:val="Normlnweb"/>
        <w:numPr>
          <w:ilvl w:val="3"/>
          <w:numId w:val="31"/>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Poskytovatel písemně sdělí informaci o nové ceně objednateli nejméně 1 měsíc před platností nových cen.</w:t>
      </w:r>
    </w:p>
    <w:p w:rsidR="00156DAB" w:rsidRDefault="00156DAB" w:rsidP="00156DAB">
      <w:pPr>
        <w:pStyle w:val="Normlnweb"/>
        <w:numPr>
          <w:ilvl w:val="3"/>
          <w:numId w:val="31"/>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Objednatel je povinen se s novými cenovými podmínkami bez zbytečného odkladu seznámit.</w:t>
      </w:r>
    </w:p>
    <w:p w:rsidR="00156DAB" w:rsidRDefault="00156DAB" w:rsidP="00156DAB">
      <w:pPr>
        <w:pStyle w:val="Normlnweb"/>
        <w:numPr>
          <w:ilvl w:val="3"/>
          <w:numId w:val="31"/>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Přijímá-li objednatel nadále služby hostingu systému či jiné plnění poskytované ze strany poskytovatele, stávají se pro něj nové cenové podmínky závaznými okamžikem a s účinností ode dne, kdy službu nebo plnění přijal.</w:t>
      </w:r>
    </w:p>
    <w:p w:rsidR="00156DAB" w:rsidRDefault="00156DAB" w:rsidP="00156DAB">
      <w:pPr>
        <w:pStyle w:val="Normlnweb"/>
        <w:numPr>
          <w:ilvl w:val="3"/>
          <w:numId w:val="31"/>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Objednatel má možnost tuto změnu cenových podmínek odmítnout, a to formou výpovědi s výpovědní dobou 3 měsíců, která začíná běžet okamžikem doručení výpovědi poskytovateli. Po dobu výpovědní lhůty platí původní znění cenových podmínek. Pokud objednatel neučiní výpověď ve lhůtě 30 dnů ode dne oznámení o změně cenových podmínek, pak se má za to, že tato druhá smluvní strana se změnou cenových podmínek souhlasí.</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32"/>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Převod systému z hostingu na vlastní server</w:t>
      </w:r>
    </w:p>
    <w:p w:rsidR="00156DAB" w:rsidRDefault="00156DAB" w:rsidP="00156DAB">
      <w:pPr>
        <w:pStyle w:val="Normlnweb"/>
        <w:numPr>
          <w:ilvl w:val="2"/>
          <w:numId w:val="33"/>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V případě ukončení smlouvy poskytování hostingu může objednatel písemně požádat poskytovatele o převod systému na vlastní připravený HW splňující aktuální technické požadavky dle veřejné dokumentace. Tato služba je zpoplatněna a její výše se stanovuje dohodou na základě náročnosti převodu a velikosti převáděné databáze.</w:t>
      </w:r>
    </w:p>
    <w:p w:rsidR="00156DAB" w:rsidRDefault="00156DAB" w:rsidP="00156DAB">
      <w:pPr>
        <w:pStyle w:val="Normlnweb"/>
        <w:shd w:val="clear" w:color="auto" w:fill="FFFFFF"/>
        <w:spacing w:before="0" w:beforeAutospacing="0" w:after="0" w:afterAutospacing="0"/>
        <w:ind w:left="360"/>
      </w:pPr>
      <w:r>
        <w:t> </w:t>
      </w:r>
    </w:p>
    <w:p w:rsidR="00156DAB" w:rsidRDefault="00156DAB" w:rsidP="00156DAB">
      <w:pPr>
        <w:pStyle w:val="Normlnweb"/>
        <w:numPr>
          <w:ilvl w:val="1"/>
          <w:numId w:val="34"/>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Předání dat ze systému</w:t>
      </w:r>
    </w:p>
    <w:p w:rsidR="00156DAB" w:rsidRDefault="00156DAB" w:rsidP="00156DAB">
      <w:pPr>
        <w:pStyle w:val="Normlnweb"/>
        <w:numPr>
          <w:ilvl w:val="2"/>
          <w:numId w:val="35"/>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 xml:space="preserve">V případě ukončení smlouvy poskytování hostingu nebo služby Tritius může objednatel písemně požádat poskytovatele o export dat ze systému poskytovatele. </w:t>
      </w:r>
    </w:p>
    <w:p w:rsidR="00156DAB" w:rsidRDefault="00156DAB" w:rsidP="00156DAB">
      <w:pPr>
        <w:pStyle w:val="Normlnweb"/>
        <w:numPr>
          <w:ilvl w:val="2"/>
          <w:numId w:val="35"/>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Služba exportu dat je zpoplatněna částkou 15.000 Kč bez DPH a zahrnuje následující:</w:t>
      </w:r>
    </w:p>
    <w:p w:rsidR="00156DAB" w:rsidRDefault="00156DAB" w:rsidP="00156DAB">
      <w:pPr>
        <w:pStyle w:val="Normlnweb"/>
        <w:numPr>
          <w:ilvl w:val="3"/>
          <w:numId w:val="36"/>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předání dat knihovního fondu ve formě TAG souboru v mezinárodním knihovnickém formátu MARC21 včetně údajů svazků,</w:t>
      </w:r>
    </w:p>
    <w:p w:rsidR="00156DAB" w:rsidRDefault="00156DAB" w:rsidP="00156DAB">
      <w:pPr>
        <w:pStyle w:val="Normlnweb"/>
        <w:numPr>
          <w:ilvl w:val="3"/>
          <w:numId w:val="36"/>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předání dat o čtenářích a výpůjčkách ve formě SQL dump souborů s popisem struktury jednotlivých tabulek.</w:t>
      </w:r>
    </w:p>
    <w:p w:rsidR="00156DAB" w:rsidRDefault="00156DAB" w:rsidP="00156DAB">
      <w:pPr>
        <w:pStyle w:val="Normlnweb"/>
        <w:numPr>
          <w:ilvl w:val="2"/>
          <w:numId w:val="36"/>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Služba exportu a předání dat ze systému včetně následného odstranění ze serverů systému je provedena po písemném objednání objednatelem a zaplacením příslušné ceny na účet poskytovatele.</w:t>
      </w:r>
    </w:p>
    <w:p w:rsidR="00156DAB" w:rsidRDefault="00156DAB" w:rsidP="00156DAB">
      <w:pPr>
        <w:pStyle w:val="Normlnweb"/>
        <w:numPr>
          <w:ilvl w:val="2"/>
          <w:numId w:val="36"/>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Poskytovatel je povinen data po převzetí objednatelem ze systému odstranit s výjimkou sdílených dat dalšími knihovnami, pokud taková existují (bibliografické záznamy dokumentů a autorit, sdílené údaje čtenářů, hodnocení a komentáře).</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1"/>
          <w:numId w:val="37"/>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Obecné podmínky ukončení smlouvy služby</w:t>
      </w:r>
    </w:p>
    <w:p w:rsidR="00156DAB" w:rsidRDefault="00156DAB" w:rsidP="00156DAB">
      <w:pPr>
        <w:pStyle w:val="Normlnweb"/>
        <w:numPr>
          <w:ilvl w:val="2"/>
          <w:numId w:val="38"/>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Tyto podmínky platí pro smlouvy jejichž předmětem je poskytování služby (hosting, servisní smlouva, poskytování SW Tritius jako služba).</w:t>
      </w:r>
    </w:p>
    <w:p w:rsidR="00156DAB" w:rsidRDefault="00156DAB" w:rsidP="00156DAB">
      <w:pPr>
        <w:pStyle w:val="Normlnweb"/>
        <w:numPr>
          <w:ilvl w:val="2"/>
          <w:numId w:val="38"/>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Smlouvu je možné ukončit písemným odstoupením od smlouvy v případě podstatného porušení smlouvy jednou ze smluvních stran. Smluvní strana je oprávněna odstoupit od smlouvy pouze v případě, že druhá smluvní strana přes písemné upozornění na podstatné porušení smlouvy toto porušení v poskytnuté lhůtě min. 10 dnů, neodstranila. Za podstatné porušení smlouvy se považuje zejména:</w:t>
      </w:r>
    </w:p>
    <w:p w:rsidR="00156DAB" w:rsidRDefault="00156DAB" w:rsidP="00156DAB">
      <w:pPr>
        <w:pStyle w:val="Normlnweb"/>
        <w:numPr>
          <w:ilvl w:val="3"/>
          <w:numId w:val="39"/>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lastRenderedPageBreak/>
        <w:t>prodlení objednatele s uhrazením ceny nebo její části delším než 30 dnů;</w:t>
      </w:r>
    </w:p>
    <w:p w:rsidR="00156DAB" w:rsidRDefault="00156DAB" w:rsidP="00156DAB">
      <w:pPr>
        <w:pStyle w:val="Normlnweb"/>
        <w:numPr>
          <w:ilvl w:val="3"/>
          <w:numId w:val="39"/>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prodlení poskytovatele s předáním přístupu k systému delším než 60 dnů;</w:t>
      </w:r>
    </w:p>
    <w:p w:rsidR="00156DAB" w:rsidRDefault="00156DAB" w:rsidP="00156DAB">
      <w:pPr>
        <w:pStyle w:val="Normlnweb"/>
        <w:numPr>
          <w:ilvl w:val="3"/>
          <w:numId w:val="39"/>
        </w:numPr>
        <w:shd w:val="clear" w:color="auto" w:fill="FFFFFF"/>
        <w:spacing w:before="0" w:beforeAutospacing="0" w:after="0" w:afterAutospacing="0"/>
        <w:textAlignment w:val="baseline"/>
        <w:rPr>
          <w:rFonts w:ascii="Georgia" w:hAnsi="Georgia"/>
          <w:color w:val="000000"/>
          <w:sz w:val="21"/>
          <w:szCs w:val="21"/>
        </w:rPr>
      </w:pPr>
      <w:r>
        <w:rPr>
          <w:rFonts w:ascii="Georgia" w:hAnsi="Georgia"/>
          <w:color w:val="000000"/>
          <w:sz w:val="22"/>
          <w:szCs w:val="22"/>
        </w:rPr>
        <w:t>neposkytnutí nutné součinnosti ze strany objednatele, pokud toto znemožňuje splnění povinností poskytovatele dle této smlouvy.</w:t>
      </w:r>
    </w:p>
    <w:p w:rsidR="00156DAB" w:rsidRDefault="00156DAB" w:rsidP="00156DAB">
      <w:pPr>
        <w:pStyle w:val="Normlnweb"/>
        <w:numPr>
          <w:ilvl w:val="2"/>
          <w:numId w:val="39"/>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Vypoví-li objednatel tuto smlouvu během období garantované ceny služby systému,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rsidR="00156DAB" w:rsidRDefault="00156DAB" w:rsidP="00156DAB">
      <w:pPr>
        <w:pStyle w:val="Normlnweb"/>
        <w:numPr>
          <w:ilvl w:val="2"/>
          <w:numId w:val="39"/>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Odstoupí-li poskytovatel od této smlouvy z důvodu jejího podstatného porušení objednatelem, má poskytovatel nárok na úhradu části ceny odpovídající rozsahu částečného provedení činností dle této smlouvy a dále má nárok na úhradu závazně objednaného hardwaru a softwaru, a to dle cen uvedených v této smlouvě.</w:t>
      </w:r>
    </w:p>
    <w:p w:rsidR="00156DAB" w:rsidRDefault="00156DAB" w:rsidP="00156DAB">
      <w:pPr>
        <w:pStyle w:val="Normlnweb"/>
        <w:numPr>
          <w:ilvl w:val="2"/>
          <w:numId w:val="39"/>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Veškeré majetkové vypořádání jsou povinny smluvní strany splnit do 30 dnů ode dne ukončení smlouvy.</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40"/>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Důvěrné informace</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Za důvěrné informace smluvní strany považují ty skutečnosti provozní či obchodní povahy, které se kterákoli smluvní strana dozví v souvislosti s činností dle této smlouvy, které nejsou veřejně dostupné.</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Pod pojem důvěrné informace smluvní strany zahrnují i obchodní tajemství, kterým se rozumí konkurenčně významné, určitelné, ocenitelné a v příslušných obchodních kruzích běžně nedostupné skutečnosti, které souvisejí se společností a jejichž vlastník zajišťuje ve svém zájmu odpovídajícím způsobem jejich utajení.</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Za porušení důvěrných informací je kvalifikováno jednání, jímž jedna smluvní strana jiné osobě neoprávněně sdělí, zpřístupní, pro sebe nebo pro jiného využije důvěrné informace získané při své činnosti od druhé smluvní strany, pokud je to v rozporu se zájmy druhé smluvní strany, a učiní tak bez jejího souhlasu.</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Touto povinností mlčenlivosti jsou smluvní strany vázány po dobu trvání skutečností zakládajících tuto povinnost mlčenlivosti, pokud nebudou mlčenlivosti zproštěny nebo se nestanou dané informace veřejně dostupnými.</w:t>
      </w:r>
    </w:p>
    <w:p w:rsidR="00156DAB" w:rsidRDefault="00156DAB" w:rsidP="00156DAB">
      <w:pPr>
        <w:pStyle w:val="Normlnweb"/>
        <w:numPr>
          <w:ilvl w:val="1"/>
          <w:numId w:val="40"/>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Smluvní strany jsou povinny zachovávat mlčenlivost ohledně veškerých důvěrných informací i po skončení smlouvy.</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41"/>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Souhlas se zveřejněním reference</w:t>
      </w:r>
    </w:p>
    <w:p w:rsidR="00156DAB" w:rsidRDefault="00156DAB" w:rsidP="00156DAB">
      <w:pPr>
        <w:pStyle w:val="Normlnweb"/>
        <w:numPr>
          <w:ilvl w:val="1"/>
          <w:numId w:val="41"/>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je oprávněn zveřejnit, že objednatel je uživatelem systému nebo služby ve svých informačních a reklamních materiálech nebo referenčních listech a tuto informaci je oprávněn sdělovat prostřednictvím internetu nebo jiných prostředků komunikace. Za tímto účelem je oprávněn použít též aktuálního loga objednatele či jeho knihovny a jeho stručnou charakteristiku. Způsob použití reference nesmí snižovat dobré jméno objednatele.</w:t>
      </w:r>
    </w:p>
    <w:p w:rsidR="00156DAB" w:rsidRDefault="00156DAB" w:rsidP="00156DAB">
      <w:pPr>
        <w:pStyle w:val="Normlnweb"/>
        <w:shd w:val="clear" w:color="auto" w:fill="FFFFFF"/>
        <w:spacing w:before="0" w:beforeAutospacing="0" w:after="0" w:afterAutospacing="0"/>
        <w:ind w:left="792"/>
      </w:pPr>
      <w:r>
        <w:t> </w:t>
      </w:r>
    </w:p>
    <w:p w:rsidR="00156DAB" w:rsidRDefault="00156DAB" w:rsidP="00156DAB">
      <w:pPr>
        <w:pStyle w:val="Normlnweb"/>
        <w:numPr>
          <w:ilvl w:val="0"/>
          <w:numId w:val="42"/>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Souhlas s analýzou dat</w:t>
      </w:r>
    </w:p>
    <w:p w:rsidR="00156DAB" w:rsidRDefault="00156DAB" w:rsidP="00156DAB">
      <w:pPr>
        <w:pStyle w:val="Normlnweb"/>
        <w:numPr>
          <w:ilvl w:val="1"/>
          <w:numId w:val="42"/>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je oprávněn anonymizovaná data dále zpracovávat pro analytické potřeby za účelem poskytování lepších služeb.</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43"/>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Odpovědnost za škodu</w:t>
      </w:r>
    </w:p>
    <w:p w:rsidR="00156DAB" w:rsidRDefault="00156DAB" w:rsidP="00156DAB">
      <w:pPr>
        <w:pStyle w:val="Normlnweb"/>
        <w:numPr>
          <w:ilvl w:val="1"/>
          <w:numId w:val="4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odpovídá za škodu při poskytování hostingu nebo služby Tritius, kterou zaviní porušením povinnosti ze smlouvy nebo VOP. Smluvní strany se dohodly, že výše náhrady škody je omezena pouze na skutečnou škodu, a to do částky odpovídající 100 % ceny uhrazené objednatelem za poslední tři měsíce. Poskytovatel dále neodpovídá za ušlý zisk Objednatele.</w:t>
      </w:r>
    </w:p>
    <w:p w:rsidR="00156DAB" w:rsidRDefault="00156DAB" w:rsidP="00156DAB">
      <w:pPr>
        <w:pStyle w:val="Normlnweb"/>
        <w:numPr>
          <w:ilvl w:val="1"/>
          <w:numId w:val="4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lastRenderedPageBreak/>
        <w:t>Objednatel odpovídá za škodu při využívání hostingu nebo služby Tritius, kterou zaviní porušením povinnosti ze smlouvy nebo VOP. Smluvní strany se dohodly, že výše náhrady škody je omezena pouze na skutečnou škodu, a to ve výši nákladů odpovídajícím provedené práci na nápravu stavu.</w:t>
      </w:r>
    </w:p>
    <w:p w:rsidR="00156DAB" w:rsidRDefault="00156DAB" w:rsidP="00156DAB">
      <w:pPr>
        <w:pStyle w:val="Normlnweb"/>
        <w:numPr>
          <w:ilvl w:val="1"/>
          <w:numId w:val="4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Poskytovatel neodpovídá za škodu způsobenou vadami systému, bylo-li toto zapříčiněno objednatelem, třetími osobami nebo okolnostmi uvedenými níže. </w:t>
      </w:r>
    </w:p>
    <w:p w:rsidR="00156DAB" w:rsidRDefault="00156DAB" w:rsidP="00156DAB">
      <w:pPr>
        <w:pStyle w:val="Normlnweb"/>
        <w:numPr>
          <w:ilvl w:val="1"/>
          <w:numId w:val="43"/>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Poskytovatel neodpovídá za škody vzniklé v důsledku okolností nezávislých na vůli poskytovatele, které lze označit za okolnosti vylučující odpovědnost; nastane-li taková okolnost, je poskytovatel povinen toto bez zbytečného odkladu oznámit objednateli. Za okolnost vylučující odpovědnost se pro účely smlouvy a VOP se považuje zejména:</w:t>
      </w:r>
    </w:p>
    <w:p w:rsidR="00156DAB" w:rsidRDefault="00156DAB" w:rsidP="00156DAB">
      <w:pPr>
        <w:pStyle w:val="Normlnweb"/>
        <w:numPr>
          <w:ilvl w:val="2"/>
          <w:numId w:val="44"/>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průnik virů do informačního systému objednatele, popř. jiný obdobný útok;</w:t>
      </w:r>
    </w:p>
    <w:p w:rsidR="00156DAB" w:rsidRDefault="00156DAB" w:rsidP="00156DAB">
      <w:pPr>
        <w:pStyle w:val="Normlnweb"/>
        <w:numPr>
          <w:ilvl w:val="2"/>
          <w:numId w:val="44"/>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překážky způsobené v důsledku stávky zaměstnanců objednatele, tj. v důsledku částečného nebo úplného přerušení práce zaměstnanci;</w:t>
      </w:r>
    </w:p>
    <w:p w:rsidR="00156DAB" w:rsidRDefault="00156DAB" w:rsidP="00156DAB">
      <w:pPr>
        <w:pStyle w:val="Normlnweb"/>
        <w:numPr>
          <w:ilvl w:val="2"/>
          <w:numId w:val="44"/>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živelná katastrofa;</w:t>
      </w:r>
    </w:p>
    <w:p w:rsidR="00156DAB" w:rsidRDefault="00156DAB" w:rsidP="00156DAB">
      <w:pPr>
        <w:pStyle w:val="Normlnweb"/>
        <w:numPr>
          <w:ilvl w:val="2"/>
          <w:numId w:val="44"/>
        </w:numPr>
        <w:shd w:val="clear" w:color="auto" w:fill="FFFFFF"/>
        <w:spacing w:before="0" w:beforeAutospacing="0" w:after="0" w:afterAutospacing="0"/>
        <w:textAlignment w:val="baseline"/>
        <w:rPr>
          <w:rFonts w:ascii="Georgia" w:hAnsi="Georgia"/>
          <w:color w:val="000000"/>
          <w:sz w:val="18"/>
          <w:szCs w:val="18"/>
        </w:rPr>
      </w:pPr>
      <w:r>
        <w:rPr>
          <w:rFonts w:ascii="Georgia" w:hAnsi="Georgia"/>
          <w:color w:val="000000"/>
          <w:sz w:val="22"/>
          <w:szCs w:val="22"/>
        </w:rPr>
        <w:t>cílený kybernetický útok na zařízení objednatele nebo poskytovatele;</w:t>
      </w:r>
    </w:p>
    <w:p w:rsidR="00156DAB" w:rsidRDefault="00156DAB" w:rsidP="00156DAB">
      <w:pPr>
        <w:pStyle w:val="Normlnweb"/>
        <w:numPr>
          <w:ilvl w:val="1"/>
          <w:numId w:val="44"/>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Účinky vylučující odpovědnost jsou omezeny na dobu, dokud trvá překážka, s níž jsou tyto účinky spojeny, ledaže došlo v důsledku těchto okolností k závadám systému, popř. úplnému zničení technických zařízení nebo softwaru nezbytných pro provoz systému.</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45"/>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Aktualizace VOP</w:t>
      </w:r>
    </w:p>
    <w:p w:rsidR="00156DAB" w:rsidRDefault="00156DAB" w:rsidP="00156DAB">
      <w:pPr>
        <w:pStyle w:val="Normlnweb"/>
        <w:numPr>
          <w:ilvl w:val="1"/>
          <w:numId w:val="4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Poskytovatel je oprávněn změnit jednostranně VOP. </w:t>
      </w:r>
    </w:p>
    <w:p w:rsidR="00156DAB" w:rsidRDefault="00156DAB" w:rsidP="00156DAB">
      <w:pPr>
        <w:pStyle w:val="Normlnweb"/>
        <w:numPr>
          <w:ilvl w:val="1"/>
          <w:numId w:val="4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 xml:space="preserve">Poskytovatel je povinen bez zbytečného odkladu zveřejnit novou verzi VOP na svých webových stránkách a upozorní na změnu objednatele. </w:t>
      </w:r>
    </w:p>
    <w:p w:rsidR="00156DAB" w:rsidRDefault="00156DAB" w:rsidP="00156DAB">
      <w:pPr>
        <w:pStyle w:val="Normlnweb"/>
        <w:numPr>
          <w:ilvl w:val="1"/>
          <w:numId w:val="4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je povinen se s novými VOP bez zbytečného odkladu seznámit. Přijímá-li objednatel nadále služby či jiné plnění ze strany poskytovatele, stávají se pro něj nové VOP závaznými, pokud nové znění VOP neodmítne.</w:t>
      </w:r>
    </w:p>
    <w:p w:rsidR="00156DAB" w:rsidRDefault="00156DAB" w:rsidP="00156DAB">
      <w:pPr>
        <w:pStyle w:val="Normlnweb"/>
        <w:numPr>
          <w:ilvl w:val="1"/>
          <w:numId w:val="45"/>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Objednatel má možnost tuto změnu obchodních podmínek odmítnout, a to formou výpovědi s výpovědní dobou 3 měsíců, která začíná běžet okamžikem doručení výpovědi poskytovateli. Po dobu výpovědní lhůty platí původní znění obchodních podmínek. Pokud objednatel neučiní výpověď ve lhůtě 30 dnů ode dne oznámení o změně těchto VOP, pak se má za to, že tato druhá smluvní strana se změnami souhlasí.</w:t>
      </w:r>
    </w:p>
    <w:p w:rsidR="00156DAB" w:rsidRDefault="00156DAB" w:rsidP="00156DAB">
      <w:pPr>
        <w:pStyle w:val="Normlnweb"/>
        <w:shd w:val="clear" w:color="auto" w:fill="FFFFFF"/>
        <w:spacing w:before="0" w:beforeAutospacing="0" w:after="0" w:afterAutospacing="0"/>
      </w:pPr>
      <w:r>
        <w:t> </w:t>
      </w:r>
    </w:p>
    <w:p w:rsidR="00156DAB" w:rsidRDefault="00156DAB" w:rsidP="00156DAB">
      <w:pPr>
        <w:pStyle w:val="Normlnweb"/>
        <w:numPr>
          <w:ilvl w:val="0"/>
          <w:numId w:val="46"/>
        </w:numPr>
        <w:shd w:val="clear" w:color="auto" w:fill="FFFFFF"/>
        <w:spacing w:before="0" w:beforeAutospacing="0" w:after="0" w:afterAutospacing="0"/>
        <w:textAlignment w:val="baseline"/>
        <w:rPr>
          <w:rFonts w:ascii="Georgia" w:hAnsi="Georgia"/>
          <w:color w:val="000000"/>
          <w:sz w:val="22"/>
          <w:szCs w:val="22"/>
        </w:rPr>
      </w:pPr>
      <w:r>
        <w:rPr>
          <w:rFonts w:ascii="Georgia" w:hAnsi="Georgia"/>
          <w:color w:val="000000"/>
          <w:sz w:val="22"/>
          <w:szCs w:val="22"/>
          <w:u w:val="single"/>
        </w:rPr>
        <w:t>Závěrečná ustanovení</w:t>
      </w:r>
    </w:p>
    <w:p w:rsidR="00156DAB" w:rsidRDefault="00156DAB" w:rsidP="00156DAB">
      <w:pPr>
        <w:pStyle w:val="Normlnweb"/>
        <w:numPr>
          <w:ilvl w:val="1"/>
          <w:numId w:val="4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Nevymahatelnost či neplatnost kteréhokoliv ustanovení smlouvy nebo těchto VOP nemá vliv na vymahatelnost či platnost zbývajících ustanovení smlouvy nebo těchto VOP, pokud z povahy nebo obsahu takového ustanovení nevyplývá, že nemůže být odděleno od ostatního obsahu smlouvy či VOP.</w:t>
      </w:r>
    </w:p>
    <w:p w:rsidR="00156DAB" w:rsidRDefault="00156DAB" w:rsidP="00156DAB">
      <w:pPr>
        <w:pStyle w:val="Normlnweb"/>
        <w:numPr>
          <w:ilvl w:val="1"/>
          <w:numId w:val="4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VOP jsou vždy platné a účinné od jejich zveřejnění do zveřejnění nových VOP nahrazujících dosavadní VOP.</w:t>
      </w:r>
    </w:p>
    <w:p w:rsidR="00156DAB" w:rsidRDefault="00156DAB" w:rsidP="00156DAB">
      <w:pPr>
        <w:pStyle w:val="Normlnweb"/>
        <w:numPr>
          <w:ilvl w:val="1"/>
          <w:numId w:val="46"/>
        </w:numPr>
        <w:shd w:val="clear" w:color="auto" w:fill="FFFFFF"/>
        <w:spacing w:before="0" w:beforeAutospacing="0" w:after="0" w:afterAutospacing="0"/>
        <w:ind w:left="720"/>
        <w:textAlignment w:val="baseline"/>
        <w:rPr>
          <w:rFonts w:ascii="Georgia" w:hAnsi="Georgia"/>
          <w:color w:val="000000"/>
          <w:sz w:val="18"/>
          <w:szCs w:val="18"/>
        </w:rPr>
      </w:pPr>
      <w:r>
        <w:rPr>
          <w:rFonts w:ascii="Georgia" w:hAnsi="Georgia"/>
          <w:color w:val="000000"/>
          <w:sz w:val="22"/>
          <w:szCs w:val="22"/>
        </w:rPr>
        <w:t>Tyto VOP jsou platné od 11.10.2018.</w:t>
      </w:r>
    </w:p>
    <w:p w:rsidR="00210EFD" w:rsidRDefault="00210EFD">
      <w:pPr>
        <w:spacing w:after="0"/>
        <w:rPr>
          <w:rFonts w:ascii="Georgia" w:eastAsia="Georgia" w:hAnsi="Georgia" w:cs="Georgia"/>
          <w:sz w:val="22"/>
          <w:szCs w:val="22"/>
        </w:rPr>
      </w:pPr>
    </w:p>
    <w:sectPr w:rsidR="00210EFD" w:rsidSect="00156DAB">
      <w:headerReference w:type="default" r:id="rId16"/>
      <w:footerReference w:type="default" r:id="rId17"/>
      <w:pgSz w:w="11906" w:h="16838" w:code="9"/>
      <w:pgMar w:top="1418" w:right="1418" w:bottom="1418" w:left="1418" w:header="709" w:footer="709" w:gutter="0"/>
      <w:pgNumType w:start="1"/>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1B" w:rsidRDefault="00516D1B">
      <w:pPr>
        <w:spacing w:after="0" w:line="240" w:lineRule="auto"/>
      </w:pPr>
      <w:r>
        <w:separator/>
      </w:r>
    </w:p>
  </w:endnote>
  <w:endnote w:type="continuationSeparator" w:id="0">
    <w:p w:rsidR="00516D1B" w:rsidRDefault="0051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FD" w:rsidRDefault="00F42F3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D2251">
      <w:rPr>
        <w:noProof/>
        <w:color w:val="000000"/>
      </w:rPr>
      <w:t>5</w:t>
    </w:r>
    <w:r>
      <w:rPr>
        <w:color w:val="000000"/>
      </w:rPr>
      <w:fldChar w:fldCharType="end"/>
    </w:r>
  </w:p>
  <w:p w:rsidR="00210EFD" w:rsidRDefault="00210E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1B" w:rsidRDefault="00516D1B">
      <w:pPr>
        <w:spacing w:after="0" w:line="240" w:lineRule="auto"/>
      </w:pPr>
      <w:r>
        <w:separator/>
      </w:r>
    </w:p>
  </w:footnote>
  <w:footnote w:type="continuationSeparator" w:id="0">
    <w:p w:rsidR="00516D1B" w:rsidRDefault="00516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FD" w:rsidRDefault="00F42F33">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82E"/>
    <w:multiLevelType w:val="multilevel"/>
    <w:tmpl w:val="0D86541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160A4"/>
    <w:multiLevelType w:val="multilevel"/>
    <w:tmpl w:val="99EEDEF4"/>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E5D3B"/>
    <w:multiLevelType w:val="multilevel"/>
    <w:tmpl w:val="CB04F9F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362DD3"/>
    <w:multiLevelType w:val="multilevel"/>
    <w:tmpl w:val="73063882"/>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30317"/>
    <w:multiLevelType w:val="multilevel"/>
    <w:tmpl w:val="9564AFB2"/>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F66DE"/>
    <w:multiLevelType w:val="multilevel"/>
    <w:tmpl w:val="442A6758"/>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7353A6"/>
    <w:multiLevelType w:val="multilevel"/>
    <w:tmpl w:val="93CEAED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625D11"/>
    <w:multiLevelType w:val="multilevel"/>
    <w:tmpl w:val="35EE37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3A229B"/>
    <w:multiLevelType w:val="multilevel"/>
    <w:tmpl w:val="945AE4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63436"/>
    <w:multiLevelType w:val="multilevel"/>
    <w:tmpl w:val="61268A8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D746E0"/>
    <w:multiLevelType w:val="multilevel"/>
    <w:tmpl w:val="9E7EE368"/>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95285A"/>
    <w:multiLevelType w:val="multilevel"/>
    <w:tmpl w:val="7E982F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9A45F1"/>
    <w:multiLevelType w:val="multilevel"/>
    <w:tmpl w:val="E144802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5530A0"/>
    <w:multiLevelType w:val="multilevel"/>
    <w:tmpl w:val="51BA9DDC"/>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404C58"/>
    <w:multiLevelType w:val="multilevel"/>
    <w:tmpl w:val="2F5EA6B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40FA6"/>
    <w:multiLevelType w:val="multilevel"/>
    <w:tmpl w:val="20363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A15DCC"/>
    <w:multiLevelType w:val="multilevel"/>
    <w:tmpl w:val="29FC069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E7108A"/>
    <w:multiLevelType w:val="multilevel"/>
    <w:tmpl w:val="4476BC9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AD5FE9"/>
    <w:multiLevelType w:val="multilevel"/>
    <w:tmpl w:val="4DBC9AA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8D3DBA"/>
    <w:multiLevelType w:val="multilevel"/>
    <w:tmpl w:val="86F60C7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2F1487"/>
    <w:multiLevelType w:val="multilevel"/>
    <w:tmpl w:val="7506F0CC"/>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613CB"/>
    <w:multiLevelType w:val="multilevel"/>
    <w:tmpl w:val="01985F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4C323E"/>
    <w:multiLevelType w:val="multilevel"/>
    <w:tmpl w:val="6658D0EA"/>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2B1D49"/>
    <w:multiLevelType w:val="multilevel"/>
    <w:tmpl w:val="6B2A935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BC6865"/>
    <w:multiLevelType w:val="multilevel"/>
    <w:tmpl w:val="73724634"/>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275E1"/>
    <w:multiLevelType w:val="multilevel"/>
    <w:tmpl w:val="FCF0436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303DB6"/>
    <w:multiLevelType w:val="multilevel"/>
    <w:tmpl w:val="661E042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1E7074"/>
    <w:multiLevelType w:val="multilevel"/>
    <w:tmpl w:val="D1A65B6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C3636D"/>
    <w:multiLevelType w:val="multilevel"/>
    <w:tmpl w:val="14EAA2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5"/>
  </w:num>
  <w:num w:numId="4">
    <w:abstractNumId w:val="15"/>
  </w:num>
  <w:num w:numId="5">
    <w:abstractNumId w:val="8"/>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23"/>
    <w:lvlOverride w:ilvl="0">
      <w:lvl w:ilvl="0">
        <w:numFmt w:val="decimal"/>
        <w:lvlText w:val="%1."/>
        <w:lvlJc w:val="left"/>
      </w:lvl>
    </w:lvlOverride>
  </w:num>
  <w:num w:numId="8">
    <w:abstractNumId w:val="23"/>
    <w:lvlOverride w:ilvl="0">
      <w:lvl w:ilvl="0">
        <w:numFmt w:val="decimal"/>
        <w:lvlText w:val="%1."/>
        <w:lvlJc w:val="left"/>
      </w:lvl>
    </w:lvlOverride>
    <w:lvlOverride w:ilvl="2">
      <w:lvl w:ilvl="2">
        <w:numFmt w:val="lowerLetter"/>
        <w:lvlText w:val="%3."/>
        <w:lvlJc w:val="left"/>
      </w:lvl>
    </w:lvlOverride>
  </w:num>
  <w:num w:numId="9">
    <w:abstractNumId w:val="21"/>
    <w:lvlOverride w:ilvl="0">
      <w:lvl w:ilvl="0">
        <w:numFmt w:val="decimal"/>
        <w:lvlText w:val="%1."/>
        <w:lvlJc w:val="left"/>
      </w:lvl>
    </w:lvlOverride>
  </w:num>
  <w:num w:numId="10">
    <w:abstractNumId w:val="17"/>
    <w:lvlOverride w:ilvl="0">
      <w:lvl w:ilvl="0">
        <w:numFmt w:val="decimal"/>
        <w:lvlText w:val="%1."/>
        <w:lvlJc w:val="left"/>
      </w:lvl>
    </w:lvlOverride>
  </w:num>
  <w:num w:numId="11">
    <w:abstractNumId w:val="3"/>
    <w:lvlOverride w:ilvl="1">
      <w:lvl w:ilvl="1">
        <w:numFmt w:val="decimal"/>
        <w:lvlText w:val="%2."/>
        <w:lvlJc w:val="left"/>
      </w:lvl>
    </w:lvlOverride>
  </w:num>
  <w:num w:numId="12">
    <w:abstractNumId w:val="3"/>
    <w:lvlOverride w:ilvl="1">
      <w:lvl w:ilvl="1">
        <w:numFmt w:val="decimal"/>
        <w:lvlText w:val="%2."/>
        <w:lvlJc w:val="left"/>
      </w:lvl>
    </w:lvlOverride>
  </w:num>
  <w:num w:numId="13">
    <w:abstractNumId w:val="19"/>
    <w:lvlOverride w:ilvl="0">
      <w:lvl w:ilvl="0">
        <w:numFmt w:val="decimal"/>
        <w:lvlText w:val="%1."/>
        <w:lvlJc w:val="left"/>
      </w:lvl>
    </w:lvlOverride>
  </w:num>
  <w:num w:numId="14">
    <w:abstractNumId w:val="19"/>
    <w:lvlOverride w:ilvl="0">
      <w:lvl w:ilvl="0">
        <w:numFmt w:val="decimal"/>
        <w:lvlText w:val="%1."/>
        <w:lvlJc w:val="left"/>
      </w:lvl>
    </w:lvlOverride>
    <w:lvlOverride w:ilvl="2">
      <w:lvl w:ilvl="2">
        <w:numFmt w:val="lowerLetter"/>
        <w:lvlText w:val="%3."/>
        <w:lvlJc w:val="left"/>
      </w:lvl>
    </w:lvlOverride>
  </w:num>
  <w:num w:numId="15">
    <w:abstractNumId w:val="28"/>
    <w:lvlOverride w:ilvl="0">
      <w:lvl w:ilvl="0">
        <w:numFmt w:val="decimal"/>
        <w:lvlText w:val="%1."/>
        <w:lvlJc w:val="left"/>
      </w:lvl>
    </w:lvlOverride>
  </w:num>
  <w:num w:numId="16">
    <w:abstractNumId w:val="28"/>
    <w:lvlOverride w:ilvl="0">
      <w:lvl w:ilvl="0">
        <w:numFmt w:val="decimal"/>
        <w:lvlText w:val="%1."/>
        <w:lvlJc w:val="left"/>
      </w:lvl>
    </w:lvlOverride>
    <w:lvlOverride w:ilvl="2">
      <w:lvl w:ilvl="2">
        <w:numFmt w:val="lowerLetter"/>
        <w:lvlText w:val="%3."/>
        <w:lvlJc w:val="left"/>
      </w:lvl>
    </w:lvlOverride>
  </w:num>
  <w:num w:numId="17">
    <w:abstractNumId w:val="25"/>
    <w:lvlOverride w:ilvl="0">
      <w:lvl w:ilvl="0">
        <w:numFmt w:val="decimal"/>
        <w:lvlText w:val="%1."/>
        <w:lvlJc w:val="left"/>
      </w:lvl>
    </w:lvlOverride>
  </w:num>
  <w:num w:numId="18">
    <w:abstractNumId w:val="27"/>
    <w:lvlOverride w:ilvl="0">
      <w:lvl w:ilvl="0">
        <w:numFmt w:val="decimal"/>
        <w:lvlText w:val="%1."/>
        <w:lvlJc w:val="left"/>
      </w:lvl>
    </w:lvlOverride>
  </w:num>
  <w:num w:numId="19">
    <w:abstractNumId w:val="0"/>
    <w:lvlOverride w:ilvl="1">
      <w:lvl w:ilvl="1">
        <w:numFmt w:val="decimal"/>
        <w:lvlText w:val="%2."/>
        <w:lvlJc w:val="left"/>
      </w:lvl>
    </w:lvlOverride>
  </w:num>
  <w:num w:numId="20">
    <w:abstractNumId w:val="0"/>
    <w:lvlOverride w:ilvl="1">
      <w:lvl w:ilvl="1">
        <w:numFmt w:val="decimal"/>
        <w:lvlText w:val="%2."/>
        <w:lvlJc w:val="left"/>
      </w:lvl>
    </w:lvlOverride>
    <w:lvlOverride w:ilvl="2">
      <w:lvl w:ilvl="2">
        <w:numFmt w:val="lowerLetter"/>
        <w:lvlText w:val="%3."/>
        <w:lvlJc w:val="left"/>
      </w:lvl>
    </w:lvlOverride>
  </w:num>
  <w:num w:numId="21">
    <w:abstractNumId w:val="13"/>
    <w:lvlOverride w:ilvl="1">
      <w:lvl w:ilvl="1">
        <w:numFmt w:val="decimal"/>
        <w:lvlText w:val="%2."/>
        <w:lvlJc w:val="left"/>
      </w:lvl>
    </w:lvlOverride>
  </w:num>
  <w:num w:numId="22">
    <w:abstractNumId w:val="13"/>
    <w:lvlOverride w:ilvl="1">
      <w:lvl w:ilvl="1">
        <w:numFmt w:val="decimal"/>
        <w:lvlText w:val="%2."/>
        <w:lvlJc w:val="left"/>
      </w:lvl>
    </w:lvlOverride>
    <w:lvlOverride w:ilvl="2">
      <w:lvl w:ilvl="2">
        <w:numFmt w:val="lowerLetter"/>
        <w:lvlText w:val="%3."/>
        <w:lvlJc w:val="left"/>
      </w:lvl>
    </w:lvlOverride>
  </w:num>
  <w:num w:numId="23">
    <w:abstractNumId w:val="9"/>
    <w:lvlOverride w:ilvl="1">
      <w:lvl w:ilvl="1">
        <w:numFmt w:val="decimal"/>
        <w:lvlText w:val="%2."/>
        <w:lvlJc w:val="left"/>
      </w:lvl>
    </w:lvlOverride>
  </w:num>
  <w:num w:numId="24">
    <w:abstractNumId w:val="9"/>
    <w:lvlOverride w:ilvl="1">
      <w:lvl w:ilvl="1">
        <w:numFmt w:val="decimal"/>
        <w:lvlText w:val="%2."/>
        <w:lvlJc w:val="left"/>
      </w:lvl>
    </w:lvlOverride>
    <w:lvlOverride w:ilvl="2">
      <w:lvl w:ilvl="2">
        <w:numFmt w:val="lowerLetter"/>
        <w:lvlText w:val="%3."/>
        <w:lvlJc w:val="left"/>
      </w:lvl>
    </w:lvlOverride>
  </w:num>
  <w:num w:numId="25">
    <w:abstractNumId w:val="10"/>
    <w:lvlOverride w:ilvl="1">
      <w:lvl w:ilvl="1">
        <w:numFmt w:val="decimal"/>
        <w:lvlText w:val="%2."/>
        <w:lvlJc w:val="left"/>
      </w:lvl>
    </w:lvlOverride>
  </w:num>
  <w:num w:numId="26">
    <w:abstractNumId w:val="10"/>
    <w:lvlOverride w:ilvl="1">
      <w:lvl w:ilvl="1">
        <w:numFmt w:val="decimal"/>
        <w:lvlText w:val="%2."/>
        <w:lvlJc w:val="left"/>
      </w:lvl>
    </w:lvlOverride>
    <w:lvlOverride w:ilvl="2">
      <w:lvl w:ilvl="2">
        <w:numFmt w:val="lowerLetter"/>
        <w:lvlText w:val="%3."/>
        <w:lvlJc w:val="left"/>
      </w:lvl>
    </w:lvlOverride>
  </w:num>
  <w:num w:numId="27">
    <w:abstractNumId w:val="22"/>
    <w:lvlOverride w:ilvl="1">
      <w:lvl w:ilvl="1">
        <w:numFmt w:val="decimal"/>
        <w:lvlText w:val="%2."/>
        <w:lvlJc w:val="left"/>
      </w:lvl>
    </w:lvlOverride>
  </w:num>
  <w:num w:numId="28">
    <w:abstractNumId w:val="22"/>
    <w:lvlOverride w:ilvl="1">
      <w:lvl w:ilvl="1">
        <w:numFmt w:val="decimal"/>
        <w:lvlText w:val="%2."/>
        <w:lvlJc w:val="left"/>
      </w:lvl>
    </w:lvlOverride>
    <w:lvlOverride w:ilvl="2">
      <w:lvl w:ilvl="2">
        <w:numFmt w:val="lowerLetter"/>
        <w:lvlText w:val="%3."/>
        <w:lvlJc w:val="left"/>
      </w:lvl>
    </w:lvlOverride>
  </w:num>
  <w:num w:numId="29">
    <w:abstractNumId w:val="1"/>
    <w:lvlOverride w:ilvl="1">
      <w:lvl w:ilvl="1">
        <w:numFmt w:val="decimal"/>
        <w:lvlText w:val="%2."/>
        <w:lvlJc w:val="left"/>
      </w:lvl>
    </w:lvlOverride>
  </w:num>
  <w:num w:numId="30">
    <w:abstractNumId w:val="1"/>
    <w:lvlOverride w:ilvl="1">
      <w:lvl w:ilvl="1">
        <w:numFmt w:val="decimal"/>
        <w:lvlText w:val="%2."/>
        <w:lvlJc w:val="left"/>
      </w:lvl>
    </w:lvlOverride>
    <w:lvlOverride w:ilvl="2">
      <w:lvl w:ilvl="2">
        <w:numFmt w:val="lowerLetter"/>
        <w:lvlText w:val="%3."/>
        <w:lvlJc w:val="left"/>
      </w:lvl>
    </w:lvlOverride>
  </w:num>
  <w:num w:numId="31">
    <w:abstractNumId w:val="1"/>
    <w:lvlOverride w:ilvl="1">
      <w:lvl w:ilvl="1">
        <w:numFmt w:val="decimal"/>
        <w:lvlText w:val="%2."/>
        <w:lvlJc w:val="left"/>
      </w:lvl>
    </w:lvlOverride>
    <w:lvlOverride w:ilvl="2">
      <w:lvl w:ilvl="2">
        <w:numFmt w:val="lowerLetter"/>
        <w:lvlText w:val="%3."/>
        <w:lvlJc w:val="left"/>
      </w:lvl>
    </w:lvlOverride>
    <w:lvlOverride w:ilvl="3">
      <w:lvl w:ilvl="3">
        <w:numFmt w:val="lowerRoman"/>
        <w:lvlText w:val="%4."/>
        <w:lvlJc w:val="right"/>
      </w:lvl>
    </w:lvlOverride>
  </w:num>
  <w:num w:numId="32">
    <w:abstractNumId w:val="20"/>
    <w:lvlOverride w:ilvl="1">
      <w:lvl w:ilvl="1">
        <w:numFmt w:val="decimal"/>
        <w:lvlText w:val="%2."/>
        <w:lvlJc w:val="left"/>
      </w:lvl>
    </w:lvlOverride>
  </w:num>
  <w:num w:numId="33">
    <w:abstractNumId w:val="20"/>
    <w:lvlOverride w:ilvl="1">
      <w:lvl w:ilvl="1">
        <w:numFmt w:val="decimal"/>
        <w:lvlText w:val="%2."/>
        <w:lvlJc w:val="left"/>
      </w:lvl>
    </w:lvlOverride>
    <w:lvlOverride w:ilvl="2">
      <w:lvl w:ilvl="2">
        <w:numFmt w:val="lowerLetter"/>
        <w:lvlText w:val="%3."/>
        <w:lvlJc w:val="left"/>
      </w:lvl>
    </w:lvlOverride>
  </w:num>
  <w:num w:numId="34">
    <w:abstractNumId w:val="4"/>
    <w:lvlOverride w:ilvl="1">
      <w:lvl w:ilvl="1">
        <w:numFmt w:val="decimal"/>
        <w:lvlText w:val="%2."/>
        <w:lvlJc w:val="left"/>
      </w:lvl>
    </w:lvlOverride>
  </w:num>
  <w:num w:numId="35">
    <w:abstractNumId w:val="4"/>
    <w:lvlOverride w:ilvl="1">
      <w:lvl w:ilvl="1">
        <w:numFmt w:val="decimal"/>
        <w:lvlText w:val="%2."/>
        <w:lvlJc w:val="left"/>
      </w:lvl>
    </w:lvlOverride>
    <w:lvlOverride w:ilvl="2">
      <w:lvl w:ilvl="2">
        <w:numFmt w:val="lowerLetter"/>
        <w:lvlText w:val="%3."/>
        <w:lvlJc w:val="left"/>
      </w:lvl>
    </w:lvlOverride>
  </w:num>
  <w:num w:numId="36">
    <w:abstractNumId w:val="4"/>
    <w:lvlOverride w:ilvl="1">
      <w:lvl w:ilvl="1">
        <w:numFmt w:val="decimal"/>
        <w:lvlText w:val="%2."/>
        <w:lvlJc w:val="left"/>
      </w:lvl>
    </w:lvlOverride>
    <w:lvlOverride w:ilvl="2">
      <w:lvl w:ilvl="2">
        <w:numFmt w:val="lowerLetter"/>
        <w:lvlText w:val="%3."/>
        <w:lvlJc w:val="left"/>
      </w:lvl>
    </w:lvlOverride>
    <w:lvlOverride w:ilvl="3">
      <w:lvl w:ilvl="3">
        <w:numFmt w:val="lowerRoman"/>
        <w:lvlText w:val="%4."/>
        <w:lvlJc w:val="right"/>
      </w:lvl>
    </w:lvlOverride>
  </w:num>
  <w:num w:numId="37">
    <w:abstractNumId w:val="24"/>
    <w:lvlOverride w:ilvl="1">
      <w:lvl w:ilvl="1">
        <w:numFmt w:val="decimal"/>
        <w:lvlText w:val="%2."/>
        <w:lvlJc w:val="left"/>
      </w:lvl>
    </w:lvlOverride>
  </w:num>
  <w:num w:numId="38">
    <w:abstractNumId w:val="24"/>
    <w:lvlOverride w:ilvl="1">
      <w:lvl w:ilvl="1">
        <w:numFmt w:val="decimal"/>
        <w:lvlText w:val="%2."/>
        <w:lvlJc w:val="left"/>
      </w:lvl>
    </w:lvlOverride>
    <w:lvlOverride w:ilvl="2">
      <w:lvl w:ilvl="2">
        <w:numFmt w:val="lowerLetter"/>
        <w:lvlText w:val="%3."/>
        <w:lvlJc w:val="left"/>
      </w:lvl>
    </w:lvlOverride>
  </w:num>
  <w:num w:numId="39">
    <w:abstractNumId w:val="24"/>
    <w:lvlOverride w:ilvl="1">
      <w:lvl w:ilvl="1">
        <w:numFmt w:val="decimal"/>
        <w:lvlText w:val="%2."/>
        <w:lvlJc w:val="left"/>
      </w:lvl>
    </w:lvlOverride>
    <w:lvlOverride w:ilvl="2">
      <w:lvl w:ilvl="2">
        <w:numFmt w:val="lowerLetter"/>
        <w:lvlText w:val="%3."/>
        <w:lvlJc w:val="left"/>
      </w:lvl>
    </w:lvlOverride>
    <w:lvlOverride w:ilvl="3">
      <w:lvl w:ilvl="3">
        <w:numFmt w:val="lowerRoman"/>
        <w:lvlText w:val="%4."/>
        <w:lvlJc w:val="right"/>
      </w:lvl>
    </w:lvlOverride>
  </w:num>
  <w:num w:numId="40">
    <w:abstractNumId w:val="18"/>
    <w:lvlOverride w:ilvl="0">
      <w:lvl w:ilvl="0">
        <w:numFmt w:val="decimal"/>
        <w:lvlText w:val="%1."/>
        <w:lvlJc w:val="left"/>
      </w:lvl>
    </w:lvlOverride>
  </w:num>
  <w:num w:numId="41">
    <w:abstractNumId w:val="26"/>
    <w:lvlOverride w:ilvl="0">
      <w:lvl w:ilvl="0">
        <w:numFmt w:val="decimal"/>
        <w:lvlText w:val="%1."/>
        <w:lvlJc w:val="left"/>
      </w:lvl>
    </w:lvlOverride>
  </w:num>
  <w:num w:numId="42">
    <w:abstractNumId w:val="6"/>
    <w:lvlOverride w:ilvl="0">
      <w:lvl w:ilvl="0">
        <w:numFmt w:val="decimal"/>
        <w:lvlText w:val="%1."/>
        <w:lvlJc w:val="left"/>
      </w:lvl>
    </w:lvlOverride>
  </w:num>
  <w:num w:numId="43">
    <w:abstractNumId w:val="16"/>
    <w:lvlOverride w:ilvl="0">
      <w:lvl w:ilvl="0">
        <w:numFmt w:val="decimal"/>
        <w:lvlText w:val="%1."/>
        <w:lvlJc w:val="left"/>
      </w:lvl>
    </w:lvlOverride>
  </w:num>
  <w:num w:numId="44">
    <w:abstractNumId w:val="16"/>
    <w:lvlOverride w:ilvl="0">
      <w:lvl w:ilvl="0">
        <w:numFmt w:val="decimal"/>
        <w:lvlText w:val="%1."/>
        <w:lvlJc w:val="left"/>
      </w:lvl>
    </w:lvlOverride>
    <w:lvlOverride w:ilvl="2">
      <w:lvl w:ilvl="2">
        <w:numFmt w:val="lowerLetter"/>
        <w:lvlText w:val="%3."/>
        <w:lvlJc w:val="left"/>
      </w:lvl>
    </w:lvlOverride>
  </w:num>
  <w:num w:numId="45">
    <w:abstractNumId w:val="14"/>
    <w:lvlOverride w:ilvl="0">
      <w:lvl w:ilvl="0">
        <w:numFmt w:val="decimal"/>
        <w:lvlText w:val="%1."/>
        <w:lvlJc w:val="left"/>
      </w:lvl>
    </w:lvlOverride>
  </w:num>
  <w:num w:numId="4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0EFD"/>
    <w:rsid w:val="00083BD3"/>
    <w:rsid w:val="00086708"/>
    <w:rsid w:val="00151238"/>
    <w:rsid w:val="00156DAB"/>
    <w:rsid w:val="00210EFD"/>
    <w:rsid w:val="00294838"/>
    <w:rsid w:val="00345643"/>
    <w:rsid w:val="00406725"/>
    <w:rsid w:val="00516D1B"/>
    <w:rsid w:val="00572E99"/>
    <w:rsid w:val="006F3C06"/>
    <w:rsid w:val="00745673"/>
    <w:rsid w:val="007C7C01"/>
    <w:rsid w:val="00AD2251"/>
    <w:rsid w:val="00E81115"/>
    <w:rsid w:val="00EE5EC4"/>
    <w:rsid w:val="00F42F33"/>
    <w:rsid w:val="00F70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406725"/>
    <w:rPr>
      <w:color w:val="0000FF" w:themeColor="hyperlink"/>
      <w:u w:val="single"/>
    </w:rPr>
  </w:style>
  <w:style w:type="paragraph" w:styleId="Textbubliny">
    <w:name w:val="Balloon Text"/>
    <w:basedOn w:val="Normln"/>
    <w:link w:val="TextbublinyChar"/>
    <w:uiPriority w:val="99"/>
    <w:semiHidden/>
    <w:unhideWhenUsed/>
    <w:rsid w:val="00156D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6DAB"/>
    <w:rPr>
      <w:rFonts w:ascii="Segoe UI" w:hAnsi="Segoe UI" w:cs="Segoe UI"/>
      <w:sz w:val="18"/>
      <w:szCs w:val="18"/>
    </w:rPr>
  </w:style>
  <w:style w:type="paragraph" w:styleId="Normlnweb">
    <w:name w:val="Normal (Web)"/>
    <w:basedOn w:val="Normln"/>
    <w:uiPriority w:val="99"/>
    <w:semiHidden/>
    <w:unhideWhenUsed/>
    <w:rsid w:val="00156DAB"/>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56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6DAB"/>
  </w:style>
  <w:style w:type="paragraph" w:styleId="Zpat">
    <w:name w:val="footer"/>
    <w:basedOn w:val="Normln"/>
    <w:link w:val="ZpatChar"/>
    <w:uiPriority w:val="99"/>
    <w:unhideWhenUsed/>
    <w:rsid w:val="00156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156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406725"/>
    <w:rPr>
      <w:color w:val="0000FF" w:themeColor="hyperlink"/>
      <w:u w:val="single"/>
    </w:rPr>
  </w:style>
  <w:style w:type="paragraph" w:styleId="Textbubliny">
    <w:name w:val="Balloon Text"/>
    <w:basedOn w:val="Normln"/>
    <w:link w:val="TextbublinyChar"/>
    <w:uiPriority w:val="99"/>
    <w:semiHidden/>
    <w:unhideWhenUsed/>
    <w:rsid w:val="00156D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6DAB"/>
    <w:rPr>
      <w:rFonts w:ascii="Segoe UI" w:hAnsi="Segoe UI" w:cs="Segoe UI"/>
      <w:sz w:val="18"/>
      <w:szCs w:val="18"/>
    </w:rPr>
  </w:style>
  <w:style w:type="paragraph" w:styleId="Normlnweb">
    <w:name w:val="Normal (Web)"/>
    <w:basedOn w:val="Normln"/>
    <w:uiPriority w:val="99"/>
    <w:semiHidden/>
    <w:unhideWhenUsed/>
    <w:rsid w:val="00156DAB"/>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156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6DAB"/>
  </w:style>
  <w:style w:type="paragraph" w:styleId="Zpat">
    <w:name w:val="footer"/>
    <w:basedOn w:val="Normln"/>
    <w:link w:val="ZpatChar"/>
    <w:uiPriority w:val="99"/>
    <w:unhideWhenUsed/>
    <w:rsid w:val="00156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15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49311">
      <w:bodyDiv w:val="1"/>
      <w:marLeft w:val="0"/>
      <w:marRight w:val="0"/>
      <w:marTop w:val="0"/>
      <w:marBottom w:val="0"/>
      <w:divBdr>
        <w:top w:val="none" w:sz="0" w:space="0" w:color="auto"/>
        <w:left w:val="none" w:sz="0" w:space="0" w:color="auto"/>
        <w:bottom w:val="none" w:sz="0" w:space="0" w:color="auto"/>
        <w:right w:val="none" w:sz="0" w:space="0" w:color="auto"/>
      </w:divBdr>
      <w:divsChild>
        <w:div w:id="1510634225">
          <w:marLeft w:val="0"/>
          <w:marRight w:val="0"/>
          <w:marTop w:val="0"/>
          <w:marBottom w:val="0"/>
          <w:divBdr>
            <w:top w:val="none" w:sz="0" w:space="0" w:color="auto"/>
            <w:left w:val="none" w:sz="0" w:space="0" w:color="auto"/>
            <w:bottom w:val="none" w:sz="0" w:space="0" w:color="auto"/>
            <w:right w:val="none" w:sz="0" w:space="0" w:color="auto"/>
          </w:divBdr>
        </w:div>
        <w:div w:id="2077119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ecek@tritius.cz" TargetMode="External"/><Relationship Id="rId13" Type="http://schemas.openxmlformats.org/officeDocument/2006/relationships/hyperlink" Target="https://confluence.tritius.cz/pages/viewpage.action?pageId=839852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fluence.tritius.cz/pages/viewpage.action?pageId=8398528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nfluence.tritius.cz/pages/viewpage.action?pageId=76481361" TargetMode="External"/><Relationship Id="rId5" Type="http://schemas.openxmlformats.org/officeDocument/2006/relationships/webSettings" Target="webSettings.xml"/><Relationship Id="rId15" Type="http://schemas.openxmlformats.org/officeDocument/2006/relationships/hyperlink" Target="mailto:podpora@tritius.cz" TargetMode="External"/><Relationship Id="rId10" Type="http://schemas.openxmlformats.org/officeDocument/2006/relationships/hyperlink" Target="https://confluence.tritius.cz/pages/viewpage.action?pageId=764813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tKKNAUHT3iLh7cXAb0CUINqKNfgDyDMfwbVGtaiVtxI/edit?usp=sharing" TargetMode="External"/><Relationship Id="rId14" Type="http://schemas.openxmlformats.org/officeDocument/2006/relationships/hyperlink" Target="https://jira.tritius.cz/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6009</Words>
  <Characters>35457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dc:creator>
  <cp:lastModifiedBy>Admin</cp:lastModifiedBy>
  <cp:revision>3</cp:revision>
  <cp:lastPrinted>2019-06-05T07:47:00Z</cp:lastPrinted>
  <dcterms:created xsi:type="dcterms:W3CDTF">2019-07-02T11:36:00Z</dcterms:created>
  <dcterms:modified xsi:type="dcterms:W3CDTF">2019-07-02T11:42:00Z</dcterms:modified>
</cp:coreProperties>
</file>