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123190</wp:posOffset>
            </wp:positionH>
            <wp:positionV relativeFrom="paragraph">
              <wp:posOffset>12700</wp:posOffset>
            </wp:positionV>
            <wp:extent cx="1761490" cy="104267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61490" cy="1042670"/>
                    </a:xfrm>
                    <a:prstGeom prst="rect"/>
                  </pic:spPr>
                </pic:pic>
              </a:graphicData>
            </a:graphic>
          </wp:anchor>
        </w:drawing>
      </w:r>
    </w:p>
    <w:p>
      <w:pPr>
        <w:pStyle w:val="Style12"/>
        <w:keepNext/>
        <w:keepLines/>
        <w:widowControl w:val="0"/>
        <w:shd w:val="clear" w:color="auto" w:fill="auto"/>
        <w:bidi w:val="0"/>
        <w:spacing w:before="0" w:after="26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SMLOUVA O DÍLO</w:t>
        <w:br/>
        <w:t>„III/3913 Heřmanov - průtah“</w:t>
      </w:r>
      <w:bookmarkEnd w:id="0"/>
      <w:bookmarkEnd w:id="1"/>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smlouvy objednatele: 131/2019/D1/VZMR/ZR/S</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Číslo smlouvy zhotovitele: AQS/14/2019</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tabs>
          <w:tab w:pos="210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tab/>
        <w:t>Kosovská 1122/16, 586 01 Jihlava</w:t>
      </w:r>
    </w:p>
    <w:p>
      <w:pPr>
        <w:pStyle w:val="Style2"/>
        <w:keepNext w:val="0"/>
        <w:keepLines w:val="0"/>
        <w:widowControl w:val="0"/>
        <w:shd w:val="clear" w:color="auto" w:fill="auto"/>
        <w:tabs>
          <w:tab w:pos="210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zastoupený:</w:t>
        <w:tab/>
        <w:t>Ing. Janem Míkou, MBA, ředitelem organizace</w:t>
      </w:r>
    </w:p>
    <w:p>
      <w:pPr>
        <w:pStyle w:val="Style2"/>
        <w:keepNext w:val="0"/>
        <w:keepLines w:val="0"/>
        <w:widowControl w:val="0"/>
        <w:shd w:val="clear" w:color="auto" w:fill="auto"/>
        <w:bidi w:val="0"/>
        <w:spacing w:before="0" w:after="0" w:line="240" w:lineRule="auto"/>
        <w:ind w:left="4220" w:right="0" w:hanging="4220"/>
        <w:jc w:val="both"/>
      </w:pPr>
      <w:r>
        <w:rPr>
          <w:color w:val="000000"/>
          <w:spacing w:val="0"/>
          <w:w w:val="100"/>
          <w:position w:val="0"/>
          <w:sz w:val="24"/>
          <w:szCs w:val="24"/>
          <w:shd w:val="clear" w:color="auto" w:fill="auto"/>
          <w:lang w:val="cs-CZ" w:eastAsia="cs-CZ" w:bidi="cs-CZ"/>
        </w:rPr>
        <w:t>Osoby pověřené jednat ve věcech technických: vedoucí TSO Žďár nad Sázavou</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cs-CZ" w:eastAsia="cs-CZ" w:bidi="cs-CZ"/>
        </w:rPr>
        <w:t>Technický dozor stavebníka:</w:t>
      </w:r>
    </w:p>
    <w:p>
      <w:pPr>
        <w:pStyle w:val="Style1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koordinátor BOZP na staveništi, technický dozor,</w:t>
      </w:r>
    </w:p>
    <w:tbl>
      <w:tblPr>
        <w:tblOverlap w:val="never"/>
        <w:jc w:val="center"/>
        <w:tblLayout w:type="fixed"/>
      </w:tblPr>
      <w:tblGrid>
        <w:gridCol w:w="2117"/>
        <w:gridCol w:w="4424"/>
        <w:gridCol w:w="2484"/>
      </w:tblGrid>
      <w:tr>
        <w:trPr>
          <w:trHeight w:val="299" w:hRule="exact"/>
        </w:trPr>
        <w:tc>
          <w:tcPr>
            <w:gridSpan w:val="3"/>
            <w:tcBorders/>
            <w:shd w:val="clear" w:color="auto" w:fill="FFFFFF"/>
            <w:vAlign w:val="top"/>
          </w:tcPr>
          <w:p>
            <w:pPr>
              <w:pStyle w:val="Style21"/>
              <w:keepNext w:val="0"/>
              <w:keepLines w:val="0"/>
              <w:widowControl w:val="0"/>
              <w:shd w:val="clear" w:color="auto" w:fill="auto"/>
              <w:bidi w:val="0"/>
              <w:spacing w:before="0" w:after="0" w:line="240" w:lineRule="auto"/>
              <w:ind w:left="2140" w:right="0" w:firstLine="0"/>
              <w:jc w:val="left"/>
            </w:pPr>
            <w:r>
              <w:rPr>
                <w:color w:val="000000"/>
                <w:spacing w:val="0"/>
                <w:w w:val="100"/>
                <w:position w:val="0"/>
                <w:sz w:val="24"/>
                <w:szCs w:val="24"/>
                <w:shd w:val="clear" w:color="auto" w:fill="auto"/>
                <w:lang w:val="cs-CZ" w:eastAsia="cs-CZ" w:bidi="cs-CZ"/>
              </w:rPr>
              <w:t>Žďár nad Sázavou</w:t>
            </w:r>
          </w:p>
        </w:tc>
      </w:tr>
      <w:tr>
        <w:trPr>
          <w:trHeight w:val="30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2"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7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000 90 450</w:t>
            </w:r>
          </w:p>
        </w:tc>
        <w:tc>
          <w:tcPr>
            <w:tcBorders/>
            <w:shd w:val="clear" w:color="auto" w:fill="FFFFFF"/>
            <w:vAlign w:val="top"/>
          </w:tcPr>
          <w:p>
            <w:pPr>
              <w:widowControl w:val="0"/>
              <w:rPr>
                <w:sz w:val="10"/>
                <w:szCs w:val="10"/>
              </w:rPr>
            </w:pPr>
          </w:p>
        </w:tc>
      </w:tr>
      <w:tr>
        <w:trPr>
          <w:trHeight w:val="281"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tc>
        <w:tc>
          <w:tcPr>
            <w:tcBorders/>
            <w:shd w:val="clear" w:color="auto" w:fill="FFFFFF"/>
            <w:vAlign w:val="bottom"/>
          </w:tcPr>
          <w:p>
            <w:pPr>
              <w:pStyle w:val="Style21"/>
              <w:keepNext w:val="0"/>
              <w:keepLines w:val="0"/>
              <w:widowControl w:val="0"/>
              <w:shd w:val="clear" w:color="auto" w:fill="auto"/>
              <w:tabs>
                <w:tab w:leader="dot" w:pos="1843" w:val="left"/>
                <w:tab w:leader="dot" w:pos="1879" w:val="left"/>
              </w:tabs>
              <w:bidi w:val="0"/>
              <w:spacing w:before="0" w:after="0" w:line="240" w:lineRule="auto"/>
              <w:ind w:left="0" w:right="0" w:firstLine="0"/>
              <w:jc w:val="left"/>
              <w:rPr>
                <w:sz w:val="28"/>
                <w:szCs w:val="28"/>
              </w:rPr>
            </w:pPr>
            <w:r>
              <w:rPr>
                <w:rFonts w:ascii="Arial" w:eastAsia="Arial" w:hAnsi="Arial" w:cs="Arial"/>
                <w:color w:val="000000"/>
                <w:spacing w:val="0"/>
                <w:w w:val="100"/>
                <w:position w:val="0"/>
                <w:sz w:val="28"/>
                <w:szCs w:val="28"/>
                <w:shd w:val="clear" w:color="auto" w:fill="auto"/>
                <w:lang w:val="cs-CZ" w:eastAsia="cs-CZ" w:bidi="cs-CZ"/>
              </w:rPr>
              <w:t>» -</w:t>
              <w:tab/>
              <w:tab/>
            </w:r>
          </w:p>
        </w:tc>
      </w:tr>
      <w:tr>
        <w:trPr>
          <w:trHeight w:val="27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tc>
        <w:tc>
          <w:tcPr>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1"/>
              <w:keepNext w:val="0"/>
              <w:keepLines w:val="0"/>
              <w:widowControl w:val="0"/>
              <w:shd w:val="clear" w:color="auto" w:fill="auto"/>
              <w:tabs>
                <w:tab w:pos="1565" w:val="left"/>
                <w:tab w:pos="1832" w:val="left"/>
              </w:tabs>
              <w:bidi w:val="0"/>
              <w:spacing w:before="0" w:after="0" w:line="240" w:lineRule="auto"/>
              <w:ind w:left="0" w:right="0" w:firstLine="640"/>
              <w:jc w:val="left"/>
              <w:rPr>
                <w:sz w:val="11"/>
                <w:szCs w:val="11"/>
              </w:rPr>
            </w:pPr>
            <w:r>
              <w:rPr>
                <w:rFonts w:ascii="Arial" w:eastAsia="Arial" w:hAnsi="Arial" w:cs="Arial"/>
                <w:color w:val="000000"/>
                <w:spacing w:val="0"/>
                <w:w w:val="100"/>
                <w:position w:val="0"/>
                <w:sz w:val="11"/>
                <w:szCs w:val="11"/>
                <w:shd w:val="clear" w:color="auto" w:fill="auto"/>
                <w:vertAlign w:val="superscript"/>
                <w:lang w:val="cs-CZ" w:eastAsia="cs-CZ" w:bidi="cs-CZ"/>
              </w:rPr>
              <w:t>ls</w:t>
            </w:r>
            <w:r>
              <w:rPr>
                <w:rFonts w:ascii="Arial" w:eastAsia="Arial" w:hAnsi="Arial" w:cs="Arial"/>
                <w:color w:val="000000"/>
                <w:spacing w:val="0"/>
                <w:w w:val="100"/>
                <w:position w:val="0"/>
                <w:sz w:val="11"/>
                <w:szCs w:val="11"/>
                <w:shd w:val="clear" w:color="auto" w:fill="auto"/>
                <w:lang w:val="cs-CZ" w:eastAsia="cs-CZ" w:bidi="cs-CZ"/>
              </w:rPr>
              <w:t xml:space="preserve">' ' * </w:t>
            </w:r>
            <w:r>
              <w:rPr>
                <w:rFonts w:ascii="Arial" w:eastAsia="Arial" w:hAnsi="Arial" w:cs="Arial"/>
                <w:color w:val="000000"/>
                <w:spacing w:val="0"/>
                <w:w w:val="100"/>
                <w:position w:val="0"/>
                <w:sz w:val="11"/>
                <w:szCs w:val="11"/>
                <w:shd w:val="clear" w:color="auto" w:fill="auto"/>
                <w:vertAlign w:val="superscript"/>
                <w:lang w:val="cs-CZ" w:eastAsia="cs-CZ" w:bidi="cs-CZ"/>
              </w:rPr>
              <w:t>1</w:t>
            </w:r>
            <w:r>
              <w:rPr>
                <w:rFonts w:ascii="Arial" w:eastAsia="Arial" w:hAnsi="Arial" w:cs="Arial"/>
                <w:color w:val="000000"/>
                <w:spacing w:val="0"/>
                <w:w w:val="100"/>
                <w:position w:val="0"/>
                <w:sz w:val="11"/>
                <w:szCs w:val="11"/>
                <w:shd w:val="clear" w:color="auto" w:fill="auto"/>
                <w:lang w:val="cs-CZ" w:eastAsia="cs-CZ" w:bidi="cs-CZ"/>
              </w:rPr>
              <w:t xml:space="preserve"> ’</w:t>
              <w:tab/>
              <w:t>■ ‘</w:t>
              <w:tab/>
              <w:t>&lt;1 Jihl.</w:t>
            </w:r>
          </w:p>
        </w:tc>
      </w:tr>
      <w:tr>
        <w:trPr>
          <w:trHeight w:val="21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407"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640"/>
              <w:jc w:val="left"/>
              <w:rPr>
                <w:sz w:val="11"/>
                <w:szCs w:val="11"/>
              </w:rPr>
            </w:pPr>
            <w:r>
              <w:rPr>
                <w:b/>
                <w:bCs/>
                <w:color w:val="000000"/>
                <w:spacing w:val="0"/>
                <w:w w:val="100"/>
                <w:position w:val="0"/>
                <w:sz w:val="36"/>
                <w:szCs w:val="36"/>
                <w:shd w:val="clear" w:color="auto" w:fill="auto"/>
                <w:lang w:val="cs-CZ" w:eastAsia="cs-CZ" w:bidi="cs-CZ"/>
              </w:rPr>
              <w:t xml:space="preserve">24-06- </w:t>
            </w:r>
            <w:r>
              <w:rPr>
                <w:rFonts w:ascii="Arial" w:eastAsia="Arial" w:hAnsi="Arial" w:cs="Arial"/>
                <w:color w:val="000000"/>
                <w:spacing w:val="0"/>
                <w:w w:val="100"/>
                <w:position w:val="0"/>
                <w:sz w:val="28"/>
                <w:szCs w:val="28"/>
                <w:shd w:val="clear" w:color="auto" w:fill="auto"/>
                <w:lang w:val="cs-CZ" w:eastAsia="cs-CZ" w:bidi="cs-CZ"/>
              </w:rPr>
              <w:t xml:space="preserve">2019 </w:t>
            </w:r>
            <w:r>
              <w:rPr>
                <w:rFonts w:ascii="Arial" w:eastAsia="Arial" w:hAnsi="Arial" w:cs="Arial"/>
                <w:color w:val="000000"/>
                <w:spacing w:val="0"/>
                <w:w w:val="100"/>
                <w:position w:val="0"/>
                <w:sz w:val="11"/>
                <w:szCs w:val="11"/>
                <w:shd w:val="clear" w:color="auto" w:fill="auto"/>
                <w:lang w:val="cs-CZ" w:eastAsia="cs-CZ" w:bidi="cs-CZ"/>
              </w:rPr>
              <w:t>j ý</w:t>
            </w:r>
          </w:p>
        </w:tc>
      </w:tr>
      <w:tr>
        <w:trPr>
          <w:trHeight w:val="536"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p>
            <w:pPr>
              <w:pStyle w:val="Style2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objednatel)</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i/>
                <w:iCs/>
                <w:color w:val="000000"/>
                <w:spacing w:val="0"/>
                <w:w w:val="100"/>
                <w:position w:val="0"/>
                <w:sz w:val="26"/>
                <w:szCs w:val="26"/>
                <w:shd w:val="clear" w:color="auto" w:fill="auto"/>
                <w:lang w:val="cs-CZ" w:eastAsia="cs-CZ" w:bidi="cs-CZ"/>
              </w:rPr>
              <w:t>/k/íj</w:t>
            </w:r>
            <w:r>
              <w:rPr>
                <w:rFonts w:ascii="Arial" w:eastAsia="Arial" w:hAnsi="Arial" w:cs="Arial"/>
                <w:color w:val="000000"/>
                <w:spacing w:val="0"/>
                <w:w w:val="100"/>
                <w:position w:val="0"/>
                <w:sz w:val="11"/>
                <w:szCs w:val="11"/>
                <w:shd w:val="clear" w:color="auto" w:fill="auto"/>
                <w:lang w:val="cs-CZ" w:eastAsia="cs-CZ" w:bidi="cs-CZ"/>
              </w:rPr>
              <w:t xml:space="preserve"> í/?;</w:t>
            </w:r>
          </w:p>
        </w:tc>
      </w:tr>
    </w:tbl>
    <w:p>
      <w:pPr>
        <w:pStyle w:val="Style18"/>
        <w:keepNext w:val="0"/>
        <w:keepLines w:val="0"/>
        <w:widowControl w:val="0"/>
        <w:shd w:val="clear" w:color="auto" w:fill="auto"/>
        <w:bidi w:val="0"/>
        <w:spacing w:before="0" w:after="0" w:line="240" w:lineRule="auto"/>
        <w:ind w:left="4" w:right="0" w:firstLine="0"/>
        <w:jc w:val="left"/>
      </w:pPr>
      <w:r>
        <w:rPr>
          <w:b/>
          <w:bCs/>
          <w:color w:val="000000"/>
          <w:spacing w:val="0"/>
          <w:w w:val="100"/>
          <w:position w:val="0"/>
          <w:sz w:val="24"/>
          <w:szCs w:val="24"/>
          <w:shd w:val="clear" w:color="auto" w:fill="auto"/>
          <w:lang w:val="cs-CZ" w:eastAsia="cs-CZ" w:bidi="cs-CZ"/>
        </w:rPr>
        <w:t>a</w:t>
      </w:r>
    </w:p>
    <w:p>
      <w:pPr>
        <w:widowControl w:val="0"/>
        <w:spacing w:after="259" w:line="1" w:lineRule="exact"/>
      </w:pPr>
    </w:p>
    <w:p>
      <w:pPr>
        <w:pStyle w:val="Style12"/>
        <w:keepNext/>
        <w:keepLines/>
        <w:widowControl w:val="0"/>
        <w:shd w:val="clear" w:color="auto" w:fill="auto"/>
        <w:tabs>
          <w:tab w:pos="2105" w:val="left"/>
        </w:tabs>
        <w:bidi w:val="0"/>
        <w:spacing w:before="0" w:after="0" w:line="240" w:lineRule="auto"/>
        <w:ind w:left="0" w:right="0" w:firstLine="0"/>
        <w:jc w:val="left"/>
      </w:pPr>
      <w:bookmarkStart w:id="2" w:name="bookmark2"/>
      <w:bookmarkStart w:id="3" w:name="bookmark3"/>
      <w:r>
        <w:rPr>
          <w:color w:val="000000"/>
          <w:spacing w:val="0"/>
          <w:w w:val="100"/>
          <w:position w:val="0"/>
          <w:sz w:val="24"/>
          <w:szCs w:val="24"/>
          <w:shd w:val="clear" w:color="auto" w:fill="auto"/>
          <w:lang w:val="cs-CZ" w:eastAsia="cs-CZ" w:bidi="cs-CZ"/>
        </w:rPr>
        <w:t>Zhotovitel:</w:t>
        <w:tab/>
        <w:t>AQUASYS spol. s r.o.</w:t>
      </w:r>
      <w:bookmarkEnd w:id="2"/>
      <w:bookmarkEnd w:id="3"/>
    </w:p>
    <w:p>
      <w:pPr>
        <w:pStyle w:val="Style2"/>
        <w:keepNext w:val="0"/>
        <w:keepLines w:val="0"/>
        <w:widowControl w:val="0"/>
        <w:shd w:val="clear" w:color="auto" w:fill="auto"/>
        <w:tabs>
          <w:tab w:pos="210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sídlo:</w:t>
        <w:tab/>
        <w:t>Žďár nad Sázavou, Jamská 2488/65, PSČ 59101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zápis v obchodním rejstříku: Krajský soud v Brně, oddíl C, vložka oprávněn k podpisu smlouvy:</w:t>
      </w:r>
    </w:p>
    <w:p>
      <w:pPr>
        <w:pStyle w:val="Style2"/>
        <w:keepNext w:val="0"/>
        <w:keepLines w:val="0"/>
        <w:widowControl w:val="0"/>
        <w:shd w:val="clear" w:color="auto" w:fill="auto"/>
        <w:bidi w:val="0"/>
        <w:spacing w:before="0" w:after="0" w:line="240" w:lineRule="auto"/>
        <w:ind w:left="3240" w:right="0" w:firstLine="0"/>
        <w:jc w:val="both"/>
      </w:pPr>
      <w:r>
        <w:rPr>
          <w:color w:val="000000"/>
          <w:spacing w:val="0"/>
          <w:w w:val="100"/>
          <w:position w:val="0"/>
          <w:sz w:val="24"/>
          <w:szCs w:val="24"/>
          <w:shd w:val="clear" w:color="auto" w:fill="auto"/>
          <w:lang w:val="cs-CZ" w:eastAsia="cs-CZ" w:bidi="cs-CZ"/>
        </w:rPr>
        <w:t>jednatel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oprávněn jednat o věcech smluvních:</w:t>
      </w:r>
    </w:p>
    <w:p>
      <w:pPr>
        <w:pStyle w:val="Style2"/>
        <w:keepNext w:val="0"/>
        <w:keepLines w:val="0"/>
        <w:widowControl w:val="0"/>
        <w:shd w:val="clear" w:color="auto" w:fill="auto"/>
        <w:bidi w:val="0"/>
        <w:spacing w:before="0" w:after="0" w:line="240" w:lineRule="auto"/>
        <w:ind w:left="3240" w:right="0" w:firstLine="0"/>
        <w:jc w:val="both"/>
      </w:pPr>
      <w:r>
        <w:rPr>
          <w:color w:val="000000"/>
          <w:spacing w:val="0"/>
          <w:w w:val="100"/>
          <w:position w:val="0"/>
          <w:sz w:val="24"/>
          <w:szCs w:val="24"/>
          <w:shd w:val="clear" w:color="auto" w:fill="auto"/>
          <w:lang w:val="cs-CZ" w:eastAsia="cs-CZ" w:bidi="cs-CZ"/>
        </w:rPr>
        <w:t>jednatel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oprávněn jednat o věcech technických:</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vvrobní ředitel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tabs>
          <w:tab w:pos="210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tab/>
        <w:t>25344447</w:t>
      </w:r>
    </w:p>
    <w:p>
      <w:pPr>
        <w:pStyle w:val="Style2"/>
        <w:keepNext w:val="0"/>
        <w:keepLines w:val="0"/>
        <w:widowControl w:val="0"/>
        <w:shd w:val="clear" w:color="auto" w:fill="auto"/>
        <w:tabs>
          <w:tab w:pos="210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tab/>
        <w:t>CZ25344447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cs-CZ" w:eastAsia="cs-CZ" w:bidi="cs-CZ"/>
        </w:rPr>
        <w:t xml:space="preserve">Smluvní strany se dohodly, že jejich závazkový vztah ve smyslu § </w:t>
      </w:r>
      <w:r>
        <w:rPr>
          <w:b/>
          <w:bCs/>
          <w:color w:val="000000"/>
          <w:spacing w:val="0"/>
          <w:w w:val="100"/>
          <w:position w:val="0"/>
          <w:sz w:val="24"/>
          <w:szCs w:val="24"/>
          <w:shd w:val="clear" w:color="auto" w:fill="auto"/>
          <w:lang w:val="cs-CZ" w:eastAsia="cs-CZ" w:bidi="cs-CZ"/>
        </w:rPr>
        <w:t xml:space="preserve">2586 a násl. zákona č. 89/2012 Sb., Občanského zákoníku, v platném znění (dále jen „NOZ“) </w:t>
      </w:r>
      <w:r>
        <w:rPr>
          <w:color w:val="000000"/>
          <w:spacing w:val="0"/>
          <w:w w:val="100"/>
          <w:position w:val="0"/>
          <w:sz w:val="24"/>
          <w:szCs w:val="24"/>
          <w:shd w:val="clear" w:color="auto" w:fill="auto"/>
          <w:lang w:val="cs-CZ" w:eastAsia="cs-CZ" w:bidi="cs-CZ"/>
        </w:rPr>
        <w:t xml:space="preserve">se řídí tímto zákonem a na shora uvedenou veřejnou zakázku na stavební práce uzavírají dnešního dne měsíce a roku tuto smlouvu o dílo (dále jen </w:t>
      </w:r>
      <w:r>
        <w:rPr>
          <w:b/>
          <w:bCs/>
          <w:color w:val="000000"/>
          <w:spacing w:val="0"/>
          <w:w w:val="100"/>
          <w:position w:val="0"/>
          <w:sz w:val="24"/>
          <w:szCs w:val="24"/>
          <w:shd w:val="clear" w:color="auto" w:fill="auto"/>
          <w:lang w:val="cs-CZ" w:eastAsia="cs-CZ" w:bidi="cs-CZ"/>
        </w:rPr>
        <w:t>„smlouva“).</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2"/>
        <w:keepNext/>
        <w:keepLines/>
        <w:widowControl w:val="0"/>
        <w:shd w:val="clear" w:color="auto" w:fill="auto"/>
        <w:bidi w:val="0"/>
        <w:spacing w:before="0" w:after="10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Podklady pro uzavření smlouvy</w:t>
      </w:r>
      <w:bookmarkEnd w:id="4"/>
      <w:bookmarkEnd w:id="5"/>
    </w:p>
    <w:p>
      <w:pPr>
        <w:pStyle w:val="Style2"/>
        <w:keepNext w:val="0"/>
        <w:keepLines w:val="0"/>
        <w:widowControl w:val="0"/>
        <w:shd w:val="clear" w:color="auto" w:fill="auto"/>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Podkladem pro uzavření smlouvy je výkaz výměr odsouhlasený objednatelem.</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2"/>
        <w:keepNext/>
        <w:keepLines/>
        <w:widowControl w:val="0"/>
        <w:shd w:val="clear" w:color="auto" w:fill="auto"/>
        <w:bidi w:val="0"/>
        <w:spacing w:before="0" w:after="10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Předmět smlouvy</w:t>
      </w:r>
      <w:bookmarkEnd w:id="6"/>
      <w:bookmarkEnd w:id="7"/>
    </w:p>
    <w:p>
      <w:pPr>
        <w:pStyle w:val="Style2"/>
        <w:keepNext w:val="0"/>
        <w:keepLines w:val="0"/>
        <w:widowControl w:val="0"/>
        <w:numPr>
          <w:ilvl w:val="0"/>
          <w:numId w:val="1"/>
        </w:numPr>
        <w:shd w:val="clear" w:color="auto" w:fill="auto"/>
        <w:tabs>
          <w:tab w:pos="71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Předmětem plnění dle této smlouvy je dokončení akce realizované v roce 2018 (III/3913 Skřinářov - Heřmanov) v úseku budované kanalizace v průtahu obce Heřmanov. Oprava bude realizována pokládkou obrusné vrstvy ACO 11 + průměrné tl. 50 mm v ploše 2544 m2 na spojovací emulzní asfaltový postřik do 0,5kg/m2 v ploše 2 544 m2, dále pokládkou vyrovnávací vrstvy ACO 11+ průměrné tl. 20 mm v ploše 50 m2, frézováním průměrné tl. 50 mm v ploše 10 m3 a aplikace geomříže z polypropylénu v ploše 200 m2. Rozsah díla specifikuje příloha této smlouvy položkový rozpočet.</w:t>
      </w:r>
    </w:p>
    <w:p>
      <w:pPr>
        <w:pStyle w:val="Style2"/>
        <w:keepNext w:val="0"/>
        <w:keepLines w:val="0"/>
        <w:widowControl w:val="0"/>
        <w:numPr>
          <w:ilvl w:val="0"/>
          <w:numId w:val="1"/>
        </w:numPr>
        <w:shd w:val="clear" w:color="auto" w:fill="auto"/>
        <w:tabs>
          <w:tab w:pos="718"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Součástí předmětu plnění je rovněž závazek zhotovitele:</w:t>
      </w:r>
    </w:p>
    <w:p>
      <w:pPr>
        <w:pStyle w:val="Style2"/>
        <w:keepNext w:val="0"/>
        <w:keepLines w:val="0"/>
        <w:widowControl w:val="0"/>
        <w:numPr>
          <w:ilvl w:val="0"/>
          <w:numId w:val="3"/>
        </w:numPr>
        <w:shd w:val="clear" w:color="auto" w:fill="auto"/>
        <w:tabs>
          <w:tab w:pos="1209" w:val="left"/>
        </w:tabs>
        <w:bidi w:val="0"/>
        <w:spacing w:before="0" w:after="100" w:line="240" w:lineRule="auto"/>
        <w:ind w:left="1240" w:right="0" w:hanging="560"/>
        <w:jc w:val="both"/>
      </w:pPr>
      <w:r>
        <w:rPr>
          <w:color w:val="000000"/>
          <w:spacing w:val="0"/>
          <w:w w:val="100"/>
          <w:position w:val="0"/>
          <w:sz w:val="24"/>
          <w:szCs w:val="24"/>
          <w:shd w:val="clear" w:color="auto" w:fill="auto"/>
          <w:lang w:val="cs-CZ" w:eastAsia="cs-CZ" w:bidi="cs-CZ"/>
        </w:rPr>
        <w:t>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zákona č. 22/1997 Sb. a dalších předpisů.</w:t>
      </w:r>
    </w:p>
    <w:p>
      <w:pPr>
        <w:pStyle w:val="Style2"/>
        <w:keepNext w:val="0"/>
        <w:keepLines w:val="0"/>
        <w:widowControl w:val="0"/>
        <w:numPr>
          <w:ilvl w:val="0"/>
          <w:numId w:val="3"/>
        </w:numPr>
        <w:shd w:val="clear" w:color="auto" w:fill="auto"/>
        <w:tabs>
          <w:tab w:pos="1209" w:val="left"/>
        </w:tabs>
        <w:bidi w:val="0"/>
        <w:spacing w:before="0" w:after="100" w:line="240" w:lineRule="auto"/>
        <w:ind w:left="0" w:right="0" w:firstLine="680"/>
        <w:jc w:val="both"/>
      </w:pPr>
      <w:r>
        <w:rPr>
          <w:color w:val="000000"/>
          <w:spacing w:val="0"/>
          <w:w w:val="100"/>
          <w:position w:val="0"/>
          <w:sz w:val="24"/>
          <w:szCs w:val="24"/>
          <w:shd w:val="clear" w:color="auto" w:fill="auto"/>
          <w:lang w:val="cs-CZ" w:eastAsia="cs-CZ" w:bidi="cs-CZ"/>
        </w:rPr>
        <w:t>zhotovit práce podle technologického předpisu.</w:t>
      </w:r>
    </w:p>
    <w:p>
      <w:pPr>
        <w:pStyle w:val="Style2"/>
        <w:keepNext w:val="0"/>
        <w:keepLines w:val="0"/>
        <w:widowControl w:val="0"/>
        <w:numPr>
          <w:ilvl w:val="0"/>
          <w:numId w:val="1"/>
        </w:numPr>
        <w:shd w:val="clear" w:color="auto" w:fill="auto"/>
        <w:tabs>
          <w:tab w:pos="71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1"/>
        </w:numPr>
        <w:shd w:val="clear" w:color="auto" w:fill="auto"/>
        <w:tabs>
          <w:tab w:pos="718" w:val="left"/>
        </w:tabs>
        <w:bidi w:val="0"/>
        <w:spacing w:before="0" w:after="500" w:line="240" w:lineRule="auto"/>
        <w:ind w:left="740" w:right="0" w:hanging="740"/>
        <w:jc w:val="both"/>
      </w:pPr>
      <w:r>
        <w:rPr>
          <w:color w:val="000000"/>
          <w:spacing w:val="0"/>
          <w:w w:val="100"/>
          <w:position w:val="0"/>
          <w:sz w:val="24"/>
          <w:szCs w:val="24"/>
          <w:shd w:val="clear" w:color="auto" w:fill="auto"/>
          <w:lang w:val="cs-CZ" w:eastAsia="cs-CZ" w:bidi="cs-CZ"/>
        </w:rPr>
        <w:t>Fakturovat bude zhotovitel pouze skutečně provedené práce v souladu s touto smlouvou.</w:t>
      </w:r>
    </w:p>
    <w:p>
      <w:pPr>
        <w:pStyle w:val="Style12"/>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Článek 4</w:t>
      </w:r>
      <w:bookmarkEnd w:id="8"/>
      <w:bookmarkEnd w:id="9"/>
    </w:p>
    <w:p>
      <w:pPr>
        <w:pStyle w:val="Style2"/>
        <w:keepNext w:val="0"/>
        <w:keepLines w:val="0"/>
        <w:widowControl w:val="0"/>
        <w:shd w:val="clear" w:color="auto" w:fill="auto"/>
        <w:bidi w:val="0"/>
        <w:spacing w:before="0" w:after="0" w:line="214" w:lineRule="auto"/>
        <w:ind w:left="3720" w:right="0" w:firstLine="0"/>
        <w:jc w:val="both"/>
        <w:rPr>
          <w:sz w:val="22"/>
          <w:szCs w:val="22"/>
        </w:rPr>
      </w:pPr>
      <w:r>
        <w:rPr>
          <w:color w:val="000000"/>
          <w:spacing w:val="0"/>
          <w:w w:val="100"/>
          <w:position w:val="0"/>
          <w:sz w:val="22"/>
          <w:szCs w:val="22"/>
          <w:shd w:val="clear" w:color="auto" w:fill="auto"/>
          <w:lang w:val="cs-CZ" w:eastAsia="cs-CZ" w:bidi="cs-CZ"/>
        </w:rPr>
        <w:t>v</w:t>
      </w:r>
    </w:p>
    <w:p>
      <w:pPr>
        <w:pStyle w:val="Style12"/>
        <w:keepNext/>
        <w:keepLines/>
        <w:widowControl w:val="0"/>
        <w:shd w:val="clear" w:color="auto" w:fill="auto"/>
        <w:bidi w:val="0"/>
        <w:spacing w:before="0" w:after="100" w:line="18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Cas a místo plnění</w:t>
      </w:r>
      <w:bookmarkEnd w:id="10"/>
      <w:bookmarkEnd w:id="11"/>
    </w:p>
    <w:p>
      <w:pPr>
        <w:pStyle w:val="Style2"/>
        <w:keepNext w:val="0"/>
        <w:keepLines w:val="0"/>
        <w:widowControl w:val="0"/>
        <w:numPr>
          <w:ilvl w:val="1"/>
          <w:numId w:val="1"/>
        </w:numPr>
        <w:shd w:val="clear" w:color="auto" w:fill="auto"/>
        <w:tabs>
          <w:tab w:pos="718"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Zhotovitel se zavazuje provést dílo v následujícím termínu:</w:t>
      </w:r>
    </w:p>
    <w:p>
      <w:pPr>
        <w:pStyle w:val="Style2"/>
        <w:keepNext w:val="0"/>
        <w:keepLines w:val="0"/>
        <w:widowControl w:val="0"/>
        <w:numPr>
          <w:ilvl w:val="0"/>
          <w:numId w:val="5"/>
        </w:numPr>
        <w:shd w:val="clear" w:color="auto" w:fill="auto"/>
        <w:tabs>
          <w:tab w:pos="1209" w:val="left"/>
          <w:tab w:pos="3642" w:val="left"/>
        </w:tabs>
        <w:bidi w:val="0"/>
        <w:spacing w:before="0" w:after="100" w:line="240" w:lineRule="auto"/>
        <w:ind w:left="0" w:right="0" w:firstLine="820"/>
        <w:jc w:val="both"/>
      </w:pPr>
      <w:r>
        <w:rPr>
          <w:color w:val="000000"/>
          <w:spacing w:val="0"/>
          <w:w w:val="100"/>
          <w:position w:val="0"/>
          <w:sz w:val="24"/>
          <w:szCs w:val="24"/>
          <w:shd w:val="clear" w:color="auto" w:fill="auto"/>
          <w:lang w:val="cs-CZ" w:eastAsia="cs-CZ" w:bidi="cs-CZ"/>
        </w:rPr>
        <w:t>Zahájení plnění:</w:t>
        <w:tab/>
        <w:t>od účinnosti této smlouvy</w:t>
      </w:r>
    </w:p>
    <w:p>
      <w:pPr>
        <w:pStyle w:val="Style2"/>
        <w:keepNext w:val="0"/>
        <w:keepLines w:val="0"/>
        <w:widowControl w:val="0"/>
        <w:numPr>
          <w:ilvl w:val="0"/>
          <w:numId w:val="5"/>
        </w:numPr>
        <w:shd w:val="clear" w:color="auto" w:fill="auto"/>
        <w:tabs>
          <w:tab w:pos="1222" w:val="left"/>
          <w:tab w:pos="3642" w:val="left"/>
        </w:tabs>
        <w:bidi w:val="0"/>
        <w:spacing w:before="0" w:after="100" w:line="240" w:lineRule="auto"/>
        <w:ind w:left="0" w:right="0" w:firstLine="820"/>
        <w:jc w:val="both"/>
      </w:pPr>
      <w:r>
        <w:rPr>
          <w:color w:val="000000"/>
          <w:spacing w:val="0"/>
          <w:w w:val="100"/>
          <w:position w:val="0"/>
          <w:sz w:val="24"/>
          <w:szCs w:val="24"/>
          <w:shd w:val="clear" w:color="auto" w:fill="auto"/>
          <w:lang w:val="cs-CZ" w:eastAsia="cs-CZ" w:bidi="cs-CZ"/>
        </w:rPr>
        <w:t>Dokončení plnění:</w:t>
        <w:tab/>
      </w:r>
      <w:r>
        <w:rPr>
          <w:b/>
          <w:bCs/>
          <w:color w:val="000000"/>
          <w:spacing w:val="0"/>
          <w:w w:val="100"/>
          <w:position w:val="0"/>
          <w:sz w:val="24"/>
          <w:szCs w:val="24"/>
          <w:shd w:val="clear" w:color="auto" w:fill="auto"/>
          <w:lang w:val="cs-CZ" w:eastAsia="cs-CZ" w:bidi="cs-CZ"/>
        </w:rPr>
        <w:t>do 30 dnů ode předání staveniště</w:t>
      </w:r>
    </w:p>
    <w:p>
      <w:pPr>
        <w:pStyle w:val="Style2"/>
        <w:keepNext w:val="0"/>
        <w:keepLines w:val="0"/>
        <w:widowControl w:val="0"/>
        <w:numPr>
          <w:ilvl w:val="1"/>
          <w:numId w:val="1"/>
        </w:numPr>
        <w:shd w:val="clear" w:color="auto" w:fill="auto"/>
        <w:tabs>
          <w:tab w:pos="718" w:val="left"/>
        </w:tabs>
        <w:bidi w:val="0"/>
        <w:spacing w:before="0" w:after="100" w:line="240" w:lineRule="auto"/>
        <w:ind w:left="820" w:right="0" w:hanging="820"/>
        <w:jc w:val="both"/>
      </w:pPr>
      <w:r>
        <w:rPr>
          <w:color w:val="000000"/>
          <w:spacing w:val="0"/>
          <w:w w:val="100"/>
          <w:position w:val="0"/>
          <w:sz w:val="24"/>
          <w:szCs w:val="24"/>
          <w:shd w:val="clear" w:color="auto" w:fill="auto"/>
          <w:lang w:val="cs-CZ" w:eastAsia="cs-CZ" w:bidi="cs-CZ"/>
        </w:rPr>
        <w:t>Pokud zhotovitel nezahájí realizaci díla do 15 kalendářních dnů ode dne předání a převzetí staveniště, ani v dodatečně přiměřené lhůtě stanovené objednatelem, je objednatel oprávněn odstoupit od této smlouvy.</w:t>
      </w:r>
    </w:p>
    <w:p>
      <w:pPr>
        <w:pStyle w:val="Style12"/>
        <w:keepNext/>
        <w:keepLines/>
        <w:widowControl w:val="0"/>
        <w:numPr>
          <w:ilvl w:val="1"/>
          <w:numId w:val="1"/>
        </w:numPr>
        <w:shd w:val="clear" w:color="auto" w:fill="auto"/>
        <w:tabs>
          <w:tab w:pos="718" w:val="left"/>
        </w:tabs>
        <w:bidi w:val="0"/>
        <w:spacing w:before="0" w:after="100" w:line="240" w:lineRule="auto"/>
        <w:ind w:left="0" w:right="0" w:firstLine="0"/>
        <w:jc w:val="both"/>
      </w:pPr>
      <w:bookmarkStart w:id="12" w:name="bookmark12"/>
      <w:bookmarkStart w:id="13" w:name="bookmark13"/>
      <w:r>
        <w:rPr>
          <w:color w:val="000000"/>
          <w:spacing w:val="0"/>
          <w:w w:val="100"/>
          <w:position w:val="0"/>
          <w:sz w:val="24"/>
          <w:szCs w:val="24"/>
          <w:shd w:val="clear" w:color="auto" w:fill="auto"/>
          <w:lang w:val="cs-CZ" w:eastAsia="cs-CZ" w:bidi="cs-CZ"/>
        </w:rPr>
        <w:t>Místo plnění:</w:t>
      </w:r>
      <w:bookmarkEnd w:id="12"/>
      <w:bookmarkEnd w:id="13"/>
    </w:p>
    <w:p>
      <w:pPr>
        <w:pStyle w:val="Style2"/>
        <w:keepNext w:val="0"/>
        <w:keepLines w:val="0"/>
        <w:widowControl w:val="0"/>
        <w:shd w:val="clear" w:color="auto" w:fill="auto"/>
        <w:bidi w:val="0"/>
        <w:spacing w:before="0" w:after="100" w:line="262" w:lineRule="auto"/>
        <w:ind w:left="0" w:right="0" w:firstLine="820"/>
        <w:jc w:val="both"/>
        <w:rPr>
          <w:sz w:val="22"/>
          <w:szCs w:val="22"/>
        </w:rPr>
      </w:pPr>
      <w:r>
        <w:rPr>
          <w:color w:val="000000"/>
          <w:spacing w:val="0"/>
          <w:w w:val="100"/>
          <w:position w:val="0"/>
          <w:sz w:val="22"/>
          <w:szCs w:val="22"/>
          <w:shd w:val="clear" w:color="auto" w:fill="auto"/>
          <w:lang w:val="cs-CZ" w:eastAsia="cs-CZ" w:bidi="cs-CZ"/>
        </w:rPr>
        <w:t>Silnice 111/3913 v průtahu obce Heřmanov (okres ZR)</w:t>
      </w:r>
    </w:p>
    <w:p>
      <w:pPr>
        <w:pStyle w:val="Style2"/>
        <w:keepNext w:val="0"/>
        <w:keepLines w:val="0"/>
        <w:widowControl w:val="0"/>
        <w:numPr>
          <w:ilvl w:val="1"/>
          <w:numId w:val="1"/>
        </w:numPr>
        <w:shd w:val="clear" w:color="auto" w:fill="auto"/>
        <w:tabs>
          <w:tab w:pos="718" w:val="left"/>
        </w:tabs>
        <w:bidi w:val="0"/>
        <w:spacing w:before="0" w:after="100" w:line="240" w:lineRule="auto"/>
        <w:ind w:left="820" w:right="0" w:hanging="820"/>
        <w:jc w:val="both"/>
      </w:pPr>
      <w:r>
        <w:rPr>
          <w:color w:val="000000"/>
          <w:spacing w:val="0"/>
          <w:w w:val="100"/>
          <w:position w:val="0"/>
          <w:sz w:val="24"/>
          <w:szCs w:val="24"/>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7"/>
        </w:numPr>
        <w:shd w:val="clear" w:color="auto" w:fill="auto"/>
        <w:tabs>
          <w:tab w:pos="1546" w:val="left"/>
        </w:tabs>
        <w:bidi w:val="0"/>
        <w:spacing w:before="0" w:after="100" w:line="240" w:lineRule="auto"/>
        <w:ind w:left="1540" w:right="0" w:hanging="700"/>
        <w:jc w:val="both"/>
      </w:pPr>
      <w:r>
        <w:rPr>
          <w:color w:val="000000"/>
          <w:spacing w:val="0"/>
          <w:w w:val="100"/>
          <w:position w:val="0"/>
          <w:sz w:val="24"/>
          <w:szCs w:val="24"/>
          <w:shd w:val="clear" w:color="auto" w:fill="auto"/>
          <w:lang w:val="cs-CZ" w:eastAsia="cs-CZ" w:bidi="cs-CZ"/>
        </w:rPr>
        <w:t>dojde-li během realizace díla ke změně rozsahu a druhu prací na žádost objednatele,</w:t>
      </w:r>
    </w:p>
    <w:p>
      <w:pPr>
        <w:pStyle w:val="Style2"/>
        <w:keepNext w:val="0"/>
        <w:keepLines w:val="0"/>
        <w:widowControl w:val="0"/>
        <w:numPr>
          <w:ilvl w:val="0"/>
          <w:numId w:val="7"/>
        </w:numPr>
        <w:shd w:val="clear" w:color="auto" w:fill="auto"/>
        <w:tabs>
          <w:tab w:pos="1546" w:val="left"/>
        </w:tabs>
        <w:bidi w:val="0"/>
        <w:spacing w:before="0" w:after="100" w:line="240" w:lineRule="auto"/>
        <w:ind w:left="1540" w:right="0" w:hanging="700"/>
        <w:jc w:val="both"/>
      </w:pPr>
      <w:r>
        <w:rPr>
          <w:color w:val="000000"/>
          <w:spacing w:val="0"/>
          <w:w w:val="100"/>
          <w:position w:val="0"/>
          <w:sz w:val="24"/>
          <w:szCs w:val="24"/>
          <w:shd w:val="clear" w:color="auto" w:fill="auto"/>
          <w:lang w:val="cs-CZ" w:eastAsia="cs-CZ" w:bidi="cs-CZ"/>
        </w:rPr>
        <w:t>nebude-li moci zhotovitel plynule pokračovat v pracích z jakéhokoliv důvodu na straně objednatele,</w:t>
      </w:r>
    </w:p>
    <w:p>
      <w:pPr>
        <w:pStyle w:val="Style2"/>
        <w:keepNext w:val="0"/>
        <w:keepLines w:val="0"/>
        <w:widowControl w:val="0"/>
        <w:numPr>
          <w:ilvl w:val="0"/>
          <w:numId w:val="7"/>
        </w:numPr>
        <w:shd w:val="clear" w:color="auto" w:fill="auto"/>
        <w:tabs>
          <w:tab w:pos="1433"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dojde-li k opožděnému předání staveniště</w:t>
      </w:r>
    </w:p>
    <w:p>
      <w:pPr>
        <w:pStyle w:val="Style2"/>
        <w:keepNext w:val="0"/>
        <w:keepLines w:val="0"/>
        <w:widowControl w:val="0"/>
        <w:numPr>
          <w:ilvl w:val="1"/>
          <w:numId w:val="1"/>
        </w:numPr>
        <w:shd w:val="clear" w:color="auto" w:fill="auto"/>
        <w:tabs>
          <w:tab w:pos="711"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Plnění díla bude prováděno podle předem navzájem odsouhlaseného harmonogramu prací.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12"/>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Cena díla</w:t>
      </w:r>
      <w:bookmarkEnd w:id="14"/>
      <w:bookmarkEnd w:id="15"/>
    </w:p>
    <w:p>
      <w:pPr>
        <w:pStyle w:val="Style2"/>
        <w:keepNext w:val="0"/>
        <w:keepLines w:val="0"/>
        <w:widowControl w:val="0"/>
        <w:numPr>
          <w:ilvl w:val="0"/>
          <w:numId w:val="9"/>
        </w:numPr>
        <w:shd w:val="clear" w:color="auto" w:fill="auto"/>
        <w:tabs>
          <w:tab w:pos="71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dohodly na Ceně za provedení díla podle čl. 3 této smlouvy ve výši:</w:t>
      </w:r>
    </w:p>
    <w:p>
      <w:pPr>
        <w:pStyle w:val="Style2"/>
        <w:keepNext w:val="0"/>
        <w:keepLines w:val="0"/>
        <w:widowControl w:val="0"/>
        <w:shd w:val="clear" w:color="auto" w:fill="auto"/>
        <w:tabs>
          <w:tab w:pos="4454"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Cena bez DPH</w:t>
        <w:tab/>
        <w:t>1.157.693,14 Kč</w:t>
      </w:r>
    </w:p>
    <w:p>
      <w:pPr>
        <w:pStyle w:val="Style2"/>
        <w:keepNext w:val="0"/>
        <w:keepLines w:val="0"/>
        <w:widowControl w:val="0"/>
        <w:shd w:val="clear" w:color="auto" w:fill="auto"/>
        <w:tabs>
          <w:tab w:pos="4454"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DPH (21%)</w:t>
        <w:tab/>
        <w:t>243.115,56 Kč</w:t>
      </w:r>
    </w:p>
    <w:p>
      <w:pPr>
        <w:pStyle w:val="Style2"/>
        <w:keepNext w:val="0"/>
        <w:keepLines w:val="0"/>
        <w:widowControl w:val="0"/>
        <w:shd w:val="clear" w:color="auto" w:fill="auto"/>
        <w:tabs>
          <w:tab w:pos="4454" w:val="left"/>
        </w:tabs>
        <w:bidi w:val="0"/>
        <w:spacing w:before="0" w:line="240" w:lineRule="auto"/>
        <w:ind w:left="0" w:right="0" w:firstLine="720"/>
        <w:jc w:val="both"/>
      </w:pPr>
      <w:r>
        <w:rPr>
          <w:b/>
          <w:bCs/>
          <w:color w:val="000000"/>
          <w:spacing w:val="0"/>
          <w:w w:val="100"/>
          <w:position w:val="0"/>
          <w:sz w:val="24"/>
          <w:szCs w:val="24"/>
          <w:shd w:val="clear" w:color="auto" w:fill="auto"/>
          <w:lang w:val="cs-CZ" w:eastAsia="cs-CZ" w:bidi="cs-CZ"/>
        </w:rPr>
        <w:t>Cena celkem s DPH</w:t>
        <w:tab/>
        <w:t>1.400.808,70 Kč</w:t>
      </w:r>
    </w:p>
    <w:p>
      <w:pPr>
        <w:pStyle w:val="Style2"/>
        <w:keepNext w:val="0"/>
        <w:keepLines w:val="0"/>
        <w:widowControl w:val="0"/>
        <w:shd w:val="clear" w:color="auto" w:fill="auto"/>
        <w:bidi w:val="0"/>
        <w:spacing w:before="0" w:line="240" w:lineRule="auto"/>
        <w:ind w:left="720" w:right="0" w:firstLine="20"/>
        <w:jc w:val="both"/>
      </w:pPr>
      <w:r>
        <w:rPr>
          <w:color w:val="000000"/>
          <w:spacing w:val="0"/>
          <w:w w:val="100"/>
          <w:position w:val="0"/>
          <w:sz w:val="24"/>
          <w:szCs w:val="24"/>
          <w:shd w:val="clear" w:color="auto" w:fill="auto"/>
          <w:lang w:val="cs-CZ" w:eastAsia="cs-CZ" w:bidi="cs-CZ"/>
        </w:rPr>
        <w:t>Podrobná kalkulace Ceny díla včetně jednotkových cen (oceněný soupis stavebních prací, dodávek a služeb s výkazem výměr) je uvedena v příloze, která tvoří nedílnou součást této smlouvy.</w:t>
      </w:r>
    </w:p>
    <w:p>
      <w:pPr>
        <w:pStyle w:val="Style2"/>
        <w:keepNext w:val="0"/>
        <w:keepLines w:val="0"/>
        <w:widowControl w:val="0"/>
        <w:shd w:val="clear" w:color="auto" w:fill="auto"/>
        <w:bidi w:val="0"/>
        <w:spacing w:before="0" w:line="240" w:lineRule="auto"/>
        <w:ind w:left="720" w:right="0" w:firstLine="20"/>
        <w:jc w:val="both"/>
      </w:pPr>
      <w:r>
        <w:rPr>
          <w:color w:val="000000"/>
          <w:spacing w:val="0"/>
          <w:w w:val="100"/>
          <w:position w:val="0"/>
          <w:sz w:val="24"/>
          <w:szCs w:val="24"/>
          <w:shd w:val="clear" w:color="auto" w:fill="auto"/>
          <w:lang w:val="cs-CZ" w:eastAsia="cs-CZ" w:bidi="cs-CZ"/>
        </w:rPr>
        <w:t>V ceně jsou obsaženy všechny práce, dodávky a služby nutné k řádnému splnění díla včetně případných nákladů na další přípravné práce. Cena je dohodnuta jako cena maximální, nejvýše přípustná, pevná po celou dobu plnění.</w:t>
      </w:r>
    </w:p>
    <w:p>
      <w:pPr>
        <w:pStyle w:val="Style2"/>
        <w:keepNext w:val="0"/>
        <w:keepLines w:val="0"/>
        <w:widowControl w:val="0"/>
        <w:numPr>
          <w:ilvl w:val="0"/>
          <w:numId w:val="9"/>
        </w:numPr>
        <w:shd w:val="clear" w:color="auto" w:fill="auto"/>
        <w:tabs>
          <w:tab w:pos="711"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Cena zahrnuje použití materiálů ve standardním provedení od dodavatelů vybraných zhotovitelem. Tyto materiály musí odpovídat technickým normám platným pro tuto stavbu, viz čl. 3 bod 3.2 písmeno a) této smlouvy.</w:t>
      </w:r>
    </w:p>
    <w:p>
      <w:pPr>
        <w:pStyle w:val="Style2"/>
        <w:keepNext w:val="0"/>
        <w:keepLines w:val="0"/>
        <w:widowControl w:val="0"/>
        <w:numPr>
          <w:ilvl w:val="0"/>
          <w:numId w:val="9"/>
        </w:numPr>
        <w:shd w:val="clear" w:color="auto" w:fill="auto"/>
        <w:tabs>
          <w:tab w:pos="711"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rozumí cena včetně DPH (viz bod</w:t>
      </w:r>
    </w:p>
    <w:p>
      <w:pPr>
        <w:pStyle w:val="Style2"/>
        <w:keepNext w:val="0"/>
        <w:keepLines w:val="0"/>
        <w:widowControl w:val="0"/>
        <w:numPr>
          <w:ilvl w:val="0"/>
          <w:numId w:val="11"/>
        </w:numPr>
        <w:shd w:val="clear" w:color="auto" w:fill="auto"/>
        <w:tabs>
          <w:tab w:pos="1230" w:val="left"/>
          <w:tab w:pos="1433"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tohoto článku).</w:t>
      </w:r>
    </w:p>
    <w:p>
      <w:pPr>
        <w:pStyle w:val="Style2"/>
        <w:keepNext w:val="0"/>
        <w:keepLines w:val="0"/>
        <w:widowControl w:val="0"/>
        <w:numPr>
          <w:ilvl w:val="0"/>
          <w:numId w:val="9"/>
        </w:numPr>
        <w:shd w:val="clear" w:color="auto" w:fill="auto"/>
        <w:tabs>
          <w:tab w:pos="711"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9"/>
        </w:numPr>
        <w:shd w:val="clear" w:color="auto" w:fill="auto"/>
        <w:tabs>
          <w:tab w:pos="711"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9"/>
        </w:numPr>
        <w:shd w:val="clear" w:color="auto" w:fill="auto"/>
        <w:tabs>
          <w:tab w:pos="711"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Pokud v průběhu realizace díla dojde z nepředvídatelných důvodů ke změně rozsahu díla a nabídkové ceny,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1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Staveniště</w:t>
      </w:r>
      <w:bookmarkEnd w:id="16"/>
      <w:bookmarkEnd w:id="17"/>
    </w:p>
    <w:p>
      <w:pPr>
        <w:pStyle w:val="Style2"/>
        <w:keepNext w:val="0"/>
        <w:keepLines w:val="0"/>
        <w:widowControl w:val="0"/>
        <w:numPr>
          <w:ilvl w:val="1"/>
          <w:numId w:val="9"/>
        </w:numPr>
        <w:shd w:val="clear" w:color="auto" w:fill="auto"/>
        <w:tabs>
          <w:tab w:pos="711"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5 kalendářních dnů ode dne účinnosti této smlouvy, včetně volného </w:t>
      </w:r>
      <w:r>
        <w:rPr>
          <w:color w:val="000000"/>
          <w:spacing w:val="0"/>
          <w:w w:val="100"/>
          <w:position w:val="0"/>
          <w:sz w:val="24"/>
          <w:szCs w:val="24"/>
          <w:shd w:val="clear" w:color="auto" w:fill="auto"/>
          <w:lang w:val="cs-CZ" w:eastAsia="cs-CZ" w:bidi="cs-CZ"/>
        </w:rPr>
        <w:t>přístupu k jednotlivým objektům tak, aby zhotovitel mohl zahájit práce a plynule v nich pokračovat.</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12"/>
        <w:keepNext/>
        <w:keepLines/>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Provádění díla</w:t>
      </w:r>
      <w:bookmarkEnd w:id="18"/>
      <w:bookmarkEnd w:id="19"/>
    </w:p>
    <w:p>
      <w:pPr>
        <w:pStyle w:val="Style2"/>
        <w:keepNext w:val="0"/>
        <w:keepLines w:val="0"/>
        <w:widowControl w:val="0"/>
        <w:numPr>
          <w:ilvl w:val="0"/>
          <w:numId w:val="13"/>
        </w:numPr>
        <w:shd w:val="clear" w:color="auto" w:fill="auto"/>
        <w:tabs>
          <w:tab w:pos="70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Zhotovitel je povinen provést dílo v souladu s touto smlouvou a nabídkou zhotovitele.</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Objednatel je oprávněn kontrolovat provádění díla. ZjistMi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Denní záznamy budou vedeny v knize s očíslovanými listy jednak pevnými, jednak perforovanými pro dva oddělitelné průpisy. V deníku se vyznačí doklady, které se vjednom vyhotovení ukládají přímo na staveništi u stavbyvedoucího, popř. u technického dozoru.</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 později do 7 pracovních dnů v deníku s uvedením důvodů. Jinak se má za to, že s obsahem zápisu souhlasí.</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2"/>
        <w:keepNext w:val="0"/>
        <w:keepLines w:val="0"/>
        <w:widowControl w:val="0"/>
        <w:numPr>
          <w:ilvl w:val="0"/>
          <w:numId w:val="13"/>
        </w:numPr>
        <w:shd w:val="clear" w:color="auto" w:fill="auto"/>
        <w:tabs>
          <w:tab w:pos="702"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2"/>
        <w:keepNext w:val="0"/>
        <w:keepLines w:val="0"/>
        <w:widowControl w:val="0"/>
        <w:numPr>
          <w:ilvl w:val="0"/>
          <w:numId w:val="13"/>
        </w:numPr>
        <w:shd w:val="clear" w:color="auto" w:fill="auto"/>
        <w:tabs>
          <w:tab w:pos="703"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Zhotovitel vyzve objednatele prokazatelně nejméně 3 pracovní dny předem k prověření kvality prácí, které budou dalším postupem prací zakryty. V případě, že se na tuto výzvu objednatel bez závažných důvodů nedostaví, může zhotovitel pokračovat v provádění díla, po předchozím písemném upozornění objednatele.</w:t>
      </w:r>
    </w:p>
    <w:p>
      <w:pPr>
        <w:pStyle w:val="Style2"/>
        <w:keepNext w:val="0"/>
        <w:keepLines w:val="0"/>
        <w:widowControl w:val="0"/>
        <w:numPr>
          <w:ilvl w:val="0"/>
          <w:numId w:val="13"/>
        </w:numPr>
        <w:shd w:val="clear" w:color="auto" w:fill="auto"/>
        <w:tabs>
          <w:tab w:pos="703"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2"/>
        <w:keepNext w:val="0"/>
        <w:keepLines w:val="0"/>
        <w:widowControl w:val="0"/>
        <w:numPr>
          <w:ilvl w:val="0"/>
          <w:numId w:val="13"/>
        </w:numPr>
        <w:shd w:val="clear" w:color="auto" w:fill="auto"/>
        <w:tabs>
          <w:tab w:pos="703"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Zhotovitel se zavazuje, že přebírá veškeré závazky vyplývající z jeho činnosti vůči zákonu o životním prostředí a při nakládání se všemi odpady vzniklými při realizaci díla se bude řídit příslušnými ustanoveními zákona č. 185/2001 Sb. o odpadech a o změně některých dalších zákonů a ustanoveními vyhlášek MŽP č. 93/2016 Sb. a 383/2001 Sb.</w:t>
      </w:r>
    </w:p>
    <w:p>
      <w:pPr>
        <w:pStyle w:val="Style2"/>
        <w:keepNext w:val="0"/>
        <w:keepLines w:val="0"/>
        <w:widowControl w:val="0"/>
        <w:numPr>
          <w:ilvl w:val="0"/>
          <w:numId w:val="13"/>
        </w:numPr>
        <w:shd w:val="clear" w:color="auto" w:fill="auto"/>
        <w:tabs>
          <w:tab w:pos="70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Bezpečnost práce na staveništi:</w:t>
      </w:r>
    </w:p>
    <w:p>
      <w:pPr>
        <w:pStyle w:val="Style2"/>
        <w:keepNext w:val="0"/>
        <w:keepLines w:val="0"/>
        <w:widowControl w:val="0"/>
        <w:numPr>
          <w:ilvl w:val="0"/>
          <w:numId w:val="15"/>
        </w:numPr>
        <w:shd w:val="clear" w:color="auto" w:fill="auto"/>
        <w:tabs>
          <w:tab w:pos="1441" w:val="left"/>
        </w:tabs>
        <w:bidi w:val="0"/>
        <w:spacing w:before="0" w:after="100" w:line="240" w:lineRule="auto"/>
        <w:ind w:left="1440" w:right="0" w:hanging="700"/>
        <w:jc w:val="both"/>
      </w:pPr>
      <w:r>
        <w:rPr>
          <w:color w:val="000000"/>
          <w:spacing w:val="0"/>
          <w:w w:val="100"/>
          <w:position w:val="0"/>
          <w:sz w:val="24"/>
          <w:szCs w:val="24"/>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2"/>
        <w:keepNext w:val="0"/>
        <w:keepLines w:val="0"/>
        <w:widowControl w:val="0"/>
        <w:numPr>
          <w:ilvl w:val="0"/>
          <w:numId w:val="15"/>
        </w:numPr>
        <w:shd w:val="clear" w:color="auto" w:fill="auto"/>
        <w:tabs>
          <w:tab w:pos="1441" w:val="left"/>
        </w:tabs>
        <w:bidi w:val="0"/>
        <w:spacing w:before="0" w:after="100" w:line="240" w:lineRule="auto"/>
        <w:ind w:left="1440" w:right="0" w:hanging="700"/>
        <w:jc w:val="both"/>
      </w:pPr>
      <w:r>
        <w:rPr>
          <w:color w:val="000000"/>
          <w:spacing w:val="0"/>
          <w:w w:val="100"/>
          <w:position w:val="0"/>
          <w:sz w:val="24"/>
          <w:szCs w:val="24"/>
          <w:shd w:val="clear" w:color="auto" w:fill="auto"/>
          <w:lang w:val="cs-CZ" w:eastAsia="cs-CZ" w:bidi="cs-CZ"/>
        </w:rPr>
        <w:t>zhotovitel v plné míře odpovídá za bezpečnost a ochranu zdraví všech lidí, které se s jeho vědomím zdržují na staveništi a je povinen zabezpečit jejich vybavení ochrannými pracovními pomůckami;</w:t>
      </w:r>
    </w:p>
    <w:p>
      <w:pPr>
        <w:pStyle w:val="Style2"/>
        <w:keepNext w:val="0"/>
        <w:keepLines w:val="0"/>
        <w:widowControl w:val="0"/>
        <w:numPr>
          <w:ilvl w:val="0"/>
          <w:numId w:val="15"/>
        </w:numPr>
        <w:shd w:val="clear" w:color="auto" w:fill="auto"/>
        <w:tabs>
          <w:tab w:pos="1441" w:val="left"/>
        </w:tabs>
        <w:bidi w:val="0"/>
        <w:spacing w:before="0" w:after="100" w:line="240" w:lineRule="auto"/>
        <w:ind w:left="1440" w:right="0" w:hanging="700"/>
        <w:jc w:val="both"/>
      </w:pPr>
      <w:r>
        <w:rPr>
          <w:color w:val="000000"/>
          <w:spacing w:val="0"/>
          <w:w w:val="100"/>
          <w:position w:val="0"/>
          <w:sz w:val="24"/>
          <w:szCs w:val="24"/>
          <w:shd w:val="clear" w:color="auto" w:fill="auto"/>
          <w:lang w:val="cs-CZ" w:eastAsia="cs-CZ" w:bidi="cs-CZ"/>
        </w:rPr>
        <w:t>pracovníci objednatele a technického dozoru musejí být zhotovitelem proškoleni o bezpečnosti a pohybu na staveništi,</w:t>
      </w:r>
    </w:p>
    <w:p>
      <w:pPr>
        <w:pStyle w:val="Style2"/>
        <w:keepNext w:val="0"/>
        <w:keepLines w:val="0"/>
        <w:widowControl w:val="0"/>
        <w:numPr>
          <w:ilvl w:val="0"/>
          <w:numId w:val="15"/>
        </w:numPr>
        <w:shd w:val="clear" w:color="auto" w:fill="auto"/>
        <w:tabs>
          <w:tab w:pos="1441" w:val="left"/>
        </w:tabs>
        <w:bidi w:val="0"/>
        <w:spacing w:before="0" w:after="100" w:line="240" w:lineRule="auto"/>
        <w:ind w:left="1440" w:right="0" w:hanging="700"/>
        <w:jc w:val="both"/>
      </w:pPr>
      <w:r>
        <w:rPr>
          <w:color w:val="000000"/>
          <w:spacing w:val="0"/>
          <w:w w:val="100"/>
          <w:position w:val="0"/>
          <w:sz w:val="24"/>
          <w:szCs w:val="24"/>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15"/>
        </w:numPr>
        <w:shd w:val="clear" w:color="auto" w:fill="auto"/>
        <w:tabs>
          <w:tab w:pos="1441" w:val="left"/>
        </w:tabs>
        <w:bidi w:val="0"/>
        <w:spacing w:before="0" w:after="100" w:line="240" w:lineRule="auto"/>
        <w:ind w:left="1440" w:right="0" w:hanging="700"/>
        <w:jc w:val="both"/>
      </w:pPr>
      <w:r>
        <w:rPr>
          <w:color w:val="000000"/>
          <w:spacing w:val="0"/>
          <w:w w:val="100"/>
          <w:position w:val="0"/>
          <w:sz w:val="24"/>
          <w:szCs w:val="24"/>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 309/2006 Sb., v platném znění. Zhotovitel je povinen poskytnout koordinátorovi BOZP, plnou součinnost.</w:t>
      </w:r>
    </w:p>
    <w:p>
      <w:pPr>
        <w:pStyle w:val="Style2"/>
        <w:keepNext w:val="0"/>
        <w:keepLines w:val="0"/>
        <w:widowControl w:val="0"/>
        <w:numPr>
          <w:ilvl w:val="0"/>
          <w:numId w:val="13"/>
        </w:numPr>
        <w:shd w:val="clear" w:color="auto" w:fill="auto"/>
        <w:tabs>
          <w:tab w:pos="703"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O vyklizení staveniště smluvní strany sepíší a podepíší na závěr protokol.</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12"/>
        <w:keepNext/>
        <w:keepLines/>
        <w:widowControl w:val="0"/>
        <w:shd w:val="clear" w:color="auto" w:fill="auto"/>
        <w:bidi w:val="0"/>
        <w:spacing w:before="0" w:after="10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Kvalita díla</w:t>
      </w:r>
      <w:bookmarkEnd w:id="20"/>
      <w:bookmarkEnd w:id="21"/>
    </w:p>
    <w:p>
      <w:pPr>
        <w:pStyle w:val="Style2"/>
        <w:keepNext w:val="0"/>
        <w:keepLines w:val="0"/>
        <w:widowControl w:val="0"/>
        <w:numPr>
          <w:ilvl w:val="0"/>
          <w:numId w:val="17"/>
        </w:numPr>
        <w:shd w:val="clear" w:color="auto" w:fill="auto"/>
        <w:tabs>
          <w:tab w:pos="703" w:val="left"/>
        </w:tabs>
        <w:bidi w:val="0"/>
        <w:spacing w:before="0" w:after="100" w:line="240" w:lineRule="auto"/>
        <w:ind w:left="720" w:right="0" w:hanging="720"/>
        <w:jc w:val="both"/>
      </w:pPr>
      <w:r>
        <w:rPr>
          <w:color w:val="000000"/>
          <w:spacing w:val="0"/>
          <w:w w:val="100"/>
          <w:position w:val="0"/>
          <w:sz w:val="24"/>
          <w:szCs w:val="24"/>
          <w:shd w:val="clear" w:color="auto" w:fill="auto"/>
          <w:lang w:val="cs-CZ" w:eastAsia="cs-CZ" w:bidi="cs-CZ"/>
        </w:rPr>
        <w:t>Zhotovitel se zavazuje, že vlastnosti zhotoveného a předávaného díla budou ve shodě s požadavky:</w:t>
      </w:r>
    </w:p>
    <w:p>
      <w:pPr>
        <w:pStyle w:val="Style2"/>
        <w:keepNext w:val="0"/>
        <w:keepLines w:val="0"/>
        <w:widowControl w:val="0"/>
        <w:numPr>
          <w:ilvl w:val="0"/>
          <w:numId w:val="19"/>
        </w:numPr>
        <w:shd w:val="clear" w:color="auto" w:fill="auto"/>
        <w:tabs>
          <w:tab w:pos="1441" w:val="left"/>
        </w:tabs>
        <w:bidi w:val="0"/>
        <w:spacing w:before="0" w:after="100" w:line="240" w:lineRule="auto"/>
        <w:ind w:left="0" w:right="0" w:firstLine="720"/>
        <w:jc w:val="both"/>
      </w:pPr>
      <w:r>
        <w:rPr>
          <w:color w:val="000000"/>
          <w:spacing w:val="0"/>
          <w:w w:val="100"/>
          <w:position w:val="0"/>
          <w:sz w:val="24"/>
          <w:szCs w:val="24"/>
          <w:shd w:val="clear" w:color="auto" w:fill="auto"/>
          <w:lang w:val="cs-CZ" w:eastAsia="cs-CZ" w:bidi="cs-CZ"/>
        </w:rPr>
        <w:t>platných právních předpisů,</w:t>
      </w:r>
    </w:p>
    <w:p>
      <w:pPr>
        <w:pStyle w:val="Style2"/>
        <w:keepNext w:val="0"/>
        <w:keepLines w:val="0"/>
        <w:widowControl w:val="0"/>
        <w:numPr>
          <w:ilvl w:val="0"/>
          <w:numId w:val="19"/>
        </w:numPr>
        <w:shd w:val="clear" w:color="auto" w:fill="auto"/>
        <w:tabs>
          <w:tab w:pos="1441" w:val="left"/>
        </w:tabs>
        <w:bidi w:val="0"/>
        <w:spacing w:before="0" w:after="100" w:line="240" w:lineRule="auto"/>
        <w:ind w:left="0" w:right="0" w:firstLine="720"/>
        <w:jc w:val="both"/>
      </w:pPr>
      <w:r>
        <w:rPr>
          <w:color w:val="000000"/>
          <w:spacing w:val="0"/>
          <w:w w:val="100"/>
          <w:position w:val="0"/>
          <w:sz w:val="24"/>
          <w:szCs w:val="24"/>
          <w:shd w:val="clear" w:color="auto" w:fill="auto"/>
          <w:lang w:val="cs-CZ" w:eastAsia="cs-CZ" w:bidi="cs-CZ"/>
        </w:rPr>
        <w:t>této smlouvy (včetně souvisejících dokumentů souboru smluvních dohod),</w:t>
      </w:r>
    </w:p>
    <w:p>
      <w:pPr>
        <w:pStyle w:val="Style2"/>
        <w:keepNext w:val="0"/>
        <w:keepLines w:val="0"/>
        <w:widowControl w:val="0"/>
        <w:numPr>
          <w:ilvl w:val="0"/>
          <w:numId w:val="19"/>
        </w:numPr>
        <w:shd w:val="clear" w:color="auto" w:fill="auto"/>
        <w:tabs>
          <w:tab w:pos="1441" w:val="left"/>
        </w:tabs>
        <w:bidi w:val="0"/>
        <w:spacing w:before="0" w:after="100" w:line="240" w:lineRule="auto"/>
        <w:ind w:left="0" w:right="0" w:firstLine="720"/>
        <w:jc w:val="both"/>
      </w:pPr>
      <w:r>
        <w:rPr>
          <w:color w:val="000000"/>
          <w:spacing w:val="0"/>
          <w:w w:val="100"/>
          <w:position w:val="0"/>
          <w:sz w:val="24"/>
          <w:szCs w:val="24"/>
          <w:shd w:val="clear" w:color="auto" w:fill="auto"/>
          <w:lang w:val="cs-CZ" w:eastAsia="cs-CZ" w:bidi="cs-CZ"/>
        </w:rPr>
        <w:t>platných českých nebo převzatých evropských technických norem.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1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Předání díla</w:t>
      </w:r>
      <w:bookmarkEnd w:id="22"/>
      <w:bookmarkEnd w:id="23"/>
    </w:p>
    <w:p>
      <w:pPr>
        <w:pStyle w:val="Style2"/>
        <w:keepNext w:val="0"/>
        <w:keepLines w:val="0"/>
        <w:widowControl w:val="0"/>
        <w:numPr>
          <w:ilvl w:val="0"/>
          <w:numId w:val="21"/>
        </w:numPr>
        <w:shd w:val="clear" w:color="auto" w:fill="auto"/>
        <w:tabs>
          <w:tab w:pos="595" w:val="left"/>
        </w:tabs>
        <w:bidi w:val="0"/>
        <w:spacing w:before="0" w:after="500" w:line="240" w:lineRule="auto"/>
        <w:ind w:left="580" w:right="0" w:hanging="5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Subdodavatelé</w:t>
      </w:r>
      <w:bookmarkEnd w:id="24"/>
      <w:bookmarkEnd w:id="25"/>
    </w:p>
    <w:p>
      <w:pPr>
        <w:pStyle w:val="Style2"/>
        <w:keepNext w:val="0"/>
        <w:keepLines w:val="0"/>
        <w:widowControl w:val="0"/>
        <w:numPr>
          <w:ilvl w:val="0"/>
          <w:numId w:val="23"/>
        </w:numPr>
        <w:shd w:val="clear" w:color="auto" w:fill="auto"/>
        <w:tabs>
          <w:tab w:pos="598"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se zavazuje, že části předmětu plnění, které budou plněny subdodavateli, budou provedeny v souladu se všemi podmínkami smlouvy.</w:t>
      </w:r>
    </w:p>
    <w:p>
      <w:pPr>
        <w:pStyle w:val="Style2"/>
        <w:keepNext w:val="0"/>
        <w:keepLines w:val="0"/>
        <w:widowControl w:val="0"/>
        <w:numPr>
          <w:ilvl w:val="0"/>
          <w:numId w:val="23"/>
        </w:numPr>
        <w:shd w:val="clear" w:color="auto" w:fill="auto"/>
        <w:tabs>
          <w:tab w:pos="59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prohlašuje, že nepředá stavbu jako celek jinému zhotoviteli.</w:t>
      </w:r>
    </w:p>
    <w:p>
      <w:pPr>
        <w:pStyle w:val="Style2"/>
        <w:keepNext w:val="0"/>
        <w:keepLines w:val="0"/>
        <w:widowControl w:val="0"/>
        <w:numPr>
          <w:ilvl w:val="0"/>
          <w:numId w:val="23"/>
        </w:numPr>
        <w:shd w:val="clear" w:color="auto" w:fill="auto"/>
        <w:tabs>
          <w:tab w:pos="605" w:val="left"/>
        </w:tabs>
        <w:bidi w:val="0"/>
        <w:spacing w:before="0" w:after="500" w:line="240" w:lineRule="auto"/>
        <w:ind w:left="740" w:right="0" w:hanging="740"/>
        <w:jc w:val="both"/>
      </w:pPr>
      <w:r>
        <w:rPr>
          <w:color w:val="000000"/>
          <w:spacing w:val="0"/>
          <w:w w:val="100"/>
          <w:position w:val="0"/>
          <w:sz w:val="24"/>
          <w:szCs w:val="24"/>
          <w:shd w:val="clear" w:color="auto" w:fill="auto"/>
          <w:lang w:val="cs-CZ" w:eastAsia="cs-CZ" w:bidi="cs-CZ"/>
        </w:rPr>
        <w:t>Subdodavatelé, kteří se budou na provedení díla podílet a nebyli uvedeni v nabídce zhotovitele, musí být objednatelem předem odsouhlaseni.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11</w:t>
      </w:r>
    </w:p>
    <w:p>
      <w:pPr>
        <w:pStyle w:val="Style12"/>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Platební a fakturační podmínky</w:t>
      </w:r>
      <w:bookmarkEnd w:id="26"/>
      <w:bookmarkEnd w:id="27"/>
    </w:p>
    <w:p>
      <w:pPr>
        <w:pStyle w:val="Style2"/>
        <w:keepNext w:val="0"/>
        <w:keepLines w:val="0"/>
        <w:widowControl w:val="0"/>
        <w:numPr>
          <w:ilvl w:val="0"/>
          <w:numId w:val="25"/>
        </w:numPr>
        <w:shd w:val="clear" w:color="auto" w:fill="auto"/>
        <w:tabs>
          <w:tab w:pos="60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z w:val="24"/>
          <w:szCs w:val="24"/>
          <w:shd w:val="clear" w:color="auto" w:fill="auto"/>
          <w:lang w:val="cs-CZ" w:eastAsia="cs-CZ" w:bidi="cs-CZ"/>
        </w:rPr>
        <w:t xml:space="preserve">30 dnů </w:t>
      </w:r>
      <w:r>
        <w:rPr>
          <w:color w:val="000000"/>
          <w:spacing w:val="0"/>
          <w:w w:val="100"/>
          <w:position w:val="0"/>
          <w:sz w:val="24"/>
          <w:szCs w:val="24"/>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2"/>
        <w:keepNext w:val="0"/>
        <w:keepLines w:val="0"/>
        <w:widowControl w:val="0"/>
        <w:numPr>
          <w:ilvl w:val="0"/>
          <w:numId w:val="25"/>
        </w:numPr>
        <w:shd w:val="clear" w:color="auto" w:fill="auto"/>
        <w:tabs>
          <w:tab w:pos="60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2"/>
        <w:keepNext w:val="0"/>
        <w:keepLines w:val="0"/>
        <w:widowControl w:val="0"/>
        <w:numPr>
          <w:ilvl w:val="0"/>
          <w:numId w:val="25"/>
        </w:numPr>
        <w:shd w:val="clear" w:color="auto" w:fill="auto"/>
        <w:tabs>
          <w:tab w:pos="605"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nebude zhotoviteli poskytovat zálohy.</w:t>
      </w:r>
    </w:p>
    <w:p>
      <w:pPr>
        <w:pStyle w:val="Style2"/>
        <w:keepNext w:val="0"/>
        <w:keepLines w:val="0"/>
        <w:widowControl w:val="0"/>
        <w:numPr>
          <w:ilvl w:val="0"/>
          <w:numId w:val="25"/>
        </w:numPr>
        <w:shd w:val="clear" w:color="auto" w:fill="auto"/>
        <w:tabs>
          <w:tab w:pos="60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odst. 2 písm. c) zákona č. 235/2004 Sb., o dani z přidané hodnoty, ve znění pozdějších předpisů (dále zákon o DPH).</w:t>
      </w:r>
    </w:p>
    <w:p>
      <w:pPr>
        <w:pStyle w:val="Style2"/>
        <w:keepNext w:val="0"/>
        <w:keepLines w:val="0"/>
        <w:widowControl w:val="0"/>
        <w:numPr>
          <w:ilvl w:val="0"/>
          <w:numId w:val="25"/>
        </w:numPr>
        <w:shd w:val="clear" w:color="auto" w:fill="auto"/>
        <w:tabs>
          <w:tab w:pos="60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Provedení stavebních prací, uvedených v číselníku klasifikace produkce CZ-CPA kód 41 až 43, dle této smlouvy je pro objednatele uskutečňováno v rámci jeho hlavní činnosti, která nepodléhá DPH. Režim přenesené daňové povinnosti se na práce dle této smlouvy nevztahuje.</w:t>
      </w:r>
    </w:p>
    <w:p>
      <w:pPr>
        <w:pStyle w:val="Style2"/>
        <w:keepNext w:val="0"/>
        <w:keepLines w:val="0"/>
        <w:widowControl w:val="0"/>
        <w:numPr>
          <w:ilvl w:val="0"/>
          <w:numId w:val="25"/>
        </w:numPr>
        <w:shd w:val="clear" w:color="auto" w:fill="auto"/>
        <w:tabs>
          <w:tab w:pos="60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Pokud se po dobu účinnosti této smlouvy zhotovitel stane nespolehlivým plátcem ve smyslu ustanovení § 106a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Odpovědnost za vady díla a záruka za jakost</w:t>
      </w:r>
    </w:p>
    <w:p>
      <w:pPr>
        <w:pStyle w:val="Style2"/>
        <w:keepNext w:val="0"/>
        <w:keepLines w:val="0"/>
        <w:widowControl w:val="0"/>
        <w:numPr>
          <w:ilvl w:val="0"/>
          <w:numId w:val="27"/>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poskytne na dílo, které je předmětem této smlouvy, záruku v délce </w:t>
      </w:r>
      <w:r>
        <w:rPr>
          <w:b/>
          <w:bCs/>
          <w:color w:val="000000"/>
          <w:spacing w:val="0"/>
          <w:w w:val="100"/>
          <w:position w:val="0"/>
          <w:sz w:val="24"/>
          <w:szCs w:val="24"/>
          <w:shd w:val="clear" w:color="auto" w:fill="auto"/>
          <w:lang w:val="cs-CZ" w:eastAsia="cs-CZ" w:bidi="cs-CZ"/>
        </w:rPr>
        <w:t xml:space="preserve">60 měsíců </w:t>
      </w:r>
      <w:r>
        <w:rPr>
          <w:color w:val="000000"/>
          <w:spacing w:val="0"/>
          <w:w w:val="100"/>
          <w:position w:val="0"/>
          <w:sz w:val="24"/>
          <w:szCs w:val="24"/>
          <w:shd w:val="clear" w:color="auto" w:fill="auto"/>
          <w:lang w:val="cs-CZ" w:eastAsia="cs-CZ" w:bidi="cs-CZ"/>
        </w:rPr>
        <w:t>ode dne podepsání písemného protokolu o předání a převzetí díla bez vad.</w:t>
      </w:r>
    </w:p>
    <w:p>
      <w:pPr>
        <w:pStyle w:val="Style2"/>
        <w:keepNext w:val="0"/>
        <w:keepLines w:val="0"/>
        <w:widowControl w:val="0"/>
        <w:numPr>
          <w:ilvl w:val="0"/>
          <w:numId w:val="27"/>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Záruka spočívá v tom, že po dobu záruční íhůty bude mít dílo vlastnosti stanovené projektem nebo ČSN a TKP s přihlédnutím k běžnému opotřebení a že zhotovitel bezplatně odstraní všechny vady vytknuté při reklamačním řízení.</w:t>
      </w:r>
    </w:p>
    <w:p>
      <w:pPr>
        <w:pStyle w:val="Style2"/>
        <w:keepNext w:val="0"/>
        <w:keepLines w:val="0"/>
        <w:widowControl w:val="0"/>
        <w:numPr>
          <w:ilvl w:val="0"/>
          <w:numId w:val="27"/>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Veškeré vady na provádění díla zjištěné objednatelem budou písemně oznámeny zhotoviteli ihned, nejpozději do 7 dnů od zjištění vady. Zhotovitel je povinen vady bezúplatně odstranit.</w:t>
      </w:r>
    </w:p>
    <w:p>
      <w:pPr>
        <w:pStyle w:val="Style2"/>
        <w:keepNext w:val="0"/>
        <w:keepLines w:val="0"/>
        <w:widowControl w:val="0"/>
        <w:numPr>
          <w:ilvl w:val="0"/>
          <w:numId w:val="27"/>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2"/>
        <w:keepNext w:val="0"/>
        <w:keepLines w:val="0"/>
        <w:widowControl w:val="0"/>
        <w:numPr>
          <w:ilvl w:val="0"/>
          <w:numId w:val="27"/>
        </w:numPr>
        <w:shd w:val="clear" w:color="auto" w:fill="auto"/>
        <w:tabs>
          <w:tab w:pos="65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dobu nástupu a odstranění reklamovaných vad se pozastavuje běh záruční doby.</w:t>
      </w:r>
    </w:p>
    <w:p>
      <w:pPr>
        <w:pStyle w:val="Style2"/>
        <w:keepNext w:val="0"/>
        <w:keepLines w:val="0"/>
        <w:widowControl w:val="0"/>
        <w:numPr>
          <w:ilvl w:val="0"/>
          <w:numId w:val="27"/>
        </w:numPr>
        <w:shd w:val="clear" w:color="auto" w:fill="auto"/>
        <w:tabs>
          <w:tab w:pos="654"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Zhotovitel neručí za škody vzniklé na provedeném díle v důsledku prací, které neprováděl.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13</w:t>
      </w:r>
    </w:p>
    <w:p>
      <w:pPr>
        <w:pStyle w:val="Style12"/>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z w:val="24"/>
          <w:szCs w:val="24"/>
          <w:shd w:val="clear" w:color="auto" w:fill="auto"/>
          <w:lang w:val="cs-CZ" w:eastAsia="cs-CZ" w:bidi="cs-CZ"/>
        </w:rPr>
        <w:t>Smluvní pokuty</w:t>
      </w:r>
      <w:bookmarkEnd w:id="28"/>
      <w:bookmarkEnd w:id="29"/>
    </w:p>
    <w:p>
      <w:pPr>
        <w:pStyle w:val="Style2"/>
        <w:keepNext w:val="0"/>
        <w:keepLines w:val="0"/>
        <w:widowControl w:val="0"/>
        <w:numPr>
          <w:ilvl w:val="0"/>
          <w:numId w:val="29"/>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je povinen zaplatit objednateli smluvní pokutu za prodlení s termínem dokončení plnění ve výši 0,2 % z celkového finančního objemu plnění za každý i započatý den prodlení.</w:t>
      </w:r>
    </w:p>
    <w:p>
      <w:pPr>
        <w:pStyle w:val="Style2"/>
        <w:keepNext w:val="0"/>
        <w:keepLines w:val="0"/>
        <w:widowControl w:val="0"/>
        <w:numPr>
          <w:ilvl w:val="0"/>
          <w:numId w:val="29"/>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1000,00 KČ bez DPH </w:t>
      </w:r>
      <w:r>
        <w:rPr>
          <w:color w:val="000000"/>
          <w:spacing w:val="0"/>
          <w:w w:val="100"/>
          <w:position w:val="0"/>
          <w:sz w:val="24"/>
          <w:szCs w:val="24"/>
          <w:shd w:val="clear" w:color="auto" w:fill="auto"/>
          <w:lang w:val="cs-CZ" w:eastAsia="cs-CZ" w:bidi="cs-CZ"/>
        </w:rPr>
        <w:t>za každý i započatý den prodlení.</w:t>
      </w:r>
    </w:p>
    <w:p>
      <w:pPr>
        <w:pStyle w:val="Style2"/>
        <w:keepNext w:val="0"/>
        <w:keepLines w:val="0"/>
        <w:widowControl w:val="0"/>
        <w:numPr>
          <w:ilvl w:val="0"/>
          <w:numId w:val="29"/>
        </w:numPr>
        <w:shd w:val="clear" w:color="auto" w:fill="auto"/>
        <w:tabs>
          <w:tab w:pos="65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Objednatel je povinen zaplatit zhotoviteli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fakturované částky za každý i započatý den prodlení se zaplacením faktury.</w:t>
      </w:r>
    </w:p>
    <w:p>
      <w:pPr>
        <w:pStyle w:val="Style2"/>
        <w:keepNext w:val="0"/>
        <w:keepLines w:val="0"/>
        <w:widowControl w:val="0"/>
        <w:numPr>
          <w:ilvl w:val="0"/>
          <w:numId w:val="29"/>
        </w:numPr>
        <w:shd w:val="clear" w:color="auto" w:fill="auto"/>
        <w:tabs>
          <w:tab w:pos="65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Uhrazením smluvní pokuty není dotčeno právo na náhradu škody.</w:t>
      </w:r>
    </w:p>
    <w:p>
      <w:pPr>
        <w:pStyle w:val="Style2"/>
        <w:keepNext w:val="0"/>
        <w:keepLines w:val="0"/>
        <w:widowControl w:val="0"/>
        <w:numPr>
          <w:ilvl w:val="0"/>
          <w:numId w:val="29"/>
        </w:numPr>
        <w:shd w:val="clear" w:color="auto" w:fill="auto"/>
        <w:tabs>
          <w:tab w:pos="654"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14</w:t>
      </w:r>
    </w:p>
    <w:p>
      <w:pPr>
        <w:pStyle w:val="Style12"/>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z w:val="24"/>
          <w:szCs w:val="24"/>
          <w:shd w:val="clear" w:color="auto" w:fill="auto"/>
          <w:lang w:val="cs-CZ" w:eastAsia="cs-CZ" w:bidi="cs-CZ"/>
        </w:rPr>
        <w:t>Pojištění zhotovitele</w:t>
      </w:r>
      <w:bookmarkEnd w:id="30"/>
      <w:bookmarkEnd w:id="31"/>
    </w:p>
    <w:p>
      <w:pPr>
        <w:pStyle w:val="Style2"/>
        <w:keepNext w:val="0"/>
        <w:keepLines w:val="0"/>
        <w:widowControl w:val="0"/>
        <w:numPr>
          <w:ilvl w:val="0"/>
          <w:numId w:val="31"/>
        </w:numPr>
        <w:shd w:val="clear" w:color="auto" w:fill="auto"/>
        <w:tabs>
          <w:tab w:pos="646" w:val="left"/>
        </w:tabs>
        <w:bidi w:val="0"/>
        <w:spacing w:before="0" w:line="240" w:lineRule="auto"/>
        <w:ind w:left="700" w:right="0" w:hanging="700"/>
        <w:jc w:val="both"/>
      </w:pPr>
      <w:r>
        <w:rPr>
          <w:color w:val="000000"/>
          <w:spacing w:val="0"/>
          <w:w w:val="100"/>
          <w:position w:val="0"/>
          <w:sz w:val="24"/>
          <w:szCs w:val="24"/>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minimální </w:t>
      </w:r>
      <w:r>
        <w:rPr>
          <w:b/>
          <w:bCs/>
          <w:color w:val="000000"/>
          <w:spacing w:val="0"/>
          <w:w w:val="100"/>
          <w:position w:val="0"/>
          <w:sz w:val="24"/>
          <w:szCs w:val="24"/>
          <w:shd w:val="clear" w:color="auto" w:fill="auto"/>
          <w:lang w:val="cs-CZ" w:eastAsia="cs-CZ" w:bidi="cs-CZ"/>
        </w:rPr>
        <w:t xml:space="preserve">1.500.000,00 Kč </w:t>
      </w:r>
      <w:r>
        <w:rPr>
          <w:color w:val="000000"/>
          <w:spacing w:val="0"/>
          <w:w w:val="100"/>
          <w:position w:val="0"/>
          <w:sz w:val="24"/>
          <w:szCs w:val="24"/>
          <w:shd w:val="clear" w:color="auto" w:fill="auto"/>
          <w:lang w:val="cs-CZ" w:eastAsia="cs-CZ" w:bidi="cs-CZ"/>
        </w:rPr>
        <w:t>a možným rizikům ve vztahu k charakteru stavby a jejímu okolí. Pojištění kryje škody na věcech a na zdraví:</w:t>
      </w:r>
    </w:p>
    <w:p>
      <w:pPr>
        <w:pStyle w:val="Style2"/>
        <w:keepNext w:val="0"/>
        <w:keepLines w:val="0"/>
        <w:widowControl w:val="0"/>
        <w:numPr>
          <w:ilvl w:val="0"/>
          <w:numId w:val="33"/>
        </w:numPr>
        <w:shd w:val="clear" w:color="auto" w:fill="auto"/>
        <w:tabs>
          <w:tab w:pos="1425" w:val="left"/>
        </w:tabs>
        <w:bidi w:val="0"/>
        <w:spacing w:before="0" w:line="240" w:lineRule="auto"/>
        <w:ind w:left="0" w:right="0" w:firstLine="700"/>
        <w:jc w:val="both"/>
      </w:pPr>
      <w:r>
        <w:rPr>
          <w:color w:val="000000"/>
          <w:spacing w:val="0"/>
          <w:w w:val="100"/>
          <w:position w:val="0"/>
          <w:sz w:val="24"/>
          <w:szCs w:val="24"/>
          <w:shd w:val="clear" w:color="auto" w:fill="auto"/>
          <w:lang w:val="cs-CZ" w:eastAsia="cs-CZ" w:bidi="cs-CZ"/>
        </w:rPr>
        <w:t>způsobené provozní činností,</w:t>
      </w:r>
    </w:p>
    <w:p>
      <w:pPr>
        <w:pStyle w:val="Style2"/>
        <w:keepNext w:val="0"/>
        <w:keepLines w:val="0"/>
        <w:widowControl w:val="0"/>
        <w:numPr>
          <w:ilvl w:val="0"/>
          <w:numId w:val="33"/>
        </w:numPr>
        <w:shd w:val="clear" w:color="auto" w:fill="auto"/>
        <w:tabs>
          <w:tab w:pos="1425" w:val="left"/>
        </w:tabs>
        <w:bidi w:val="0"/>
        <w:spacing w:before="0" w:line="240" w:lineRule="auto"/>
        <w:ind w:left="0" w:right="0" w:firstLine="700"/>
        <w:jc w:val="both"/>
      </w:pPr>
      <w:r>
        <w:rPr>
          <w:color w:val="000000"/>
          <w:spacing w:val="0"/>
          <w:w w:val="100"/>
          <w:position w:val="0"/>
          <w:sz w:val="24"/>
          <w:szCs w:val="24"/>
          <w:shd w:val="clear" w:color="auto" w:fill="auto"/>
          <w:lang w:val="cs-CZ" w:eastAsia="cs-CZ" w:bidi="cs-CZ"/>
        </w:rPr>
        <w:t>způsobené vadným výrobkem,</w:t>
      </w:r>
    </w:p>
    <w:p>
      <w:pPr>
        <w:pStyle w:val="Style2"/>
        <w:keepNext w:val="0"/>
        <w:keepLines w:val="0"/>
        <w:widowControl w:val="0"/>
        <w:numPr>
          <w:ilvl w:val="0"/>
          <w:numId w:val="33"/>
        </w:numPr>
        <w:shd w:val="clear" w:color="auto" w:fill="auto"/>
        <w:tabs>
          <w:tab w:pos="1425" w:val="left"/>
        </w:tabs>
        <w:bidi w:val="0"/>
        <w:spacing w:before="0" w:line="240" w:lineRule="auto"/>
        <w:ind w:left="0" w:right="0" w:firstLine="700"/>
        <w:jc w:val="both"/>
      </w:pPr>
      <w:r>
        <w:rPr>
          <w:color w:val="000000"/>
          <w:spacing w:val="0"/>
          <w:w w:val="100"/>
          <w:position w:val="0"/>
          <w:sz w:val="24"/>
          <w:szCs w:val="24"/>
          <w:shd w:val="clear" w:color="auto" w:fill="auto"/>
          <w:lang w:val="cs-CZ" w:eastAsia="cs-CZ" w:bidi="cs-CZ"/>
        </w:rPr>
        <w:t>vzniklé v souvislosti s poskytovanými službami</w:t>
      </w:r>
    </w:p>
    <w:p>
      <w:pPr>
        <w:pStyle w:val="Style2"/>
        <w:keepNext w:val="0"/>
        <w:keepLines w:val="0"/>
        <w:widowControl w:val="0"/>
        <w:numPr>
          <w:ilvl w:val="0"/>
          <w:numId w:val="33"/>
        </w:numPr>
        <w:shd w:val="clear" w:color="auto" w:fill="auto"/>
        <w:tabs>
          <w:tab w:pos="1425" w:val="left"/>
        </w:tabs>
        <w:bidi w:val="0"/>
        <w:spacing w:before="0" w:line="240" w:lineRule="auto"/>
        <w:ind w:left="0" w:right="0" w:firstLine="700"/>
        <w:jc w:val="both"/>
      </w:pPr>
      <w:r>
        <w:rPr>
          <w:color w:val="000000"/>
          <w:spacing w:val="0"/>
          <w:w w:val="100"/>
          <w:position w:val="0"/>
          <w:sz w:val="24"/>
          <w:szCs w:val="24"/>
          <w:shd w:val="clear" w:color="auto" w:fill="auto"/>
          <w:lang w:val="cs-CZ" w:eastAsia="cs-CZ" w:bidi="cs-CZ"/>
        </w:rPr>
        <w:t>vzniklé v souvislosti s vlastnictvím nemovitostí</w:t>
      </w:r>
    </w:p>
    <w:p>
      <w:pPr>
        <w:pStyle w:val="Style2"/>
        <w:keepNext w:val="0"/>
        <w:keepLines w:val="0"/>
        <w:widowControl w:val="0"/>
        <w:numPr>
          <w:ilvl w:val="0"/>
          <w:numId w:val="33"/>
        </w:numPr>
        <w:shd w:val="clear" w:color="auto" w:fill="auto"/>
        <w:tabs>
          <w:tab w:pos="1433"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vzniklé na věcech zaměstnanců.</w:t>
      </w:r>
    </w:p>
    <w:p>
      <w:pPr>
        <w:pStyle w:val="Style2"/>
        <w:keepNext w:val="0"/>
        <w:keepLines w:val="0"/>
        <w:widowControl w:val="0"/>
        <w:numPr>
          <w:ilvl w:val="0"/>
          <w:numId w:val="31"/>
        </w:numPr>
        <w:shd w:val="clear" w:color="auto" w:fill="auto"/>
        <w:tabs>
          <w:tab w:pos="698"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15</w:t>
      </w:r>
    </w:p>
    <w:p>
      <w:pPr>
        <w:pStyle w:val="Style12"/>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Další ujednání</w:t>
      </w:r>
      <w:bookmarkEnd w:id="32"/>
      <w:bookmarkEnd w:id="33"/>
    </w:p>
    <w:p>
      <w:pPr>
        <w:pStyle w:val="Style2"/>
        <w:keepNext w:val="0"/>
        <w:keepLines w:val="0"/>
        <w:widowControl w:val="0"/>
        <w:numPr>
          <w:ilvl w:val="0"/>
          <w:numId w:val="35"/>
        </w:numPr>
        <w:shd w:val="clear" w:color="auto" w:fill="auto"/>
        <w:tabs>
          <w:tab w:pos="698"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35"/>
        </w:numPr>
        <w:shd w:val="clear" w:color="auto" w:fill="auto"/>
        <w:tabs>
          <w:tab w:pos="698"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dle ZVZ na nového zhotovitele, který dokončí rozestavěné dílo. Pro tyto účely budou předmětem veřejné zakázky ty části díla, které nebyly zhotovitelem doposud realizovány.</w:t>
      </w:r>
    </w:p>
    <w:p>
      <w:pPr>
        <w:pStyle w:val="Style2"/>
        <w:keepNext w:val="0"/>
        <w:keepLines w:val="0"/>
        <w:widowControl w:val="0"/>
        <w:numPr>
          <w:ilvl w:val="0"/>
          <w:numId w:val="35"/>
        </w:numPr>
        <w:shd w:val="clear" w:color="auto" w:fill="auto"/>
        <w:tabs>
          <w:tab w:pos="698"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Součástí zadávací dokumentace budou soupisy stavebních prací, dodávek a služeb s výkazy výměr v těch částech, které nebyly doposud realizovány. Objednatel porovná (případně může porovnání provést třetí osoba zmocněná objednatelem) cenovou nabídku zhotovitele a cenovou nabídku nového zhotovitele (uchazeče,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16</w:t>
      </w:r>
    </w:p>
    <w:p>
      <w:pPr>
        <w:pStyle w:val="Style12"/>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Závěrečná ujednání</w:t>
      </w:r>
      <w:bookmarkEnd w:id="34"/>
      <w:bookmarkEnd w:id="35"/>
    </w:p>
    <w:p>
      <w:pPr>
        <w:pStyle w:val="Style2"/>
        <w:keepNext w:val="0"/>
        <w:keepLines w:val="0"/>
        <w:widowControl w:val="0"/>
        <w:numPr>
          <w:ilvl w:val="0"/>
          <w:numId w:val="37"/>
        </w:numPr>
        <w:shd w:val="clear" w:color="auto" w:fill="auto"/>
        <w:tabs>
          <w:tab w:pos="58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bere na vědomí a souhlasí s uveřejněním této smlouvy v plném rozsahu na internetovém profilu objednatele v souladu se zákonem č. 134/2016 Sb., zákona o zadávání veřejných zakázek, ve znění pozdějších předpisů.</w:t>
      </w:r>
    </w:p>
    <w:p>
      <w:pPr>
        <w:pStyle w:val="Style2"/>
        <w:keepNext w:val="0"/>
        <w:keepLines w:val="0"/>
        <w:widowControl w:val="0"/>
        <w:numPr>
          <w:ilvl w:val="0"/>
          <w:numId w:val="37"/>
        </w:numPr>
        <w:shd w:val="clear" w:color="auto" w:fill="auto"/>
        <w:tabs>
          <w:tab w:pos="58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37"/>
        </w:numPr>
        <w:shd w:val="clear" w:color="auto" w:fill="auto"/>
        <w:tabs>
          <w:tab w:pos="58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prohlašuje, že se před uzavřením smlouvy 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podílejícím se na zadání veřejné zakázky, na kterou s ním objednatel uzavřel smlouvu, a že se zejména ve vztahu k ostatním uchazečům nedopustil a ani nedopustí žádného jednání narušujícího hospodářskou soutěž.</w:t>
      </w:r>
      <w:r>
        <w:br w:type="page"/>
      </w:r>
    </w:p>
    <w:p>
      <w:pPr>
        <w:pStyle w:val="Style2"/>
        <w:keepNext w:val="0"/>
        <w:keepLines w:val="0"/>
        <w:widowControl w:val="0"/>
        <w:numPr>
          <w:ilvl w:val="0"/>
          <w:numId w:val="37"/>
        </w:numPr>
        <w:shd w:val="clear" w:color="auto" w:fill="auto"/>
        <w:tabs>
          <w:tab w:pos="62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2"/>
        <w:keepNext w:val="0"/>
        <w:keepLines w:val="0"/>
        <w:widowControl w:val="0"/>
        <w:numPr>
          <w:ilvl w:val="0"/>
          <w:numId w:val="37"/>
        </w:numPr>
        <w:shd w:val="clear" w:color="auto" w:fill="auto"/>
        <w:tabs>
          <w:tab w:pos="62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2"/>
        <w:keepNext w:val="0"/>
        <w:keepLines w:val="0"/>
        <w:widowControl w:val="0"/>
        <w:numPr>
          <w:ilvl w:val="0"/>
          <w:numId w:val="37"/>
        </w:numPr>
        <w:shd w:val="clear" w:color="auto" w:fill="auto"/>
        <w:tabs>
          <w:tab w:pos="62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 ostatním se řídí práva a povinnosti smluvních stran ustanoveními NOZ.</w:t>
      </w:r>
    </w:p>
    <w:p>
      <w:pPr>
        <w:pStyle w:val="Style2"/>
        <w:keepNext w:val="0"/>
        <w:keepLines w:val="0"/>
        <w:widowControl w:val="0"/>
        <w:numPr>
          <w:ilvl w:val="0"/>
          <w:numId w:val="37"/>
        </w:numPr>
        <w:shd w:val="clear" w:color="auto" w:fill="auto"/>
        <w:tabs>
          <w:tab w:pos="62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Smlouva je vyhotovena v (ve) čtyřech výtiscích, z nichž objednatel obdrží dvě a zhotovitel dvě vyhotovení.</w:t>
      </w:r>
    </w:p>
    <w:p>
      <w:pPr>
        <w:pStyle w:val="Style2"/>
        <w:keepNext w:val="0"/>
        <w:keepLines w:val="0"/>
        <w:widowControl w:val="0"/>
        <w:numPr>
          <w:ilvl w:val="0"/>
          <w:numId w:val="37"/>
        </w:numPr>
        <w:shd w:val="clear" w:color="auto" w:fill="auto"/>
        <w:tabs>
          <w:tab w:pos="62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Nedílnou součástí této smlouvy je:</w:t>
      </w:r>
    </w:p>
    <w:p>
      <w:pPr>
        <w:pStyle w:val="Style2"/>
        <w:keepNext w:val="0"/>
        <w:keepLines w:val="0"/>
        <w:widowControl w:val="0"/>
        <w:shd w:val="clear" w:color="auto" w:fill="auto"/>
        <w:bidi w:val="0"/>
        <w:spacing w:before="0" w:line="240" w:lineRule="auto"/>
        <w:ind w:left="0" w:right="0" w:firstLine="720"/>
        <w:jc w:val="left"/>
      </w:pPr>
      <w:r>
        <w:rPr>
          <w:color w:val="000000"/>
          <w:spacing w:val="0"/>
          <w:w w:val="100"/>
          <w:position w:val="0"/>
          <w:sz w:val="24"/>
          <w:szCs w:val="24"/>
          <w:shd w:val="clear" w:color="auto" w:fill="auto"/>
          <w:lang w:val="cs-CZ" w:eastAsia="cs-CZ" w:bidi="cs-CZ"/>
        </w:rPr>
        <w:t>Rozpočet - Heřmanov - komunikace - KSÚS</w:t>
      </w:r>
    </w:p>
    <w:p>
      <w:pPr>
        <w:pStyle w:val="Style2"/>
        <w:keepNext w:val="0"/>
        <w:keepLines w:val="0"/>
        <w:widowControl w:val="0"/>
        <w:numPr>
          <w:ilvl w:val="0"/>
          <w:numId w:val="37"/>
        </w:numPr>
        <w:shd w:val="clear" w:color="auto" w:fill="auto"/>
        <w:tabs>
          <w:tab w:pos="626"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Smlouva nabývá platnosti dnem podpisu smlouvy oběma smluvními stranami a účinnosti dnem uveřejnění v informačním systému veřejné správy - Registru smluv.</w:t>
      </w:r>
    </w:p>
    <w:p>
      <w:pPr>
        <w:pStyle w:val="Style2"/>
        <w:keepNext w:val="0"/>
        <w:keepLines w:val="0"/>
        <w:widowControl w:val="0"/>
        <w:numPr>
          <w:ilvl w:val="0"/>
          <w:numId w:val="37"/>
        </w:numPr>
        <w:shd w:val="clear" w:color="auto" w:fill="auto"/>
        <w:tabs>
          <w:tab w:pos="750"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bere na vědomí, že smlouva bude zveřejněna v informačním systému veřejné správy v souladu se zákonem č. 340/2015 Sb. o registru smluv. Současně se smluvní strany dohodly, že tuto zákonnou povinnost splní objednatel. Zhotovitel výslovně souhlasí se zveřejněním celého jejího textu.</w:t>
      </w:r>
    </w:p>
    <w:p>
      <w:pPr>
        <w:pStyle w:val="Style2"/>
        <w:keepNext w:val="0"/>
        <w:keepLines w:val="0"/>
        <w:widowControl w:val="0"/>
        <w:numPr>
          <w:ilvl w:val="0"/>
          <w:numId w:val="37"/>
        </w:numPr>
        <w:shd w:val="clear" w:color="auto" w:fill="auto"/>
        <w:tabs>
          <w:tab w:pos="750"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
        <w:keepNext w:val="0"/>
        <w:keepLines w:val="0"/>
        <w:widowControl w:val="0"/>
        <w:shd w:val="clear" w:color="auto" w:fill="auto"/>
        <w:bidi w:val="0"/>
        <w:spacing w:before="0" w:line="240" w:lineRule="auto"/>
        <w:ind w:left="0" w:right="0" w:firstLine="0"/>
        <w:jc w:val="left"/>
      </w:pPr>
      <w:r>
        <mc:AlternateContent>
          <mc:Choice Requires="wps">
            <w:drawing>
              <wp:anchor distT="0" distB="0" distL="114300" distR="114300" simplePos="0" relativeHeight="125829379" behindDoc="0" locked="0" layoutInCell="1" allowOverlap="1">
                <wp:simplePos x="0" y="0"/>
                <wp:positionH relativeFrom="page">
                  <wp:posOffset>4432300</wp:posOffset>
                </wp:positionH>
                <wp:positionV relativeFrom="paragraph">
                  <wp:posOffset>12700</wp:posOffset>
                </wp:positionV>
                <wp:extent cx="1659890" cy="452755"/>
                <wp:wrapSquare wrapText="left"/>
                <wp:docPr id="3" name="Shape 3"/>
                <a:graphic xmlns:a="http://schemas.openxmlformats.org/drawingml/2006/main">
                  <a:graphicData uri="http://schemas.microsoft.com/office/word/2010/wordprocessingShape">
                    <wps:wsp>
                      <wps:cNvSpPr txBox="1"/>
                      <wps:spPr>
                        <a:xfrm>
                          <a:ext cx="1659890" cy="452755"/>
                        </a:xfrm>
                        <a:prstGeom prst="rect"/>
                        <a:noFill/>
                      </wps:spPr>
                      <wps:txbx>
                        <w:txbxContent>
                          <w:p>
                            <w:pPr>
                              <w:pStyle w:val="Style2"/>
                              <w:keepNext w:val="0"/>
                              <w:keepLines w:val="0"/>
                              <w:widowControl w:val="0"/>
                              <w:shd w:val="clear" w:color="auto" w:fill="auto"/>
                              <w:tabs>
                                <w:tab w:pos="1861" w:val="left"/>
                              </w:tabs>
                              <w:bidi w:val="0"/>
                              <w:spacing w:before="0" w:after="40" w:line="240" w:lineRule="auto"/>
                              <w:ind w:left="0" w:right="0" w:firstLine="0"/>
                              <w:jc w:val="left"/>
                            </w:pPr>
                            <w:r>
                              <w:rPr>
                                <w:color w:val="000000"/>
                                <w:spacing w:val="0"/>
                                <w:w w:val="100"/>
                                <w:position w:val="0"/>
                                <w:sz w:val="24"/>
                                <w:szCs w:val="24"/>
                                <w:shd w:val="clear" w:color="auto" w:fill="auto"/>
                                <w:lang w:val="cs-CZ" w:eastAsia="cs-CZ" w:bidi="cs-CZ"/>
                              </w:rPr>
                              <w:t>V Jihlavě, dne:</w:t>
                              <w:tab/>
                              <w:t xml:space="preserve">2; </w:t>
                            </w:r>
                            <w:r>
                              <w:rPr>
                                <w:color w:val="000000"/>
                                <w:spacing w:val="0"/>
                                <w:w w:val="100"/>
                                <w:position w:val="0"/>
                                <w:sz w:val="24"/>
                                <w:szCs w:val="24"/>
                                <w:shd w:val="clear" w:color="auto" w:fill="auto"/>
                                <w:vertAlign w:val="subscript"/>
                                <w:lang w:val="cs-CZ" w:eastAsia="cs-CZ" w:bidi="cs-CZ"/>
                              </w:rPr>
                              <w:t>flg</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49.pt;margin-top:1.pt;width:130.69999999999999pt;height:35.649999999999999pt;z-index:-125829374;mso-wrap-distance-left:9.pt;mso-wrap-distance-right:9.pt;mso-position-horizontal-relative:page" filled="f" stroked="f">
                <v:textbox inset="0,0,0,0">
                  <w:txbxContent>
                    <w:p>
                      <w:pPr>
                        <w:pStyle w:val="Style2"/>
                        <w:keepNext w:val="0"/>
                        <w:keepLines w:val="0"/>
                        <w:widowControl w:val="0"/>
                        <w:shd w:val="clear" w:color="auto" w:fill="auto"/>
                        <w:tabs>
                          <w:tab w:pos="1861" w:val="left"/>
                        </w:tabs>
                        <w:bidi w:val="0"/>
                        <w:spacing w:before="0" w:after="40" w:line="240" w:lineRule="auto"/>
                        <w:ind w:left="0" w:right="0" w:firstLine="0"/>
                        <w:jc w:val="left"/>
                      </w:pPr>
                      <w:r>
                        <w:rPr>
                          <w:color w:val="000000"/>
                          <w:spacing w:val="0"/>
                          <w:w w:val="100"/>
                          <w:position w:val="0"/>
                          <w:sz w:val="24"/>
                          <w:szCs w:val="24"/>
                          <w:shd w:val="clear" w:color="auto" w:fill="auto"/>
                          <w:lang w:val="cs-CZ" w:eastAsia="cs-CZ" w:bidi="cs-CZ"/>
                        </w:rPr>
                        <w:t>V Jihlavě, dne:</w:t>
                        <w:tab/>
                        <w:t xml:space="preserve">2; </w:t>
                      </w:r>
                      <w:r>
                        <w:rPr>
                          <w:color w:val="000000"/>
                          <w:spacing w:val="0"/>
                          <w:w w:val="100"/>
                          <w:position w:val="0"/>
                          <w:sz w:val="24"/>
                          <w:szCs w:val="24"/>
                          <w:shd w:val="clear" w:color="auto" w:fill="auto"/>
                          <w:vertAlign w:val="subscript"/>
                          <w:lang w:val="cs-CZ" w:eastAsia="cs-CZ" w:bidi="cs-CZ"/>
                        </w:rPr>
                        <w:t>flg</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Ve Žďáře nad Sázavou, dne 19.6.2019</w:t>
      </w:r>
    </w:p>
    <w:p>
      <w:pPr>
        <w:pStyle w:val="Style2"/>
        <w:keepNext w:val="0"/>
        <w:keepLines w:val="0"/>
        <w:widowControl w:val="0"/>
        <w:shd w:val="clear" w:color="auto" w:fill="auto"/>
        <w:bidi w:val="0"/>
        <w:spacing w:before="0" w:after="1960" w:line="240" w:lineRule="auto"/>
        <w:ind w:left="0" w:right="0" w:firstLine="0"/>
        <w:jc w:val="left"/>
      </w:pPr>
      <w:r>
        <w:rPr>
          <w:color w:val="000000"/>
          <w:spacing w:val="0"/>
          <w:w w:val="100"/>
          <w:position w:val="0"/>
          <w:sz w:val="24"/>
          <w:szCs w:val="24"/>
          <w:shd w:val="clear" w:color="auto" w:fill="auto"/>
          <w:lang w:val="cs-CZ" w:eastAsia="cs-CZ" w:bidi="cs-CZ"/>
        </w:rPr>
        <w:t>Zhotovitel:</w:t>
      </w:r>
    </w:p>
    <w:p>
      <w:pPr>
        <w:pStyle w:val="Style2"/>
        <w:keepNext w:val="0"/>
        <w:keepLines w:val="0"/>
        <w:widowControl w:val="0"/>
        <w:shd w:val="clear" w:color="auto" w:fill="auto"/>
        <w:bidi w:val="0"/>
        <w:spacing w:before="0" w:line="240" w:lineRule="auto"/>
        <w:ind w:left="4480" w:right="0" w:firstLine="0"/>
        <w:jc w:val="left"/>
        <w:sectPr>
          <w:footerReference w:type="default" r:id="rId7"/>
          <w:footnotePr>
            <w:pos w:val="pageBottom"/>
            <w:numFmt w:val="decimal"/>
            <w:numRestart w:val="continuous"/>
          </w:footnotePr>
          <w:pgSz w:w="11900" w:h="16840"/>
          <w:pgMar w:top="1220" w:left="1203" w:right="1271" w:bottom="1294" w:header="792" w:footer="3" w:gutter="0"/>
          <w:pgNumType w:start="1"/>
          <w:cols w:space="720"/>
          <w:noEndnote/>
          <w:rtlGutter w:val="0"/>
          <w:docGrid w:linePitch="360"/>
        </w:sectPr>
      </w:pPr>
      <w:r>
        <mc:AlternateContent>
          <mc:Choice Requires="wps">
            <w:drawing>
              <wp:anchor distT="0" distB="0" distL="114300" distR="114300" simplePos="0" relativeHeight="125829381" behindDoc="0" locked="0" layoutInCell="1" allowOverlap="1">
                <wp:simplePos x="0" y="0"/>
                <wp:positionH relativeFrom="page">
                  <wp:posOffset>806450</wp:posOffset>
                </wp:positionH>
                <wp:positionV relativeFrom="paragraph">
                  <wp:posOffset>12700</wp:posOffset>
                </wp:positionV>
                <wp:extent cx="681355" cy="381635"/>
                <wp:wrapSquare wrapText="bothSides"/>
                <wp:docPr id="7" name="Shape 7"/>
                <a:graphic xmlns:a="http://schemas.openxmlformats.org/drawingml/2006/main">
                  <a:graphicData uri="http://schemas.microsoft.com/office/word/2010/wordprocessingShape">
                    <wps:wsp>
                      <wps:cNvSpPr txBox="1"/>
                      <wps:spPr>
                        <a:xfrm>
                          <a:ext cx="681355" cy="381635"/>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Jiří Peřina jednatel</w:t>
                            </w:r>
                          </w:p>
                        </w:txbxContent>
                      </wps:txbx>
                      <wps:bodyPr lIns="0" tIns="0" rIns="0" bIns="0">
                        <a:noAutoFit/>
                      </wps:bodyPr>
                    </wps:wsp>
                  </a:graphicData>
                </a:graphic>
              </wp:anchor>
            </w:drawing>
          </mc:Choice>
          <mc:Fallback>
            <w:pict>
              <v:shape id="_x0000_s1033" type="#_x0000_t202" style="position:absolute;margin-left:63.5pt;margin-top:1.pt;width:53.649999999999999pt;height:30.050000000000001pt;z-index:-125829372;mso-wrap-distance-left: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Jiří Peřina jednatel</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Ing. Jan Mika, MBA ředitel organizace</w:t>
      </w:r>
    </w:p>
    <w:p>
      <w:pPr>
        <w:widowControl w:val="0"/>
        <w:spacing w:line="1" w:lineRule="exact"/>
      </w:pPr>
      <w:r>
        <mc:AlternateContent>
          <mc:Choice Requires="wps">
            <w:drawing>
              <wp:anchor distT="0" distB="0" distL="0" distR="0" simplePos="0" relativeHeight="125829383" behindDoc="0" locked="0" layoutInCell="1" allowOverlap="1">
                <wp:simplePos x="0" y="0"/>
                <wp:positionH relativeFrom="page">
                  <wp:posOffset>3319780</wp:posOffset>
                </wp:positionH>
                <wp:positionV relativeFrom="paragraph">
                  <wp:posOffset>0</wp:posOffset>
                </wp:positionV>
                <wp:extent cx="800100" cy="187325"/>
                <wp:wrapTopAndBottom/>
                <wp:docPr id="9" name="Shape 9"/>
                <a:graphic xmlns:a="http://schemas.openxmlformats.org/drawingml/2006/main">
                  <a:graphicData uri="http://schemas.microsoft.com/office/word/2010/wordprocessingShape">
                    <wps:wsp>
                      <wps:cNvSpPr txBox="1"/>
                      <wps:spPr>
                        <a:xfrm>
                          <a:ext cx="800100" cy="1873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ROZPOČET</w:t>
                            </w:r>
                          </w:p>
                        </w:txbxContent>
                      </wps:txbx>
                      <wps:bodyPr wrap="none" lIns="0" tIns="0" rIns="0" bIns="0">
                        <a:noAutoFit/>
                      </wps:bodyPr>
                    </wps:wsp>
                  </a:graphicData>
                </a:graphic>
              </wp:anchor>
            </w:drawing>
          </mc:Choice>
          <mc:Fallback>
            <w:pict>
              <v:shape id="_x0000_s1035" type="#_x0000_t202" style="position:absolute;margin-left:261.39999999999998pt;margin-top:0;width:63.pt;height:14.75pt;z-index:-125829370;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ROZPOČET</w:t>
                      </w:r>
                    </w:p>
                  </w:txbxContent>
                </v:textbox>
                <w10:wrap type="topAndBottom" anchorx="page"/>
              </v:shape>
            </w:pict>
          </mc:Fallback>
        </mc:AlternateContent>
      </w:r>
    </w:p>
    <w:p>
      <w:pPr>
        <w:pStyle w:val="Style6"/>
        <w:keepNext w:val="0"/>
        <w:keepLines w:val="0"/>
        <w:widowControl w:val="0"/>
        <w:shd w:val="clear" w:color="auto" w:fill="auto"/>
        <w:bidi w:val="0"/>
        <w:spacing w:before="0" w:after="280" w:line="319" w:lineRule="auto"/>
        <w:ind w:left="0" w:right="0" w:firstLine="0"/>
        <w:jc w:val="both"/>
      </w:pPr>
      <w:r>
        <w:rPr>
          <w:b/>
          <w:bCs/>
          <w:color w:val="000000"/>
          <w:spacing w:val="0"/>
          <w:w w:val="100"/>
          <w:position w:val="0"/>
          <w:shd w:val="clear" w:color="auto" w:fill="auto"/>
          <w:lang w:val="cs-CZ" w:eastAsia="cs-CZ" w:bidi="cs-CZ"/>
        </w:rPr>
        <w:t>Stavba: Heřmanov-komunikace - KSŮS Objekt:</w:t>
      </w:r>
    </w:p>
    <w:p>
      <w:pPr>
        <w:pStyle w:val="Style6"/>
        <w:keepNext w:val="0"/>
        <w:keepLines w:val="0"/>
        <w:widowControl w:val="0"/>
        <w:shd w:val="clear" w:color="auto" w:fill="auto"/>
        <w:bidi w:val="0"/>
        <w:spacing w:before="0" w:after="0"/>
        <w:ind w:left="0" w:right="0" w:firstLine="0"/>
        <w:jc w:val="left"/>
      </w:pPr>
      <w:r>
        <mc:AlternateContent>
          <mc:Choice Requires="wps">
            <w:drawing>
              <wp:anchor distT="0" distB="0" distL="114300" distR="114300" simplePos="0" relativeHeight="125829385" behindDoc="0" locked="0" layoutInCell="1" allowOverlap="1">
                <wp:simplePos x="0" y="0"/>
                <wp:positionH relativeFrom="page">
                  <wp:posOffset>5958205</wp:posOffset>
                </wp:positionH>
                <wp:positionV relativeFrom="paragraph">
                  <wp:posOffset>101600</wp:posOffset>
                </wp:positionV>
                <wp:extent cx="843280" cy="247015"/>
                <wp:wrapSquare wrapText="bothSides"/>
                <wp:docPr id="11" name="Shape 11"/>
                <a:graphic xmlns:a="http://schemas.openxmlformats.org/drawingml/2006/main">
                  <a:graphicData uri="http://schemas.microsoft.com/office/word/2010/wordprocessingShape">
                    <wps:wsp>
                      <wps:cNvSpPr txBox="1"/>
                      <wps:spPr>
                        <a:xfrm>
                          <a:ext cx="843280" cy="2470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Zpracoval:</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31. 5. 2019</w:t>
                            </w:r>
                          </w:p>
                        </w:txbxContent>
                      </wps:txbx>
                      <wps:bodyPr lIns="0" tIns="0" rIns="0" bIns="0">
                        <a:noAutoFit/>
                      </wps:bodyPr>
                    </wps:wsp>
                  </a:graphicData>
                </a:graphic>
              </wp:anchor>
            </w:drawing>
          </mc:Choice>
          <mc:Fallback>
            <w:pict>
              <v:shape id="_x0000_s1037" type="#_x0000_t202" style="position:absolute;margin-left:469.14999999999998pt;margin-top:8.pt;width:66.400000000000006pt;height:19.449999999999999pt;z-index:-125829368;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Zpracoval:</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31. 5. 2019</w:t>
                      </w:r>
                    </w:p>
                  </w:txbxContent>
                </v:textbox>
                <w10:wrap type="square" anchorx="page"/>
              </v:shape>
            </w:pict>
          </mc:Fallback>
        </mc:AlternateContent>
      </w:r>
      <w:r>
        <w:rPr>
          <w:color w:val="000000"/>
          <w:spacing w:val="0"/>
          <w:w w:val="100"/>
          <w:position w:val="0"/>
          <w:shd w:val="clear" w:color="auto" w:fill="auto"/>
          <w:lang w:val="cs-CZ" w:eastAsia="cs-CZ" w:bidi="cs-CZ"/>
        </w:rPr>
        <w:t>Objednatel: KSÚS</w:t>
      </w:r>
    </w:p>
    <w:p>
      <w:pPr>
        <w:pStyle w:val="Style6"/>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Zhotovitel: AQUASYS spol. s r.o. Místo: Heřmanov</w:t>
      </w:r>
    </w:p>
    <w:tbl>
      <w:tblPr>
        <w:tblOverlap w:val="never"/>
        <w:jc w:val="center"/>
        <w:tblLayout w:type="fixed"/>
      </w:tblPr>
      <w:tblGrid>
        <w:gridCol w:w="446"/>
        <w:gridCol w:w="590"/>
        <w:gridCol w:w="1058"/>
        <w:gridCol w:w="4068"/>
        <w:gridCol w:w="349"/>
        <w:gridCol w:w="767"/>
        <w:gridCol w:w="900"/>
        <w:gridCol w:w="1246"/>
      </w:tblGrid>
      <w:tr>
        <w:trPr>
          <w:trHeight w:val="472"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č.</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KCN</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Kód položky</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Pcpis</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MJ</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76"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Množství celkem</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83"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Cena jednotková</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Cena celkem</w:t>
            </w:r>
          </w:p>
        </w:tc>
      </w:tr>
    </w:tbl>
    <w:p>
      <w:pPr>
        <w:widowControl w:val="0"/>
        <w:spacing w:after="279" w:line="1" w:lineRule="exact"/>
      </w:pPr>
    </w:p>
    <w:p>
      <w:pPr>
        <w:pStyle w:val="Style8"/>
        <w:keepNext w:val="0"/>
        <w:keepLines w:val="0"/>
        <w:widowControl w:val="0"/>
        <w:shd w:val="clear" w:color="auto" w:fill="auto"/>
        <w:tabs>
          <w:tab w:pos="2115" w:val="left"/>
        </w:tabs>
        <w:bidi w:val="0"/>
        <w:spacing w:before="0" w:after="220" w:line="240" w:lineRule="auto"/>
        <w:ind w:left="1060" w:right="0" w:firstLine="0"/>
        <w:jc w:val="left"/>
      </w:pPr>
      <w:r>
        <mc:AlternateContent>
          <mc:Choice Requires="wps">
            <w:drawing>
              <wp:anchor distT="0" distB="0" distL="114300" distR="114300" simplePos="0" relativeHeight="125829387" behindDoc="0" locked="0" layoutInCell="1" allowOverlap="1">
                <wp:simplePos x="0" y="0"/>
                <wp:positionH relativeFrom="page">
                  <wp:posOffset>6074410</wp:posOffset>
                </wp:positionH>
                <wp:positionV relativeFrom="paragraph">
                  <wp:posOffset>12700</wp:posOffset>
                </wp:positionV>
                <wp:extent cx="667385" cy="144145"/>
                <wp:wrapSquare wrapText="left"/>
                <wp:docPr id="13" name="Shape 13"/>
                <a:graphic xmlns:a="http://schemas.openxmlformats.org/drawingml/2006/main">
                  <a:graphicData uri="http://schemas.microsoft.com/office/word/2010/wordprocessingShape">
                    <wps:wsp>
                      <wps:cNvSpPr txBox="1"/>
                      <wps:spPr>
                        <a:xfrm>
                          <a:ext cx="667385" cy="144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1 157 693,14</w:t>
                            </w:r>
                          </w:p>
                        </w:txbxContent>
                      </wps:txbx>
                      <wps:bodyPr wrap="none" lIns="0" tIns="0" rIns="0" bIns="0">
                        <a:noAutoFit/>
                      </wps:bodyPr>
                    </wps:wsp>
                  </a:graphicData>
                </a:graphic>
              </wp:anchor>
            </w:drawing>
          </mc:Choice>
          <mc:Fallback>
            <w:pict>
              <v:shape id="_x0000_s1039" type="#_x0000_t202" style="position:absolute;margin-left:478.30000000000001pt;margin-top:1.pt;width:52.549999999999997pt;height:11.35pt;z-index:-125829366;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1 157 693,14</w:t>
                      </w:r>
                    </w:p>
                  </w:txbxContent>
                </v:textbox>
                <w10:wrap type="square" side="left" anchorx="page"/>
              </v:shape>
            </w:pict>
          </mc:Fallback>
        </mc:AlternateContent>
      </w:r>
      <w:r>
        <w:rPr>
          <w:color w:val="000000"/>
          <w:spacing w:val="0"/>
          <w:w w:val="100"/>
          <w:position w:val="0"/>
          <w:shd w:val="clear" w:color="auto" w:fill="auto"/>
          <w:lang w:val="cs-CZ" w:eastAsia="cs-CZ" w:bidi="cs-CZ"/>
        </w:rPr>
        <w:t>HSV</w:t>
        <w:tab/>
        <w:t>Práce a dodávky HSV</w:t>
      </w:r>
    </w:p>
    <w:p>
      <w:pPr>
        <w:pStyle w:val="Style18"/>
        <w:keepNext w:val="0"/>
        <w:keepLines w:val="0"/>
        <w:widowControl w:val="0"/>
        <w:shd w:val="clear" w:color="auto" w:fill="auto"/>
        <w:bidi w:val="0"/>
        <w:spacing w:before="0" w:after="0" w:line="240" w:lineRule="auto"/>
        <w:ind w:left="104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1 Zemní práce 34 140,00</w:t>
      </w:r>
    </w:p>
    <w:tbl>
      <w:tblPr>
        <w:tblOverlap w:val="never"/>
        <w:jc w:val="center"/>
        <w:tblLayout w:type="fixed"/>
      </w:tblPr>
      <w:tblGrid>
        <w:gridCol w:w="446"/>
        <w:gridCol w:w="590"/>
        <w:gridCol w:w="1058"/>
        <w:gridCol w:w="4061"/>
        <w:gridCol w:w="353"/>
        <w:gridCol w:w="763"/>
        <w:gridCol w:w="904"/>
        <w:gridCol w:w="1246"/>
      </w:tblGrid>
      <w:tr>
        <w:trPr>
          <w:trHeight w:val="529"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113154000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Frézování živičného podkladu nebo krytu s naložením na dopravní prostředek plochy do 500 m2 bez překážek v trase pruhu šířky do 0,5 m, tloušťky vrstvy 50 mm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m3</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34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10,000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3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3 258,00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32 580,00</w:t>
            </w:r>
          </w:p>
        </w:tc>
      </w:tr>
      <w:tr>
        <w:trPr>
          <w:trHeight w:val="20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919735111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Řezání stávajícího živičného krytu nebo podkladu hloubky do 50 mm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52,00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70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1 560,00</w:t>
            </w:r>
          </w:p>
        </w:tc>
      </w:tr>
      <w:tr>
        <w:trPr>
          <w:trHeight w:val="42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5</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Komunikace pozemní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b/>
                <w:bCs/>
                <w:color w:val="000000"/>
                <w:spacing w:val="0"/>
                <w:w w:val="100"/>
                <w:position w:val="0"/>
                <w:sz w:val="15"/>
                <w:szCs w:val="15"/>
                <w:shd w:val="clear" w:color="auto" w:fill="auto"/>
                <w:lang w:val="cs-CZ" w:eastAsia="cs-CZ" w:bidi="cs-CZ"/>
              </w:rPr>
              <w:t>1 067 505,44</w:t>
            </w:r>
          </w:p>
        </w:tc>
      </w:tr>
      <w:tr>
        <w:trPr>
          <w:trHeight w:val="360"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569931132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Zpevnění krajnic nebo komunikací pro pěší s rozprostřením a zhutněním, po zhutnění asfaltovým recyklátem tl. 100 mm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400,000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55,00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22 000,00</w:t>
            </w:r>
          </w:p>
        </w:tc>
      </w:tr>
      <w:tr>
        <w:trPr>
          <w:trHeight w:val="35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573231108</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88"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Postřik spojovací PS bez posypu kamenivem ze silniční emulze, v množstvi 0,50 kg/m2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2 744,000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35 672,00</w:t>
            </w:r>
          </w:p>
        </w:tc>
      </w:tr>
      <w:tr>
        <w:trPr>
          <w:trHeight w:val="20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919721201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Geomřiž pro vyztužení asfaltového povrchu z polypropylénu</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200,000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122,00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24 400,00</w:t>
            </w:r>
          </w:p>
        </w:tc>
      </w:tr>
      <w:tr>
        <w:trPr>
          <w:trHeight w:val="51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577144111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Asfaltový beton vrstva obrusná ACO 11 (ABS) s rozprostřením a se zhutněním z nemodifikovaného asfaltu v pruhu šířky do 3 m tř. I, po zhutnění tl. 50 mm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2 744,000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263,00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721 672,00</w:t>
            </w:r>
          </w:p>
        </w:tc>
      </w:tr>
      <w:tr>
        <w:trPr>
          <w:trHeight w:val="349"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R</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577144111R.0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69"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Vrstvy pro obnovu a opravy z asfalt.betonu ACO 11 + 50/70 vyrovnávka a velkoplošné výspravy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m3</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50,880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5 138,00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261 421,44</w:t>
            </w:r>
          </w:p>
        </w:tc>
      </w:tr>
      <w:tr>
        <w:trPr>
          <w:trHeight w:val="19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599141111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Vyplnění spár mezi silničními dílci jakékoliv tloušťky živičnou zálivkou</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78,00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2 340,00</w:t>
            </w:r>
          </w:p>
        </w:tc>
      </w:tr>
      <w:tr>
        <w:trPr>
          <w:trHeight w:val="42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9</w:t>
            </w: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shd w:val="clear" w:color="auto" w:fill="auto"/>
                <w:lang w:val="cs-CZ" w:eastAsia="cs-CZ" w:bidi="cs-CZ"/>
              </w:rPr>
              <w:t>Ostatní konstrukce a práce, bourání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b/>
                <w:bCs/>
                <w:color w:val="000000"/>
                <w:spacing w:val="0"/>
                <w:w w:val="100"/>
                <w:position w:val="0"/>
                <w:sz w:val="15"/>
                <w:szCs w:val="15"/>
                <w:shd w:val="clear" w:color="auto" w:fill="auto"/>
                <w:lang w:val="cs-CZ" w:eastAsia="cs-CZ" w:bidi="cs-CZ"/>
              </w:rPr>
              <w:t>56 047,70</w:t>
            </w:r>
          </w:p>
        </w:tc>
      </w:tr>
      <w:tr>
        <w:trPr>
          <w:trHeight w:val="35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915131111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Vodorovné dopravní značení stříkané barvou přechody pro chodce, šipky, symboly bílé základní</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104,250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31 900,50</w:t>
            </w:r>
          </w:p>
        </w:tc>
      </w:tr>
      <w:tr>
        <w:trPr>
          <w:trHeight w:val="360"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938908411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Čištění vozovek splachováním vodou povrchu podkladu nebo krytu živičného, betonového nebo dlážděného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2 744,000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5,50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15 092,00</w:t>
            </w:r>
          </w:p>
        </w:tc>
      </w:tr>
      <w:tr>
        <w:trPr>
          <w:trHeight w:val="691"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11</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221</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938909311</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Čištěni vozovek metením bláta, prachu nebo hlinitého nánosu s odklizením na hromady na vzdálenost do 20 m nebo naložením na dopravní prostředek strojně povrchu podkladu nebo krytu betonového nebo živičného</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2 744,000</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3,30</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9 055,20</w:t>
            </w:r>
          </w:p>
        </w:tc>
      </w:tr>
    </w:tbl>
    <w:p>
      <w:pPr>
        <w:widowControl w:val="0"/>
        <w:spacing w:after="219" w:line="1" w:lineRule="exact"/>
      </w:pPr>
    </w:p>
    <w:p>
      <w:pPr>
        <w:pStyle w:val="Style8"/>
        <w:keepNext w:val="0"/>
        <w:keepLines w:val="0"/>
        <w:widowControl w:val="0"/>
        <w:shd w:val="clear" w:color="auto" w:fill="auto"/>
        <w:bidi w:val="0"/>
        <w:spacing w:before="0" w:after="280" w:line="240" w:lineRule="auto"/>
        <w:ind w:left="2120" w:right="0" w:firstLine="0"/>
        <w:jc w:val="left"/>
      </w:pPr>
      <w:r>
        <mc:AlternateContent>
          <mc:Choice Requires="wps">
            <w:drawing>
              <wp:anchor distT="0" distB="0" distL="114300" distR="114300" simplePos="0" relativeHeight="125829389" behindDoc="0" locked="0" layoutInCell="1" allowOverlap="1">
                <wp:simplePos x="0" y="0"/>
                <wp:positionH relativeFrom="page">
                  <wp:posOffset>6010275</wp:posOffset>
                </wp:positionH>
                <wp:positionV relativeFrom="paragraph">
                  <wp:posOffset>12700</wp:posOffset>
                </wp:positionV>
                <wp:extent cx="724535" cy="724535"/>
                <wp:wrapSquare wrapText="left"/>
                <wp:docPr id="15" name="Shape 15"/>
                <a:graphic xmlns:a="http://schemas.openxmlformats.org/drawingml/2006/main">
                  <a:graphicData uri="http://schemas.microsoft.com/office/word/2010/wordprocessingShape">
                    <wps:wsp>
                      <wps:cNvSpPr txBox="1"/>
                      <wps:spPr>
                        <a:xfrm>
                          <a:ext cx="724535" cy="724535"/>
                        </a:xfrm>
                        <a:prstGeom prst="rect"/>
                        <a:noFill/>
                      </wps:spPr>
                      <wps:txbx>
                        <w:txbxContent>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cs-CZ" w:eastAsia="cs-CZ" w:bidi="cs-CZ"/>
                              </w:rPr>
                              <w:t>1 157 693,14</w:t>
                            </w:r>
                          </w:p>
                          <w:p>
                            <w:pPr>
                              <w:pStyle w:val="Style8"/>
                              <w:keepNext w:val="0"/>
                              <w:keepLines w:val="0"/>
                              <w:widowControl w:val="0"/>
                              <w:shd w:val="clear" w:color="auto" w:fill="auto"/>
                              <w:bidi w:val="0"/>
                              <w:spacing w:before="0" w:after="260" w:line="240" w:lineRule="auto"/>
                              <w:ind w:left="0" w:right="0" w:firstLine="260"/>
                              <w:jc w:val="both"/>
                            </w:pPr>
                            <w:r>
                              <w:rPr>
                                <w:color w:val="000000"/>
                                <w:spacing w:val="0"/>
                                <w:w w:val="100"/>
                                <w:position w:val="0"/>
                                <w:shd w:val="clear" w:color="auto" w:fill="auto"/>
                                <w:lang w:val="cs-CZ" w:eastAsia="cs-CZ" w:bidi="cs-CZ"/>
                              </w:rPr>
                              <w:t>243 115,56</w:t>
                            </w:r>
                          </w:p>
                          <w:p>
                            <w:pPr>
                              <w:pStyle w:val="Style10"/>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1 400 808,70</w:t>
                            </w:r>
                          </w:p>
                        </w:txbxContent>
                      </wps:txbx>
                      <wps:bodyPr lIns="0" tIns="0" rIns="0" bIns="0">
                        <a:noAutoFit/>
                      </wps:bodyPr>
                    </wps:wsp>
                  </a:graphicData>
                </a:graphic>
              </wp:anchor>
            </w:drawing>
          </mc:Choice>
          <mc:Fallback>
            <w:pict>
              <v:shape id="_x0000_s1041" type="#_x0000_t202" style="position:absolute;margin-left:473.25pt;margin-top:1.pt;width:57.049999999999997pt;height:57.049999999999997pt;z-index:-125829364;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cs-CZ" w:eastAsia="cs-CZ" w:bidi="cs-CZ"/>
                        </w:rPr>
                        <w:t>1 157 693,14</w:t>
                      </w:r>
                    </w:p>
                    <w:p>
                      <w:pPr>
                        <w:pStyle w:val="Style8"/>
                        <w:keepNext w:val="0"/>
                        <w:keepLines w:val="0"/>
                        <w:widowControl w:val="0"/>
                        <w:shd w:val="clear" w:color="auto" w:fill="auto"/>
                        <w:bidi w:val="0"/>
                        <w:spacing w:before="0" w:after="260" w:line="240" w:lineRule="auto"/>
                        <w:ind w:left="0" w:right="0" w:firstLine="260"/>
                        <w:jc w:val="both"/>
                      </w:pPr>
                      <w:r>
                        <w:rPr>
                          <w:color w:val="000000"/>
                          <w:spacing w:val="0"/>
                          <w:w w:val="100"/>
                          <w:position w:val="0"/>
                          <w:shd w:val="clear" w:color="auto" w:fill="auto"/>
                          <w:lang w:val="cs-CZ" w:eastAsia="cs-CZ" w:bidi="cs-CZ"/>
                        </w:rPr>
                        <w:t>243 115,56</w:t>
                      </w:r>
                    </w:p>
                    <w:p>
                      <w:pPr>
                        <w:pStyle w:val="Style10"/>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1 400 808,70</w:t>
                      </w:r>
                    </w:p>
                  </w:txbxContent>
                </v:textbox>
                <w10:wrap type="square" side="left" anchorx="page"/>
              </v:shape>
            </w:pict>
          </mc:Fallback>
        </mc:AlternateContent>
      </w:r>
      <w:r>
        <w:rPr>
          <w:color w:val="000000"/>
          <w:spacing w:val="0"/>
          <w:w w:val="100"/>
          <w:position w:val="0"/>
          <w:shd w:val="clear" w:color="auto" w:fill="auto"/>
          <w:lang w:val="cs-CZ" w:eastAsia="cs-CZ" w:bidi="cs-CZ"/>
        </w:rPr>
        <w:t>Celkem bez DPH</w:t>
      </w:r>
    </w:p>
    <w:p>
      <w:pPr>
        <w:pStyle w:val="Style8"/>
        <w:keepNext w:val="0"/>
        <w:keepLines w:val="0"/>
        <w:widowControl w:val="0"/>
        <w:shd w:val="clear" w:color="auto" w:fill="auto"/>
        <w:bidi w:val="0"/>
        <w:spacing w:before="0" w:after="220" w:line="240" w:lineRule="auto"/>
        <w:ind w:left="2120" w:right="0" w:firstLine="0"/>
        <w:jc w:val="left"/>
      </w:pPr>
      <w:r>
        <w:rPr>
          <w:color w:val="000000"/>
          <w:spacing w:val="0"/>
          <w:w w:val="100"/>
          <w:position w:val="0"/>
          <w:shd w:val="clear" w:color="auto" w:fill="auto"/>
          <w:lang w:val="cs-CZ" w:eastAsia="cs-CZ" w:bidi="cs-CZ"/>
        </w:rPr>
        <w:t>DPH</w:t>
      </w:r>
    </w:p>
    <w:p>
      <w:pPr>
        <w:pStyle w:val="Style10"/>
        <w:keepNext w:val="0"/>
        <w:keepLines w:val="0"/>
        <w:widowControl w:val="0"/>
        <w:shd w:val="clear" w:color="auto" w:fill="auto"/>
        <w:bidi w:val="0"/>
        <w:spacing w:before="0" w:line="240" w:lineRule="auto"/>
        <w:ind w:left="2120" w:right="0" w:firstLine="0"/>
        <w:jc w:val="both"/>
      </w:pPr>
      <w:r>
        <w:rPr>
          <w:color w:val="000000"/>
          <w:spacing w:val="0"/>
          <w:w w:val="100"/>
          <w:position w:val="0"/>
          <w:shd w:val="clear" w:color="auto" w:fill="auto"/>
          <w:lang w:val="cs-CZ" w:eastAsia="cs-CZ" w:bidi="cs-CZ"/>
        </w:rPr>
        <w:t>Celkem vč. DPH</w:t>
      </w:r>
    </w:p>
    <w:sectPr>
      <w:footerReference w:type="default" r:id="rId8"/>
      <w:footnotePr>
        <w:pos w:val="pageBottom"/>
        <w:numFmt w:val="decimal"/>
        <w:numRestart w:val="continuous"/>
      </w:footnotePr>
      <w:pgSz w:w="11900" w:h="16840"/>
      <w:pgMar w:top="1220" w:left="1203" w:right="1271" w:bottom="1294" w:header="79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872490</wp:posOffset>
              </wp:positionH>
              <wp:positionV relativeFrom="page">
                <wp:posOffset>10028555</wp:posOffset>
              </wp:positionV>
              <wp:extent cx="654050" cy="91440"/>
              <wp:wrapNone/>
              <wp:docPr id="5" name="Shape 5"/>
              <a:graphic xmlns:a="http://schemas.openxmlformats.org/drawingml/2006/main">
                <a:graphicData uri="http://schemas.microsoft.com/office/word/2010/wordprocessingShape">
                  <wps:wsp>
                    <wps:cNvSpPr txBox="1"/>
                    <wps:spPr>
                      <a:xfrm>
                        <a:ext cx="654050" cy="9144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1" type="#_x0000_t202" style="position:absolute;margin-left:68.700000000000003pt;margin-top:789.64999999999998pt;width:51.5pt;height:7.20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3825240</wp:posOffset>
              </wp:positionH>
              <wp:positionV relativeFrom="page">
                <wp:posOffset>10302875</wp:posOffset>
              </wp:positionV>
              <wp:extent cx="420370" cy="59690"/>
              <wp:wrapNone/>
              <wp:docPr id="17" name="Shape 17"/>
              <a:graphic xmlns:a="http://schemas.openxmlformats.org/drawingml/2006/main">
                <a:graphicData uri="http://schemas.microsoft.com/office/word/2010/wordprocessingShape">
                  <wps:wsp>
                    <wps:cNvSpPr txBox="1"/>
                    <wps:spPr>
                      <a:xfrm>
                        <a:ext cx="420370" cy="596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Strana 1 z 1</w:t>
                          </w:r>
                        </w:p>
                      </w:txbxContent>
                    </wps:txbx>
                    <wps:bodyPr wrap="none" lIns="0" tIns="0" rIns="0" bIns="0">
                      <a:spAutoFit/>
                    </wps:bodyPr>
                  </wps:wsp>
                </a:graphicData>
              </a:graphic>
            </wp:anchor>
          </w:drawing>
        </mc:Choice>
        <mc:Fallback>
          <w:pict>
            <v:shape id="_x0000_s1043" type="#_x0000_t202" style="position:absolute;margin-left:301.19999999999999pt;margin-top:811.25pt;width:33.100000000000001pt;height:4.7000000000000002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Strana 1 z 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4">
    <w:multiLevelType w:val="multilevel"/>
    <w:lvl w:ilvl="0">
      <w:start w:val="1"/>
      <w:numFmt w:val="decimal"/>
      <w:lvlText w:val="1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6">
    <w:multiLevelType w:val="multilevel"/>
    <w:lvl w:ilvl="0">
      <w:start w:val="1"/>
      <w:numFmt w:val="decimal"/>
      <w:lvlText w:val="1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Základní text (5)_"/>
    <w:basedOn w:val="DefaultParagraphFont"/>
    <w:link w:val="Style4"/>
    <w:rPr>
      <w:rFonts w:ascii="Arial" w:eastAsia="Arial" w:hAnsi="Arial" w:cs="Arial"/>
      <w:b/>
      <w:bCs/>
      <w:i w:val="0"/>
      <w:iCs w:val="0"/>
      <w:smallCaps w:val="0"/>
      <w:strike w:val="0"/>
      <w:sz w:val="22"/>
      <w:szCs w:val="22"/>
      <w:u w:val="none"/>
    </w:rPr>
  </w:style>
  <w:style w:type="character" w:customStyle="1" w:styleId="CharStyle7">
    <w:name w:val="Základní text (2)_"/>
    <w:basedOn w:val="DefaultParagraphFont"/>
    <w:link w:val="Style6"/>
    <w:rPr>
      <w:rFonts w:ascii="Arial" w:eastAsia="Arial" w:hAnsi="Arial" w:cs="Arial"/>
      <w:b w:val="0"/>
      <w:bCs w:val="0"/>
      <w:i w:val="0"/>
      <w:iCs w:val="0"/>
      <w:smallCaps w:val="0"/>
      <w:strike w:val="0"/>
      <w:sz w:val="13"/>
      <w:szCs w:val="13"/>
      <w:u w:val="none"/>
    </w:rPr>
  </w:style>
  <w:style w:type="character" w:customStyle="1" w:styleId="CharStyle9">
    <w:name w:val="Základní text (3)_"/>
    <w:basedOn w:val="DefaultParagraphFont"/>
    <w:link w:val="Style8"/>
    <w:rPr>
      <w:rFonts w:ascii="Arial" w:eastAsia="Arial" w:hAnsi="Arial" w:cs="Arial"/>
      <w:b/>
      <w:bCs/>
      <w:i w:val="0"/>
      <w:iCs w:val="0"/>
      <w:smallCaps w:val="0"/>
      <w:strike w:val="0"/>
      <w:sz w:val="16"/>
      <w:szCs w:val="16"/>
      <w:u w:val="none"/>
    </w:rPr>
  </w:style>
  <w:style w:type="character" w:customStyle="1" w:styleId="CharStyle11">
    <w:name w:val="Základní text (4)_"/>
    <w:basedOn w:val="DefaultParagraphFont"/>
    <w:link w:val="Style10"/>
    <w:rPr>
      <w:rFonts w:ascii="Arial" w:eastAsia="Arial" w:hAnsi="Arial" w:cs="Arial"/>
      <w:b/>
      <w:bCs/>
      <w:i w:val="0"/>
      <w:iCs w:val="0"/>
      <w:smallCaps w:val="0"/>
      <w:strike w:val="0"/>
      <w:sz w:val="18"/>
      <w:szCs w:val="18"/>
      <w:u w:val="none"/>
    </w:rPr>
  </w:style>
  <w:style w:type="character" w:customStyle="1" w:styleId="CharStyle13">
    <w:name w:val="Nadpis #1_"/>
    <w:basedOn w:val="DefaultParagraphFont"/>
    <w:link w:val="Style12"/>
    <w:rPr>
      <w:rFonts w:ascii="Times New Roman" w:eastAsia="Times New Roman" w:hAnsi="Times New Roman" w:cs="Times New Roman"/>
      <w:b/>
      <w:bCs/>
      <w:i w:val="0"/>
      <w:iCs w:val="0"/>
      <w:smallCaps w:val="0"/>
      <w:strike w:val="0"/>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Titulek tabulky_"/>
    <w:basedOn w:val="DefaultParagraphFont"/>
    <w:link w:val="Style18"/>
    <w:rPr>
      <w:rFonts w:ascii="Times New Roman" w:eastAsia="Times New Roman" w:hAnsi="Times New Roman" w:cs="Times New Roman"/>
      <w:b w:val="0"/>
      <w:bCs w:val="0"/>
      <w:i w:val="0"/>
      <w:iCs w:val="0"/>
      <w:smallCaps w:val="0"/>
      <w:strike w:val="0"/>
      <w:u w:val="none"/>
    </w:rPr>
  </w:style>
  <w:style w:type="character" w:customStyle="1" w:styleId="CharStyle22">
    <w:name w:val="Jiné_"/>
    <w:basedOn w:val="DefaultParagraphFont"/>
    <w:link w:val="Style21"/>
    <w:rPr>
      <w:rFonts w:ascii="Times New Roman" w:eastAsia="Times New Roman" w:hAnsi="Times New Roman" w:cs="Times New Roman"/>
      <w:b w:val="0"/>
      <w:bCs w:val="0"/>
      <w:i w:val="0"/>
      <w:iCs w:val="0"/>
      <w:smallCaps w:val="0"/>
      <w:strike w:val="0"/>
      <w:u w:val="none"/>
    </w:rPr>
  </w:style>
  <w:style w:type="paragraph" w:customStyle="1" w:styleId="Style2">
    <w:name w:val="Základní text"/>
    <w:basedOn w:val="Normal"/>
    <w:link w:val="CharStyle3"/>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4">
    <w:name w:val="Základní text (5)"/>
    <w:basedOn w:val="Normal"/>
    <w:link w:val="CharStyle5"/>
    <w:pPr>
      <w:widowControl w:val="0"/>
      <w:shd w:val="clear" w:color="auto" w:fill="FFFFFF"/>
      <w:jc w:val="right"/>
    </w:pPr>
    <w:rPr>
      <w:rFonts w:ascii="Arial" w:eastAsia="Arial" w:hAnsi="Arial" w:cs="Arial"/>
      <w:b/>
      <w:bCs/>
      <w:i w:val="0"/>
      <w:iCs w:val="0"/>
      <w:smallCaps w:val="0"/>
      <w:strike w:val="0"/>
      <w:sz w:val="22"/>
      <w:szCs w:val="22"/>
      <w:u w:val="none"/>
    </w:rPr>
  </w:style>
  <w:style w:type="paragraph" w:customStyle="1" w:styleId="Style6">
    <w:name w:val="Základní text (2)"/>
    <w:basedOn w:val="Normal"/>
    <w:link w:val="CharStyle7"/>
    <w:pPr>
      <w:widowControl w:val="0"/>
      <w:shd w:val="clear" w:color="auto" w:fill="FFFFFF"/>
      <w:spacing w:after="40" w:line="307" w:lineRule="auto"/>
    </w:pPr>
    <w:rPr>
      <w:rFonts w:ascii="Arial" w:eastAsia="Arial" w:hAnsi="Arial" w:cs="Arial"/>
      <w:b w:val="0"/>
      <w:bCs w:val="0"/>
      <w:i w:val="0"/>
      <w:iCs w:val="0"/>
      <w:smallCaps w:val="0"/>
      <w:strike w:val="0"/>
      <w:sz w:val="13"/>
      <w:szCs w:val="13"/>
      <w:u w:val="none"/>
    </w:rPr>
  </w:style>
  <w:style w:type="paragraph" w:customStyle="1" w:styleId="Style8">
    <w:name w:val="Základní text (3)"/>
    <w:basedOn w:val="Normal"/>
    <w:link w:val="CharStyle9"/>
    <w:pPr>
      <w:widowControl w:val="0"/>
      <w:shd w:val="clear" w:color="auto" w:fill="FFFFFF"/>
      <w:spacing w:after="240"/>
      <w:ind w:left="530"/>
    </w:pPr>
    <w:rPr>
      <w:rFonts w:ascii="Arial" w:eastAsia="Arial" w:hAnsi="Arial" w:cs="Arial"/>
      <w:b/>
      <w:bCs/>
      <w:i w:val="0"/>
      <w:iCs w:val="0"/>
      <w:smallCaps w:val="0"/>
      <w:strike w:val="0"/>
      <w:sz w:val="16"/>
      <w:szCs w:val="16"/>
      <w:u w:val="none"/>
    </w:rPr>
  </w:style>
  <w:style w:type="paragraph" w:customStyle="1" w:styleId="Style10">
    <w:name w:val="Základní text (4)"/>
    <w:basedOn w:val="Normal"/>
    <w:link w:val="CharStyle11"/>
    <w:pPr>
      <w:widowControl w:val="0"/>
      <w:shd w:val="clear" w:color="auto" w:fill="FFFFFF"/>
      <w:spacing w:after="260"/>
      <w:ind w:left="1060"/>
    </w:pPr>
    <w:rPr>
      <w:rFonts w:ascii="Arial" w:eastAsia="Arial" w:hAnsi="Arial" w:cs="Arial"/>
      <w:b/>
      <w:bCs/>
      <w:i w:val="0"/>
      <w:iCs w:val="0"/>
      <w:smallCaps w:val="0"/>
      <w:strike w:val="0"/>
      <w:sz w:val="18"/>
      <w:szCs w:val="18"/>
      <w:u w:val="none"/>
    </w:rPr>
  </w:style>
  <w:style w:type="paragraph" w:customStyle="1" w:styleId="Style12">
    <w:name w:val="Nadpis #1"/>
    <w:basedOn w:val="Normal"/>
    <w:link w:val="CharStyle13"/>
    <w:pPr>
      <w:widowControl w:val="0"/>
      <w:shd w:val="clear" w:color="auto" w:fill="FFFFFF"/>
      <w:spacing w:after="120"/>
      <w:jc w:val="center"/>
      <w:outlineLvl w:val="0"/>
    </w:pPr>
    <w:rPr>
      <w:rFonts w:ascii="Times New Roman" w:eastAsia="Times New Roman" w:hAnsi="Times New Roman" w:cs="Times New Roman"/>
      <w:b/>
      <w:bCs/>
      <w:i w:val="0"/>
      <w:iCs w:val="0"/>
      <w:smallCaps w:val="0"/>
      <w:strike w:val="0"/>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Titulek tabulky"/>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21">
    <w:name w:val="Jiné"/>
    <w:basedOn w:val="Normal"/>
    <w:link w:val="CharStyle22"/>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