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07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proofErr w:type="spellStart"/>
      <w:r w:rsidRPr="003410E8">
        <w:rPr>
          <w:rFonts w:asciiTheme="minorHAnsi" w:hAnsiTheme="minorHAnsi" w:cstheme="minorHAnsi"/>
          <w:b/>
          <w:sz w:val="32"/>
          <w:szCs w:val="32"/>
        </w:rPr>
        <w:t>Arcona</w:t>
      </w:r>
      <w:proofErr w:type="spellEnd"/>
      <w:r w:rsidRPr="003410E8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Pr="003410E8">
        <w:rPr>
          <w:rFonts w:asciiTheme="minorHAnsi" w:hAnsiTheme="minorHAnsi" w:cstheme="minorHAnsi"/>
          <w:b/>
          <w:sz w:val="32"/>
          <w:szCs w:val="32"/>
        </w:rPr>
        <w:t>Capital</w:t>
      </w:r>
      <w:proofErr w:type="spellEnd"/>
      <w:r w:rsidRPr="003410E8">
        <w:rPr>
          <w:rFonts w:asciiTheme="minorHAnsi" w:hAnsiTheme="minorHAnsi" w:cstheme="minorHAnsi"/>
          <w:b/>
          <w:sz w:val="32"/>
          <w:szCs w:val="32"/>
        </w:rPr>
        <w:t xml:space="preserve"> RE Bohemia s.r.o.</w:t>
      </w:r>
    </w:p>
    <w:bookmarkEnd w:id="0"/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sz w:val="24"/>
          <w:szCs w:val="24"/>
        </w:rPr>
      </w:pPr>
      <w:r w:rsidRPr="003410E8">
        <w:rPr>
          <w:rFonts w:asciiTheme="minorHAnsi" w:hAnsiTheme="minorHAnsi" w:cstheme="minorHAnsi"/>
          <w:sz w:val="24"/>
          <w:szCs w:val="24"/>
        </w:rPr>
        <w:t>a</w:t>
      </w: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32"/>
          <w:szCs w:val="32"/>
        </w:rPr>
      </w:pPr>
      <w:bookmarkStart w:id="1" w:name="_Hlk8299914"/>
      <w:r w:rsidRPr="0062132D">
        <w:rPr>
          <w:rFonts w:ascii="Calibri" w:hAnsi="Calibri" w:cs="Calibri"/>
          <w:b/>
          <w:sz w:val="32"/>
          <w:szCs w:val="32"/>
        </w:rPr>
        <w:t xml:space="preserve"> </w:t>
      </w:r>
      <w:r w:rsidRPr="00366683">
        <w:rPr>
          <w:rFonts w:ascii="Calibri" w:hAnsi="Calibri" w:cs="Calibri"/>
          <w:b/>
          <w:sz w:val="32"/>
          <w:szCs w:val="32"/>
        </w:rPr>
        <w:t>Česká republika – Úřad práce České republiky</w:t>
      </w:r>
      <w:bookmarkEnd w:id="1"/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sz w:val="22"/>
          <w:szCs w:val="22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caps/>
          <w:sz w:val="32"/>
          <w:szCs w:val="32"/>
        </w:rPr>
      </w:pPr>
      <w:r w:rsidRPr="003410E8">
        <w:rPr>
          <w:rFonts w:asciiTheme="minorHAnsi" w:hAnsiTheme="minorHAnsi" w:cstheme="minorHAnsi"/>
          <w:b/>
          <w:caps/>
          <w:sz w:val="32"/>
          <w:szCs w:val="32"/>
        </w:rPr>
        <w:t>DOHODA O UKONČENÍ NÁJMU</w:t>
      </w: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b/>
          <w:caps/>
          <w:sz w:val="24"/>
          <w:szCs w:val="24"/>
        </w:rPr>
      </w:pPr>
      <w:r w:rsidRPr="003410E8">
        <w:rPr>
          <w:rFonts w:asciiTheme="minorHAnsi" w:hAnsiTheme="minorHAnsi" w:cstheme="minorHAnsi"/>
          <w:b/>
          <w:sz w:val="22"/>
          <w:szCs w:val="22"/>
        </w:rPr>
        <w:br/>
      </w:r>
      <w:r w:rsidRPr="003410E8">
        <w:rPr>
          <w:rFonts w:asciiTheme="minorHAnsi" w:hAnsiTheme="minorHAnsi" w:cstheme="minorHAnsi"/>
          <w:b/>
          <w:caps/>
          <w:sz w:val="24"/>
          <w:szCs w:val="24"/>
        </w:rPr>
        <w:t>Nájemní smlouva</w:t>
      </w: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sz w:val="24"/>
          <w:szCs w:val="24"/>
        </w:rPr>
      </w:pPr>
      <w:r w:rsidRPr="003410E8">
        <w:rPr>
          <w:rFonts w:asciiTheme="minorHAnsi" w:hAnsiTheme="minorHAnsi" w:cstheme="minorHAnsi"/>
          <w:sz w:val="24"/>
          <w:szCs w:val="24"/>
        </w:rPr>
        <w:t xml:space="preserve">č. </w:t>
      </w:r>
      <w:r>
        <w:rPr>
          <w:rFonts w:asciiTheme="minorHAnsi" w:hAnsiTheme="minorHAnsi" w:cstheme="minorHAnsi"/>
          <w:sz w:val="24"/>
          <w:szCs w:val="24"/>
        </w:rPr>
        <w:t>VUP06/006</w:t>
      </w: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szCs w:val="28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szCs w:val="28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szCs w:val="28"/>
        </w:rPr>
      </w:pPr>
    </w:p>
    <w:p w:rsidR="00EA0707" w:rsidRPr="003410E8" w:rsidRDefault="00EA0707" w:rsidP="00EA0707">
      <w:pPr>
        <w:pStyle w:val="Nzev"/>
        <w:rPr>
          <w:rFonts w:asciiTheme="minorHAnsi" w:hAnsiTheme="minorHAnsi" w:cstheme="minorHAnsi"/>
          <w:szCs w:val="28"/>
        </w:rPr>
      </w:pPr>
      <w:r w:rsidRPr="003410E8">
        <w:rPr>
          <w:rFonts w:asciiTheme="minorHAnsi" w:hAnsiTheme="minorHAnsi" w:cstheme="minorHAnsi"/>
          <w:noProof/>
          <w:szCs w:val="28"/>
        </w:rPr>
        <w:drawing>
          <wp:anchor distT="0" distB="0" distL="114300" distR="114300" simplePos="0" relativeHeight="251657216" behindDoc="0" locked="0" layoutInCell="1" allowOverlap="1" wp14:anchorId="68EBB5DE" wp14:editId="35AD01A8">
            <wp:simplePos x="0" y="0"/>
            <wp:positionH relativeFrom="column">
              <wp:posOffset>1910715</wp:posOffset>
            </wp:positionH>
            <wp:positionV relativeFrom="paragraph">
              <wp:posOffset>24130</wp:posOffset>
            </wp:positionV>
            <wp:extent cx="2695575" cy="2219325"/>
            <wp:effectExtent l="19050" t="0" r="952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cona_Head_Pape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53" t="4566" b="82977"/>
                    <a:stretch/>
                  </pic:blipFill>
                  <pic:spPr bwMode="auto">
                    <a:xfrm>
                      <a:off x="0" y="0"/>
                      <a:ext cx="2695575" cy="221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A0707" w:rsidRPr="003410E8" w:rsidRDefault="00EA0707" w:rsidP="00EA0707">
      <w:pPr>
        <w:rPr>
          <w:rFonts w:cstheme="minorHAnsi"/>
          <w:b/>
          <w:caps/>
          <w:sz w:val="28"/>
          <w:lang w:val="cs-CZ"/>
        </w:rPr>
      </w:pPr>
    </w:p>
    <w:p w:rsidR="00EA0707" w:rsidRPr="003410E8" w:rsidRDefault="00EA0707" w:rsidP="00EA0707">
      <w:pPr>
        <w:rPr>
          <w:rFonts w:cstheme="minorHAnsi"/>
          <w:b/>
          <w:caps/>
          <w:sz w:val="28"/>
          <w:lang w:val="cs-CZ"/>
        </w:rPr>
      </w:pPr>
      <w:r w:rsidRPr="003410E8">
        <w:rPr>
          <w:rFonts w:cstheme="minorHAnsi"/>
          <w:b/>
          <w:caps/>
          <w:sz w:val="28"/>
          <w:lang w:val="cs-CZ"/>
        </w:rPr>
        <w:br w:type="page"/>
      </w:r>
    </w:p>
    <w:p w:rsidR="00EA0707" w:rsidRPr="003410E8" w:rsidRDefault="00EA0707" w:rsidP="00EA0707">
      <w:pPr>
        <w:ind w:right="-6"/>
        <w:jc w:val="center"/>
        <w:rPr>
          <w:rFonts w:cstheme="minorHAnsi"/>
          <w:b/>
          <w:caps/>
          <w:sz w:val="28"/>
          <w:szCs w:val="28"/>
          <w:lang w:val="cs-CZ"/>
        </w:rPr>
      </w:pPr>
      <w:r w:rsidRPr="003410E8">
        <w:rPr>
          <w:rFonts w:cstheme="minorHAnsi"/>
          <w:b/>
          <w:caps/>
          <w:sz w:val="28"/>
          <w:szCs w:val="28"/>
          <w:lang w:val="cs-CZ"/>
        </w:rPr>
        <w:lastRenderedPageBreak/>
        <w:t>Dohoda o ukončení nájmu</w:t>
      </w:r>
    </w:p>
    <w:p w:rsidR="00EA0707" w:rsidRPr="003410E8" w:rsidRDefault="00EA0707" w:rsidP="00EA0707">
      <w:pPr>
        <w:ind w:right="-1334"/>
        <w:jc w:val="both"/>
        <w:rPr>
          <w:rFonts w:cstheme="minorHAnsi"/>
          <w:b/>
          <w:sz w:val="22"/>
          <w:szCs w:val="22"/>
          <w:lang w:val="cs-CZ"/>
        </w:rPr>
      </w:pPr>
    </w:p>
    <w:p w:rsidR="00EA0707" w:rsidRPr="003410E8" w:rsidRDefault="00EA0707" w:rsidP="00EA0707">
      <w:pPr>
        <w:ind w:right="-1334"/>
        <w:jc w:val="both"/>
        <w:rPr>
          <w:rFonts w:cstheme="minorHAnsi"/>
          <w:b/>
          <w:sz w:val="22"/>
          <w:szCs w:val="22"/>
          <w:lang w:val="cs-CZ"/>
        </w:rPr>
      </w:pPr>
    </w:p>
    <w:p w:rsidR="00EA0707" w:rsidRDefault="00EA0707" w:rsidP="00EA0707">
      <w:pPr>
        <w:pStyle w:val="Odstavecseseznamem"/>
        <w:numPr>
          <w:ilvl w:val="0"/>
          <w:numId w:val="3"/>
        </w:numPr>
        <w:jc w:val="both"/>
        <w:rPr>
          <w:rFonts w:cstheme="minorHAnsi"/>
          <w:sz w:val="22"/>
          <w:szCs w:val="22"/>
          <w:lang w:val="cs-CZ"/>
        </w:rPr>
      </w:pPr>
      <w:proofErr w:type="spellStart"/>
      <w:r w:rsidRPr="003410E8">
        <w:rPr>
          <w:rFonts w:cstheme="minorHAnsi"/>
          <w:b/>
          <w:sz w:val="22"/>
          <w:szCs w:val="22"/>
          <w:lang w:val="cs-CZ"/>
        </w:rPr>
        <w:t>Arcona</w:t>
      </w:r>
      <w:proofErr w:type="spellEnd"/>
      <w:r w:rsidRPr="003410E8">
        <w:rPr>
          <w:rFonts w:cstheme="minorHAnsi"/>
          <w:b/>
          <w:sz w:val="22"/>
          <w:szCs w:val="22"/>
          <w:lang w:val="cs-CZ"/>
        </w:rPr>
        <w:t xml:space="preserve"> </w:t>
      </w:r>
      <w:proofErr w:type="spellStart"/>
      <w:r w:rsidRPr="003410E8">
        <w:rPr>
          <w:rFonts w:cstheme="minorHAnsi"/>
          <w:b/>
          <w:sz w:val="22"/>
          <w:szCs w:val="22"/>
          <w:lang w:val="cs-CZ"/>
        </w:rPr>
        <w:t>Capital</w:t>
      </w:r>
      <w:proofErr w:type="spellEnd"/>
      <w:r w:rsidRPr="003410E8">
        <w:rPr>
          <w:rFonts w:cstheme="minorHAnsi"/>
          <w:b/>
          <w:sz w:val="22"/>
          <w:szCs w:val="22"/>
          <w:lang w:val="cs-CZ"/>
        </w:rPr>
        <w:t xml:space="preserve"> RE Bohemia s.r.o.</w:t>
      </w:r>
      <w:r w:rsidRPr="003410E8">
        <w:rPr>
          <w:rFonts w:cstheme="minorHAnsi"/>
          <w:sz w:val="22"/>
          <w:szCs w:val="22"/>
          <w:lang w:val="cs-CZ"/>
        </w:rPr>
        <w:t>, se sídlem Politických vězňů 912/10, 110 00 Praha 1, IČO 284 38 353, zapsaná v</w:t>
      </w:r>
      <w:r w:rsidRPr="003410E8">
        <w:rPr>
          <w:rFonts w:cstheme="minorHAnsi"/>
          <w:b/>
          <w:sz w:val="22"/>
          <w:szCs w:val="22"/>
          <w:lang w:val="cs-CZ"/>
        </w:rPr>
        <w:t xml:space="preserve"> </w:t>
      </w:r>
      <w:r w:rsidRPr="003410E8">
        <w:rPr>
          <w:rFonts w:cstheme="minorHAnsi"/>
          <w:sz w:val="22"/>
          <w:szCs w:val="22"/>
          <w:lang w:val="cs-CZ"/>
        </w:rPr>
        <w:t xml:space="preserve">obchodním rejstříku vedeném Městským soudem v Praze, </w:t>
      </w:r>
      <w:proofErr w:type="spellStart"/>
      <w:r w:rsidRPr="003410E8">
        <w:rPr>
          <w:rFonts w:cstheme="minorHAnsi"/>
          <w:sz w:val="22"/>
          <w:szCs w:val="22"/>
          <w:lang w:val="cs-CZ"/>
        </w:rPr>
        <w:t>sp</w:t>
      </w:r>
      <w:proofErr w:type="spellEnd"/>
      <w:r w:rsidRPr="003410E8">
        <w:rPr>
          <w:rFonts w:cstheme="minorHAnsi"/>
          <w:sz w:val="22"/>
          <w:szCs w:val="22"/>
          <w:lang w:val="cs-CZ"/>
        </w:rPr>
        <w:t>. zn. C 141523,</w:t>
      </w:r>
    </w:p>
    <w:p w:rsidR="00EA0707" w:rsidRPr="003410E8" w:rsidRDefault="00EA0707" w:rsidP="00EA0707">
      <w:pPr>
        <w:pStyle w:val="Odstavecseseznamem"/>
        <w:spacing w:after="120" w:line="300" w:lineRule="exact"/>
        <w:ind w:left="360"/>
        <w:rPr>
          <w:rFonts w:ascii="Calibri" w:hAnsi="Calibri" w:cs="Calibri"/>
          <w:sz w:val="22"/>
          <w:szCs w:val="22"/>
          <w:lang w:val="cs-CZ"/>
        </w:rPr>
      </w:pPr>
      <w:r w:rsidRPr="003410E8">
        <w:rPr>
          <w:rFonts w:ascii="Calibri" w:hAnsi="Calibri" w:cs="Calibri"/>
          <w:sz w:val="22"/>
          <w:szCs w:val="22"/>
          <w:lang w:val="cs-CZ"/>
        </w:rPr>
        <w:t xml:space="preserve">bankovní spojení: </w:t>
      </w:r>
      <w:proofErr w:type="spellStart"/>
      <w:r>
        <w:rPr>
          <w:rFonts w:ascii="Calibri" w:hAnsi="Calibri" w:cs="Calibri"/>
          <w:sz w:val="22"/>
          <w:szCs w:val="22"/>
          <w:lang w:val="cs-CZ"/>
        </w:rPr>
        <w:t>xxx</w:t>
      </w:r>
      <w:proofErr w:type="spellEnd"/>
    </w:p>
    <w:p w:rsidR="00EA0707" w:rsidRPr="003410E8" w:rsidRDefault="00EA0707" w:rsidP="00EA0707">
      <w:pPr>
        <w:pStyle w:val="Odstavecseseznamem"/>
        <w:ind w:left="360"/>
        <w:jc w:val="both"/>
        <w:rPr>
          <w:rFonts w:cstheme="minorHAnsi"/>
          <w:b/>
          <w:sz w:val="22"/>
          <w:szCs w:val="22"/>
          <w:lang w:val="cs-CZ"/>
        </w:rPr>
      </w:pPr>
    </w:p>
    <w:p w:rsidR="00EA0707" w:rsidRPr="003410E8" w:rsidRDefault="00EA0707" w:rsidP="00EA0707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3410E8">
        <w:rPr>
          <w:rFonts w:asciiTheme="minorHAnsi" w:hAnsiTheme="minorHAnsi" w:cstheme="minorHAnsi"/>
          <w:sz w:val="22"/>
          <w:szCs w:val="22"/>
        </w:rPr>
        <w:t>(dále jen „</w:t>
      </w:r>
      <w:r w:rsidRPr="003410E8">
        <w:rPr>
          <w:rFonts w:asciiTheme="minorHAnsi" w:hAnsiTheme="minorHAnsi" w:cstheme="minorHAnsi"/>
          <w:b/>
          <w:sz w:val="22"/>
          <w:szCs w:val="22"/>
        </w:rPr>
        <w:t>Pronajímatel</w:t>
      </w:r>
      <w:r w:rsidRPr="003410E8">
        <w:rPr>
          <w:rFonts w:asciiTheme="minorHAnsi" w:hAnsiTheme="minorHAnsi" w:cstheme="minorHAnsi"/>
          <w:sz w:val="22"/>
          <w:szCs w:val="22"/>
        </w:rPr>
        <w:t>“)</w:t>
      </w:r>
    </w:p>
    <w:p w:rsidR="00EA0707" w:rsidRPr="003410E8" w:rsidRDefault="00EA0707" w:rsidP="00EA0707">
      <w:pPr>
        <w:pStyle w:val="Zkladntextodsazen"/>
        <w:spacing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EA0707" w:rsidRPr="003410E8" w:rsidRDefault="00EA0707" w:rsidP="00EA0707">
      <w:pPr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a</w:t>
      </w:r>
    </w:p>
    <w:p w:rsidR="00EA0707" w:rsidRPr="003410E8" w:rsidRDefault="00EA0707" w:rsidP="00EA0707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:rsidR="00EA0707" w:rsidRPr="007B1BEA" w:rsidRDefault="00EA0707" w:rsidP="00EA0707">
      <w:pPr>
        <w:pStyle w:val="Odstavecseseznamem"/>
        <w:numPr>
          <w:ilvl w:val="0"/>
          <w:numId w:val="4"/>
        </w:numPr>
        <w:spacing w:after="120" w:line="300" w:lineRule="exact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 w:rsidRPr="003410E8">
        <w:rPr>
          <w:rFonts w:ascii="Calibri" w:hAnsi="Calibri" w:cs="Calibri"/>
          <w:b/>
          <w:sz w:val="22"/>
          <w:szCs w:val="22"/>
          <w:lang w:val="cs-CZ"/>
        </w:rPr>
        <w:t>Česká republika – Úřad práce České republiky</w:t>
      </w:r>
      <w:r w:rsidRPr="003410E8">
        <w:rPr>
          <w:rFonts w:ascii="Calibri" w:hAnsi="Calibri" w:cs="Calibri"/>
          <w:sz w:val="22"/>
          <w:szCs w:val="22"/>
          <w:lang w:val="cs-CZ"/>
        </w:rPr>
        <w:t xml:space="preserve">, se sídlem Dobrovského 1278/25, 170 00 Praha 7, Holešovice, IČO 724 96 991, zastoupená Ing. </w:t>
      </w:r>
      <w:proofErr w:type="spellStart"/>
      <w:r>
        <w:rPr>
          <w:rFonts w:ascii="Calibri" w:hAnsi="Calibri" w:cs="Calibri"/>
          <w:sz w:val="22"/>
          <w:szCs w:val="22"/>
        </w:rPr>
        <w:t>Josefem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BF7B32">
        <w:rPr>
          <w:rFonts w:ascii="Calibri" w:eastAsia="Calibri" w:hAnsi="Calibri" w:cs="Arial"/>
          <w:sz w:val="22"/>
          <w:szCs w:val="22"/>
        </w:rPr>
        <w:t>Bürgerem</w:t>
      </w:r>
      <w:proofErr w:type="spellEnd"/>
      <w:r w:rsidRPr="00BF7B32">
        <w:rPr>
          <w:rFonts w:ascii="Calibri" w:eastAsia="Calibri" w:hAnsi="Calibri" w:cs="Arial"/>
          <w:sz w:val="22"/>
          <w:szCs w:val="22"/>
        </w:rPr>
        <w:t xml:space="preserve"> – </w:t>
      </w:r>
      <w:proofErr w:type="spellStart"/>
      <w:r>
        <w:rPr>
          <w:rFonts w:ascii="Calibri" w:hAnsi="Calibri" w:cs="Arial"/>
        </w:rPr>
        <w:t>ředitelem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Krajské</w:t>
      </w:r>
      <w:proofErr w:type="spellEnd"/>
      <w:r>
        <w:rPr>
          <w:rFonts w:ascii="Calibri" w:hAnsi="Calibri" w:cs="Arial"/>
        </w:rPr>
        <w:t xml:space="preserve"> </w:t>
      </w:r>
      <w:proofErr w:type="spellStart"/>
      <w:r>
        <w:rPr>
          <w:rFonts w:ascii="Calibri" w:hAnsi="Calibri" w:cs="Arial"/>
        </w:rPr>
        <w:t>pobočky</w:t>
      </w:r>
      <w:proofErr w:type="spellEnd"/>
      <w:r>
        <w:rPr>
          <w:rFonts w:ascii="Calibri" w:hAnsi="Calibri" w:cs="Arial"/>
        </w:rPr>
        <w:t xml:space="preserve"> v </w:t>
      </w:r>
      <w:proofErr w:type="spellStart"/>
      <w:r>
        <w:rPr>
          <w:rFonts w:ascii="Calibri" w:hAnsi="Calibri" w:cs="Arial"/>
        </w:rPr>
        <w:t>Brně</w:t>
      </w:r>
      <w:proofErr w:type="spellEnd"/>
      <w:r>
        <w:rPr>
          <w:rFonts w:ascii="Calibri" w:hAnsi="Calibri" w:cs="Arial"/>
        </w:rPr>
        <w:t xml:space="preserve"> ÚP ČR</w:t>
      </w:r>
      <w:r w:rsidRPr="00674CC3">
        <w:rPr>
          <w:rFonts w:ascii="Calibri" w:hAnsi="Calibri" w:cs="Calibri"/>
          <w:sz w:val="22"/>
          <w:szCs w:val="22"/>
        </w:rPr>
        <w:t>,</w:t>
      </w:r>
    </w:p>
    <w:p w:rsidR="00EA0707" w:rsidRDefault="00EA0707" w:rsidP="00EA0707">
      <w:pPr>
        <w:spacing w:after="120" w:line="300" w:lineRule="exact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Doručovací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sz w:val="22"/>
          <w:szCs w:val="22"/>
        </w:rPr>
        <w:t>fakturační</w:t>
      </w:r>
      <w:proofErr w:type="spellEnd"/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adresa</w:t>
      </w:r>
      <w:proofErr w:type="spellEnd"/>
      <w:r>
        <w:rPr>
          <w:rFonts w:ascii="Calibri" w:hAnsi="Calibri" w:cs="Calibri"/>
          <w:b/>
          <w:sz w:val="22"/>
          <w:szCs w:val="22"/>
        </w:rPr>
        <w:t>:</w:t>
      </w:r>
    </w:p>
    <w:p w:rsidR="00EA0707" w:rsidRDefault="00EA0707" w:rsidP="00EA0707">
      <w:pPr>
        <w:rPr>
          <w:rFonts w:ascii="Calibri" w:hAnsi="Calibri" w:cs="Calibri"/>
          <w:sz w:val="22"/>
          <w:szCs w:val="22"/>
        </w:rPr>
      </w:pPr>
      <w:proofErr w:type="spellStart"/>
      <w:r w:rsidRPr="007B1BEA">
        <w:rPr>
          <w:rFonts w:ascii="Calibri" w:hAnsi="Calibri" w:cs="Calibri"/>
          <w:sz w:val="22"/>
          <w:szCs w:val="22"/>
        </w:rPr>
        <w:t>Krajská</w:t>
      </w:r>
      <w:proofErr w:type="spellEnd"/>
      <w:r w:rsidRPr="007B1B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sz w:val="22"/>
          <w:szCs w:val="22"/>
        </w:rPr>
        <w:t>pobočka</w:t>
      </w:r>
      <w:proofErr w:type="spellEnd"/>
      <w:r w:rsidRPr="007B1B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sz w:val="22"/>
          <w:szCs w:val="22"/>
        </w:rPr>
        <w:t>Úřadu</w:t>
      </w:r>
      <w:proofErr w:type="spellEnd"/>
      <w:r w:rsidRPr="007B1B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sz w:val="22"/>
          <w:szCs w:val="22"/>
        </w:rPr>
        <w:t>práce</w:t>
      </w:r>
      <w:proofErr w:type="spellEnd"/>
      <w:r w:rsidRPr="007B1B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sz w:val="22"/>
          <w:szCs w:val="22"/>
        </w:rPr>
        <w:t>České</w:t>
      </w:r>
      <w:proofErr w:type="spellEnd"/>
      <w:r w:rsidRPr="007B1BE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sz w:val="22"/>
          <w:szCs w:val="22"/>
        </w:rPr>
        <w:t>republiky</w:t>
      </w:r>
      <w:proofErr w:type="spellEnd"/>
      <w:r w:rsidRPr="007B1BEA">
        <w:rPr>
          <w:rFonts w:ascii="Calibri" w:hAnsi="Calibri" w:cs="Calibri"/>
          <w:sz w:val="22"/>
          <w:szCs w:val="22"/>
        </w:rPr>
        <w:t xml:space="preserve"> v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 w:rsidRPr="007B1BEA">
        <w:rPr>
          <w:rFonts w:ascii="Calibri" w:hAnsi="Calibri" w:cs="Calibri"/>
          <w:sz w:val="22"/>
          <w:szCs w:val="22"/>
        </w:rPr>
        <w:t>Brn</w:t>
      </w:r>
      <w:r>
        <w:rPr>
          <w:rFonts w:ascii="Calibri" w:hAnsi="Calibri" w:cs="Calibri"/>
          <w:sz w:val="22"/>
          <w:szCs w:val="22"/>
        </w:rPr>
        <w:t>ě</w:t>
      </w:r>
      <w:proofErr w:type="spellEnd"/>
      <w:r>
        <w:rPr>
          <w:rFonts w:ascii="Calibri" w:hAnsi="Calibri" w:cs="Calibri"/>
          <w:sz w:val="22"/>
          <w:szCs w:val="22"/>
        </w:rPr>
        <w:br/>
      </w:r>
      <w:proofErr w:type="spellStart"/>
      <w:r w:rsidRPr="007B1BEA">
        <w:rPr>
          <w:rFonts w:ascii="Calibri" w:hAnsi="Calibri" w:cs="Calibri"/>
          <w:sz w:val="22"/>
          <w:szCs w:val="22"/>
        </w:rPr>
        <w:t>Polní</w:t>
      </w:r>
      <w:proofErr w:type="spellEnd"/>
      <w:r w:rsidRPr="007B1BEA">
        <w:rPr>
          <w:rFonts w:ascii="Calibri" w:hAnsi="Calibri" w:cs="Calibri"/>
          <w:sz w:val="22"/>
          <w:szCs w:val="22"/>
        </w:rPr>
        <w:t xml:space="preserve"> 1011/37, 659 59 Brno</w:t>
      </w:r>
      <w:r>
        <w:rPr>
          <w:rFonts w:ascii="Calibri" w:hAnsi="Calibri" w:cs="Calibri"/>
          <w:sz w:val="22"/>
          <w:szCs w:val="22"/>
        </w:rPr>
        <w:br/>
      </w:r>
      <w:proofErr w:type="spellStart"/>
      <w:r w:rsidRPr="007B1BEA">
        <w:rPr>
          <w:rFonts w:ascii="Calibri" w:hAnsi="Calibri" w:cs="Calibri"/>
          <w:b/>
          <w:sz w:val="22"/>
          <w:szCs w:val="22"/>
        </w:rPr>
        <w:t>Bankovní</w:t>
      </w:r>
      <w:proofErr w:type="spellEnd"/>
      <w:r w:rsidRPr="007B1BE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b/>
          <w:sz w:val="22"/>
          <w:szCs w:val="22"/>
        </w:rPr>
        <w:t>spojení</w:t>
      </w:r>
      <w:proofErr w:type="spellEnd"/>
      <w:r w:rsidRPr="007B1BEA">
        <w:rPr>
          <w:rFonts w:ascii="Calibri" w:hAnsi="Calibri" w:cs="Calibri"/>
          <w:b/>
          <w:sz w:val="22"/>
          <w:szCs w:val="22"/>
        </w:rPr>
        <w:t>:</w:t>
      </w:r>
      <w:r w:rsidRPr="007B1BE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xxx</w:t>
      </w:r>
    </w:p>
    <w:p w:rsidR="00EA0707" w:rsidRPr="003410E8" w:rsidRDefault="00EA0707" w:rsidP="00EA0707">
      <w:pPr>
        <w:rPr>
          <w:rFonts w:cstheme="minorHAnsi"/>
          <w:sz w:val="22"/>
          <w:szCs w:val="22"/>
          <w:lang w:val="cs-CZ"/>
        </w:rPr>
      </w:pPr>
      <w:proofErr w:type="spellStart"/>
      <w:r w:rsidRPr="007B1BEA">
        <w:rPr>
          <w:rFonts w:ascii="Calibri" w:hAnsi="Calibri" w:cs="Calibri"/>
          <w:b/>
          <w:sz w:val="22"/>
          <w:szCs w:val="22"/>
        </w:rPr>
        <w:t>Číslo</w:t>
      </w:r>
      <w:proofErr w:type="spellEnd"/>
      <w:r w:rsidRPr="007B1BE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b/>
          <w:sz w:val="22"/>
          <w:szCs w:val="22"/>
        </w:rPr>
        <w:t>účtu</w:t>
      </w:r>
      <w:proofErr w:type="spellEnd"/>
      <w:r w:rsidRPr="007B1BEA">
        <w:rPr>
          <w:rFonts w:ascii="Calibri" w:hAnsi="Calibri" w:cs="Calibri"/>
          <w:b/>
          <w:sz w:val="22"/>
          <w:szCs w:val="22"/>
        </w:rPr>
        <w:t>:</w:t>
      </w:r>
      <w:r w:rsidRPr="007B1BEA">
        <w:rPr>
          <w:rFonts w:ascii="Calibri" w:hAnsi="Calibri" w:cs="Calibri"/>
          <w:sz w:val="22"/>
          <w:szCs w:val="22"/>
        </w:rPr>
        <w:tab/>
      </w:r>
      <w:r w:rsidRPr="007B1BEA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xxx</w:t>
      </w:r>
      <w:r>
        <w:rPr>
          <w:rFonts w:ascii="Calibri" w:hAnsi="Calibri" w:cs="Calibri"/>
          <w:sz w:val="22"/>
          <w:szCs w:val="22"/>
        </w:rPr>
        <w:br/>
      </w:r>
      <w:r w:rsidRPr="007B1BEA">
        <w:rPr>
          <w:rFonts w:ascii="Calibri" w:hAnsi="Calibri" w:cs="Calibri"/>
          <w:b/>
          <w:sz w:val="22"/>
          <w:szCs w:val="22"/>
        </w:rPr>
        <w:t xml:space="preserve">ID </w:t>
      </w:r>
      <w:proofErr w:type="spellStart"/>
      <w:r w:rsidRPr="007B1BEA">
        <w:rPr>
          <w:rFonts w:ascii="Calibri" w:hAnsi="Calibri" w:cs="Calibri"/>
          <w:b/>
          <w:sz w:val="22"/>
          <w:szCs w:val="22"/>
        </w:rPr>
        <w:t>datové</w:t>
      </w:r>
      <w:proofErr w:type="spellEnd"/>
      <w:r w:rsidRPr="007B1BE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7B1BEA">
        <w:rPr>
          <w:rFonts w:ascii="Calibri" w:hAnsi="Calibri" w:cs="Calibri"/>
          <w:b/>
          <w:sz w:val="22"/>
          <w:szCs w:val="22"/>
        </w:rPr>
        <w:t>schránky</w:t>
      </w:r>
      <w:proofErr w:type="spellEnd"/>
      <w:r w:rsidRPr="007B1BEA">
        <w:rPr>
          <w:rFonts w:ascii="Calibri" w:hAnsi="Calibri" w:cs="Calibri"/>
          <w:b/>
          <w:sz w:val="22"/>
          <w:szCs w:val="22"/>
        </w:rPr>
        <w:t>:</w:t>
      </w:r>
      <w:r w:rsidRPr="007B1BEA">
        <w:rPr>
          <w:rFonts w:ascii="Calibri" w:hAnsi="Calibri" w:cs="Calibri"/>
          <w:sz w:val="22"/>
          <w:szCs w:val="22"/>
        </w:rPr>
        <w:tab/>
      </w:r>
      <w:proofErr w:type="spellStart"/>
      <w:r w:rsidRPr="007B1BEA">
        <w:rPr>
          <w:rFonts w:ascii="Calibri" w:hAnsi="Calibri" w:cs="Calibri"/>
          <w:sz w:val="22"/>
          <w:szCs w:val="22"/>
        </w:rPr>
        <w:t>syyztwe</w:t>
      </w:r>
      <w:proofErr w:type="spellEnd"/>
      <w:r w:rsidRPr="003410E8" w:rsidDel="0062132D">
        <w:rPr>
          <w:rFonts w:cstheme="minorHAnsi"/>
          <w:sz w:val="22"/>
          <w:szCs w:val="22"/>
          <w:highlight w:val="yellow"/>
          <w:lang w:val="cs-CZ"/>
        </w:rPr>
        <w:t xml:space="preserve"> </w:t>
      </w:r>
    </w:p>
    <w:p w:rsidR="00EA0707" w:rsidRPr="003410E8" w:rsidRDefault="00EA0707" w:rsidP="00EA0707">
      <w:pPr>
        <w:pStyle w:val="Styl1"/>
        <w:rPr>
          <w:rFonts w:asciiTheme="minorHAnsi" w:hAnsiTheme="minorHAnsi" w:cstheme="minorHAnsi"/>
          <w:sz w:val="22"/>
          <w:szCs w:val="22"/>
        </w:rPr>
      </w:pPr>
    </w:p>
    <w:p w:rsidR="00EA0707" w:rsidRPr="003410E8" w:rsidRDefault="00EA0707" w:rsidP="00EA0707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3410E8">
        <w:rPr>
          <w:rFonts w:asciiTheme="minorHAnsi" w:hAnsiTheme="minorHAnsi" w:cstheme="minorHAnsi"/>
          <w:sz w:val="22"/>
          <w:szCs w:val="22"/>
        </w:rPr>
        <w:t>(dále jen „</w:t>
      </w:r>
      <w:r w:rsidRPr="003410E8">
        <w:rPr>
          <w:rFonts w:asciiTheme="minorHAnsi" w:hAnsiTheme="minorHAnsi" w:cstheme="minorHAnsi"/>
          <w:b/>
          <w:sz w:val="22"/>
          <w:szCs w:val="22"/>
        </w:rPr>
        <w:t>Nájemce</w:t>
      </w:r>
      <w:r w:rsidRPr="003410E8">
        <w:rPr>
          <w:rFonts w:asciiTheme="minorHAnsi" w:hAnsiTheme="minorHAnsi" w:cstheme="minorHAnsi"/>
          <w:sz w:val="22"/>
          <w:szCs w:val="22"/>
        </w:rPr>
        <w:t>“)</w:t>
      </w:r>
    </w:p>
    <w:p w:rsidR="00EA0707" w:rsidRPr="003410E8" w:rsidRDefault="00EA0707" w:rsidP="00EA0707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:rsidR="00EA0707" w:rsidRPr="003410E8" w:rsidRDefault="00EA0707" w:rsidP="00EA0707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:rsidR="00EA0707" w:rsidRPr="003410E8" w:rsidRDefault="00EA0707" w:rsidP="00EA0707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  <w:r w:rsidRPr="003410E8">
        <w:rPr>
          <w:rFonts w:asciiTheme="minorHAnsi" w:hAnsiTheme="minorHAnsi" w:cstheme="minorHAnsi"/>
          <w:sz w:val="22"/>
          <w:szCs w:val="22"/>
        </w:rPr>
        <w:t>(Pronajímatel a Nájemce společně dále jen „</w:t>
      </w:r>
      <w:r w:rsidRPr="003410E8">
        <w:rPr>
          <w:rFonts w:asciiTheme="minorHAnsi" w:hAnsiTheme="minorHAnsi" w:cstheme="minorHAnsi"/>
          <w:b/>
          <w:sz w:val="22"/>
          <w:szCs w:val="22"/>
        </w:rPr>
        <w:t>Smluvní strany</w:t>
      </w:r>
      <w:r w:rsidRPr="003410E8">
        <w:rPr>
          <w:rFonts w:asciiTheme="minorHAnsi" w:hAnsiTheme="minorHAnsi" w:cstheme="minorHAnsi"/>
          <w:sz w:val="22"/>
          <w:szCs w:val="22"/>
        </w:rPr>
        <w:t>“)</w:t>
      </w:r>
    </w:p>
    <w:p w:rsidR="00EA0707" w:rsidRPr="003410E8" w:rsidRDefault="00EA0707" w:rsidP="00EA0707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:rsidR="00EA0707" w:rsidRPr="003410E8" w:rsidRDefault="00EA0707" w:rsidP="00EA0707">
      <w:pPr>
        <w:jc w:val="both"/>
        <w:rPr>
          <w:rFonts w:cstheme="minorHAnsi"/>
          <w:b/>
          <w:caps/>
          <w:sz w:val="22"/>
          <w:szCs w:val="22"/>
          <w:lang w:val="cs-CZ"/>
        </w:rPr>
      </w:pPr>
      <w:r w:rsidRPr="003410E8">
        <w:rPr>
          <w:rFonts w:cstheme="minorHAnsi"/>
          <w:b/>
          <w:caps/>
          <w:sz w:val="22"/>
          <w:szCs w:val="22"/>
          <w:lang w:val="cs-CZ"/>
        </w:rPr>
        <w:t xml:space="preserve">Vzhledem k tomu, že </w:t>
      </w:r>
    </w:p>
    <w:p w:rsidR="00EA0707" w:rsidRPr="003410E8" w:rsidRDefault="00EA0707" w:rsidP="00EA0707">
      <w:pPr>
        <w:jc w:val="both"/>
        <w:rPr>
          <w:rFonts w:cstheme="minorHAnsi"/>
          <w:sz w:val="22"/>
          <w:szCs w:val="22"/>
          <w:lang w:val="cs-CZ"/>
        </w:rPr>
      </w:pPr>
    </w:p>
    <w:p w:rsidR="00EA0707" w:rsidRPr="003410E8" w:rsidRDefault="00EA0707" w:rsidP="00EA0707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Pronajímatel, jako pronajímatel, a Nájemce, jako nájemce, uzavřeli dne 1. 6. 2006 Nájemní smlouvu týkající se nájmu prostor sloužících podnikání (dále jen „</w:t>
      </w:r>
      <w:r w:rsidRPr="003410E8">
        <w:rPr>
          <w:rFonts w:cstheme="minorHAnsi"/>
          <w:b/>
          <w:sz w:val="22"/>
          <w:szCs w:val="22"/>
          <w:lang w:val="cs-CZ"/>
        </w:rPr>
        <w:t>Smlouva</w:t>
      </w:r>
      <w:r w:rsidRPr="003410E8">
        <w:rPr>
          <w:rFonts w:cstheme="minorHAnsi"/>
          <w:sz w:val="22"/>
          <w:szCs w:val="22"/>
          <w:lang w:val="cs-CZ"/>
        </w:rPr>
        <w:t>“); a</w:t>
      </w:r>
    </w:p>
    <w:p w:rsidR="00EA0707" w:rsidRPr="003410E8" w:rsidRDefault="00EA0707" w:rsidP="00EA0707">
      <w:pPr>
        <w:pStyle w:val="Odstavecseseznamem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Smluvní strany si přejí ukončit nájem založený Smlouvou dohodou,</w:t>
      </w:r>
    </w:p>
    <w:p w:rsidR="00EA0707" w:rsidRPr="003410E8" w:rsidRDefault="00EA0707" w:rsidP="00EA0707">
      <w:pPr>
        <w:jc w:val="both"/>
        <w:rPr>
          <w:rFonts w:cstheme="minorHAnsi"/>
          <w:sz w:val="22"/>
          <w:szCs w:val="22"/>
          <w:lang w:val="cs-CZ"/>
        </w:rPr>
      </w:pPr>
    </w:p>
    <w:p w:rsidR="00EA0707" w:rsidRPr="003410E8" w:rsidRDefault="00EA0707" w:rsidP="00EA0707">
      <w:pPr>
        <w:jc w:val="both"/>
        <w:rPr>
          <w:rFonts w:cstheme="minorHAnsi"/>
          <w:caps/>
          <w:sz w:val="22"/>
          <w:szCs w:val="22"/>
          <w:lang w:val="cs-CZ"/>
        </w:rPr>
      </w:pPr>
      <w:r w:rsidRPr="003410E8">
        <w:rPr>
          <w:rFonts w:cstheme="minorHAnsi"/>
          <w:b/>
          <w:caps/>
          <w:sz w:val="22"/>
          <w:szCs w:val="22"/>
          <w:lang w:val="cs-CZ"/>
        </w:rPr>
        <w:t xml:space="preserve">Uzavírají smluvní strany tuto dohodu o ukončení nájmu </w:t>
      </w:r>
      <w:r w:rsidRPr="003410E8">
        <w:rPr>
          <w:rFonts w:cstheme="minorHAnsi"/>
          <w:sz w:val="22"/>
          <w:szCs w:val="22"/>
          <w:lang w:val="cs-CZ"/>
        </w:rPr>
        <w:t>(dále jen „</w:t>
      </w:r>
      <w:r w:rsidRPr="003410E8">
        <w:rPr>
          <w:rFonts w:cstheme="minorHAnsi"/>
          <w:b/>
          <w:sz w:val="22"/>
          <w:szCs w:val="22"/>
          <w:lang w:val="cs-CZ"/>
        </w:rPr>
        <w:t>Dohoda</w:t>
      </w:r>
      <w:r w:rsidRPr="003410E8">
        <w:rPr>
          <w:rFonts w:cstheme="minorHAnsi"/>
          <w:sz w:val="22"/>
          <w:szCs w:val="22"/>
          <w:lang w:val="cs-CZ"/>
        </w:rPr>
        <w:t>“)</w:t>
      </w:r>
    </w:p>
    <w:p w:rsidR="00EA0707" w:rsidRPr="003410E8" w:rsidRDefault="00EA0707" w:rsidP="00EA0707">
      <w:pPr>
        <w:pStyle w:val="Styl1"/>
        <w:jc w:val="both"/>
        <w:rPr>
          <w:rFonts w:asciiTheme="minorHAnsi" w:hAnsiTheme="minorHAnsi" w:cstheme="minorHAnsi"/>
          <w:sz w:val="22"/>
          <w:szCs w:val="22"/>
        </w:rPr>
      </w:pPr>
    </w:p>
    <w:p w:rsidR="00EA0707" w:rsidRPr="003410E8" w:rsidRDefault="00EA0707" w:rsidP="00EA070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3410E8">
        <w:rPr>
          <w:rFonts w:cstheme="minorHAnsi"/>
          <w:b/>
          <w:caps/>
          <w:sz w:val="22"/>
          <w:szCs w:val="22"/>
          <w:lang w:val="cs-CZ"/>
        </w:rPr>
        <w:t>Ukončení nájmu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Smluvní strany se dohodly na ukončení nájmu ke dni 31. 5. 2019 (dále jen „</w:t>
      </w:r>
      <w:r w:rsidRPr="003410E8">
        <w:rPr>
          <w:rFonts w:cstheme="minorHAnsi"/>
          <w:b/>
          <w:sz w:val="22"/>
          <w:szCs w:val="22"/>
          <w:lang w:val="cs-CZ"/>
        </w:rPr>
        <w:t>Den ukončení</w:t>
      </w:r>
      <w:r w:rsidRPr="003410E8">
        <w:rPr>
          <w:rFonts w:cstheme="minorHAnsi"/>
          <w:sz w:val="22"/>
          <w:szCs w:val="22"/>
          <w:lang w:val="cs-CZ"/>
        </w:rPr>
        <w:t>“).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Nájemce se zavazuje předat Pronajímateli Předmět nájmu způsobem a ve stavu podle Smlouvy, a to nejpozději ke Dni ukončení.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Smluvní strany sepíší o předání Předmětu nájmu předávací protokol obsahující skutečný stav Předmětu nájmu ke Dni ukončení, včetně jakýchkoliv závad Předmětu nájmu, stavů měřidel médií dodávaných do Předmětu nájmu a rozsah technického zhodnocení Předmětu nájmu.</w:t>
      </w:r>
    </w:p>
    <w:p w:rsidR="00EA0707" w:rsidRPr="003410E8" w:rsidRDefault="00EA0707" w:rsidP="00EA0707">
      <w:pPr>
        <w:pStyle w:val="Odstavecseseznamem"/>
        <w:spacing w:after="120"/>
        <w:ind w:left="567"/>
        <w:contextualSpacing w:val="0"/>
        <w:jc w:val="both"/>
        <w:rPr>
          <w:rFonts w:cstheme="minorHAnsi"/>
          <w:sz w:val="22"/>
          <w:szCs w:val="22"/>
          <w:lang w:val="cs-CZ"/>
        </w:rPr>
      </w:pPr>
    </w:p>
    <w:p w:rsidR="00EA0707" w:rsidRPr="003410E8" w:rsidRDefault="00EA0707" w:rsidP="00EA070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b/>
          <w:caps/>
          <w:sz w:val="22"/>
          <w:szCs w:val="22"/>
          <w:lang w:val="cs-CZ"/>
        </w:rPr>
        <w:t>Vzájemné vypořádání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bookmarkStart w:id="2" w:name="_Ref467837158"/>
      <w:r w:rsidRPr="003410E8">
        <w:rPr>
          <w:rFonts w:cstheme="minorHAnsi"/>
          <w:sz w:val="22"/>
          <w:szCs w:val="22"/>
          <w:lang w:val="cs-CZ"/>
        </w:rPr>
        <w:t xml:space="preserve">Smluvní strany prohlašují, že mezi sebou provedly ke Dni ukončení vyúčtování vzájemných pohledávek existujících ke dni ukončení. Pronajímatel se zavazuje provést vyúčtování </w:t>
      </w:r>
      <w:r w:rsidRPr="003410E8">
        <w:rPr>
          <w:rFonts w:cstheme="minorHAnsi"/>
          <w:sz w:val="22"/>
          <w:szCs w:val="22"/>
          <w:lang w:val="cs-CZ"/>
        </w:rPr>
        <w:lastRenderedPageBreak/>
        <w:t>pohledávek vzniklých na základě Smlouvy nebo v souvislosti s ní, které jsou podmíněné nebo mají vzniknout v</w:t>
      </w:r>
      <w:r>
        <w:rPr>
          <w:rFonts w:cstheme="minorHAnsi"/>
          <w:sz w:val="22"/>
          <w:szCs w:val="22"/>
          <w:lang w:val="cs-CZ"/>
        </w:rPr>
        <w:t> </w:t>
      </w:r>
      <w:r w:rsidRPr="003410E8">
        <w:rPr>
          <w:rFonts w:cstheme="minorHAnsi"/>
          <w:sz w:val="22"/>
          <w:szCs w:val="22"/>
          <w:lang w:val="cs-CZ"/>
        </w:rPr>
        <w:t>budoucnu</w:t>
      </w:r>
      <w:r>
        <w:rPr>
          <w:rFonts w:cstheme="minorHAnsi"/>
          <w:sz w:val="22"/>
          <w:szCs w:val="22"/>
          <w:lang w:val="cs-CZ"/>
        </w:rPr>
        <w:t>.</w:t>
      </w:r>
      <w:bookmarkEnd w:id="2"/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Smluvní strany se dohodly, že Nájemce nemá vůči Pronajímateli nárok na náhradu za převzetí zákaznické základny.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Nájemce se tímto výslovně vzdává jakýchkoliv svých peněžitých i nepeněžitých nároků vůči Pronajímateli vzniklých v souvislosti se Smlouvou nebo na základě Smlouvy, a to včetně jakýchkoliv nároků na náhradu újmy způsobené Pronajímatelem.</w:t>
      </w:r>
    </w:p>
    <w:p w:rsidR="00EA0707" w:rsidRPr="003410E8" w:rsidRDefault="00EA0707" w:rsidP="00EA0707">
      <w:pPr>
        <w:jc w:val="both"/>
        <w:rPr>
          <w:rFonts w:cstheme="minorHAnsi"/>
          <w:sz w:val="22"/>
          <w:szCs w:val="22"/>
          <w:lang w:val="cs-CZ"/>
        </w:rPr>
      </w:pPr>
    </w:p>
    <w:p w:rsidR="00EA0707" w:rsidRPr="003410E8" w:rsidRDefault="00EA0707" w:rsidP="00EA070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3410E8">
        <w:rPr>
          <w:rFonts w:cstheme="minorHAnsi"/>
          <w:b/>
          <w:caps/>
          <w:sz w:val="22"/>
          <w:szCs w:val="22"/>
          <w:lang w:val="cs-CZ"/>
        </w:rPr>
        <w:t>Technické zhodnocení předmětu nájmu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 xml:space="preserve">Smluvní strany prohlašují, že ke Dni ukončení se v Předmětu nájmu </w:t>
      </w:r>
      <w:r>
        <w:rPr>
          <w:rFonts w:cstheme="minorHAnsi"/>
          <w:sz w:val="22"/>
          <w:szCs w:val="22"/>
          <w:lang w:val="cs-CZ"/>
        </w:rPr>
        <w:t>ne</w:t>
      </w:r>
      <w:r w:rsidRPr="003410E8">
        <w:rPr>
          <w:rFonts w:cstheme="minorHAnsi"/>
          <w:sz w:val="22"/>
          <w:szCs w:val="22"/>
          <w:lang w:val="cs-CZ"/>
        </w:rPr>
        <w:t>nachází</w:t>
      </w:r>
      <w:r>
        <w:rPr>
          <w:rFonts w:cstheme="minorHAnsi"/>
          <w:sz w:val="22"/>
          <w:szCs w:val="22"/>
          <w:lang w:val="cs-CZ"/>
        </w:rPr>
        <w:t xml:space="preserve"> Technické zhodnocení</w:t>
      </w:r>
      <w:r w:rsidRPr="003410E8">
        <w:rPr>
          <w:rFonts w:cstheme="minorHAnsi"/>
          <w:sz w:val="22"/>
          <w:szCs w:val="22"/>
          <w:lang w:val="cs-CZ"/>
        </w:rPr>
        <w:t xml:space="preserve"> (dále jen „</w:t>
      </w:r>
      <w:r w:rsidRPr="003410E8">
        <w:rPr>
          <w:rFonts w:cstheme="minorHAnsi"/>
          <w:b/>
          <w:sz w:val="22"/>
          <w:szCs w:val="22"/>
          <w:lang w:val="cs-CZ"/>
        </w:rPr>
        <w:t>Technické zhodnocení</w:t>
      </w:r>
      <w:r w:rsidRPr="003410E8">
        <w:rPr>
          <w:rFonts w:cstheme="minorHAnsi"/>
          <w:sz w:val="22"/>
          <w:szCs w:val="22"/>
          <w:lang w:val="cs-CZ"/>
        </w:rPr>
        <w:t>“)</w:t>
      </w:r>
    </w:p>
    <w:p w:rsidR="00EA0707" w:rsidRPr="003410E8" w:rsidRDefault="00EA0707" w:rsidP="00EA0707">
      <w:pPr>
        <w:spacing w:after="120"/>
        <w:jc w:val="both"/>
        <w:rPr>
          <w:rFonts w:cstheme="minorHAnsi"/>
          <w:caps/>
          <w:sz w:val="22"/>
          <w:szCs w:val="22"/>
          <w:lang w:val="cs-CZ"/>
        </w:rPr>
      </w:pPr>
    </w:p>
    <w:p w:rsidR="00EA0707" w:rsidRPr="003410E8" w:rsidRDefault="00EA0707" w:rsidP="00EA070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3410E8">
        <w:rPr>
          <w:rFonts w:cstheme="minorHAnsi"/>
          <w:b/>
          <w:caps/>
          <w:sz w:val="22"/>
          <w:szCs w:val="22"/>
          <w:lang w:val="cs-CZ"/>
        </w:rPr>
        <w:t>Závěrečná ustanovení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b/>
          <w:caps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Výrazy s počátečním velkým písmenem použité v této Dohodě mají význam jim přisouzený ve Smlouvě, nestanoví-li tato Dohoda jinak.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Stane-li se kterékoli ustanovení této Dohody neplatným, neúčinným nebo nevykonatelným, zůstává platnost, účinnost a vykonatelnost ostatních ustanovení této Dohody neovlivněna a nedotčena, nevyplývá-li z povahy daného ustanovení, obsahu Dohody nebo okolností, za nichž bylo toto ustanovení vytvořeno, že toto ustanovení nelze oddělit od ostatního obsahu Dohody. V případě takové neplatnosti, neúčinnosti nebo nevykonatelnosti budou Smluvní strany jednat v dobré víře s cílem dohodnout se bezodkladně na změnách této Dohody, které jsou s ohledem na tuto neplatnost, neúčinnost nebo nevykonatelnosti pro naplnění účelu Dohody nezbytné.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 xml:space="preserve">Tato Dohoda se vyhotovuje ve </w:t>
      </w:r>
      <w:r>
        <w:rPr>
          <w:rFonts w:cstheme="minorHAnsi"/>
          <w:sz w:val="22"/>
          <w:szCs w:val="22"/>
          <w:lang w:val="cs-CZ"/>
        </w:rPr>
        <w:t>dvou</w:t>
      </w:r>
      <w:r w:rsidRPr="003410E8">
        <w:rPr>
          <w:rFonts w:cstheme="minorHAnsi"/>
          <w:sz w:val="22"/>
          <w:szCs w:val="22"/>
          <w:lang w:val="cs-CZ"/>
        </w:rPr>
        <w:t xml:space="preserve"> (</w:t>
      </w:r>
      <w:r>
        <w:rPr>
          <w:rFonts w:cstheme="minorHAnsi"/>
          <w:sz w:val="22"/>
          <w:szCs w:val="22"/>
          <w:lang w:val="cs-CZ"/>
        </w:rPr>
        <w:t>2</w:t>
      </w:r>
      <w:r w:rsidRPr="003410E8">
        <w:rPr>
          <w:rFonts w:cstheme="minorHAnsi"/>
          <w:sz w:val="22"/>
          <w:szCs w:val="22"/>
          <w:lang w:val="cs-CZ"/>
        </w:rPr>
        <w:t xml:space="preserve">) vyhotoveních, z nichž každá má platnost originálu a každá Smluvní strana obdrží po </w:t>
      </w:r>
      <w:r>
        <w:rPr>
          <w:rFonts w:cstheme="minorHAnsi"/>
          <w:sz w:val="22"/>
          <w:szCs w:val="22"/>
          <w:lang w:val="cs-CZ"/>
        </w:rPr>
        <w:t>jednom</w:t>
      </w:r>
      <w:r w:rsidRPr="003410E8">
        <w:rPr>
          <w:rFonts w:cstheme="minorHAnsi"/>
          <w:sz w:val="22"/>
          <w:szCs w:val="22"/>
          <w:lang w:val="cs-CZ"/>
        </w:rPr>
        <w:t xml:space="preserve"> (</w:t>
      </w:r>
      <w:r>
        <w:rPr>
          <w:rFonts w:cstheme="minorHAnsi"/>
          <w:sz w:val="22"/>
          <w:szCs w:val="22"/>
          <w:lang w:val="cs-CZ"/>
        </w:rPr>
        <w:t>1</w:t>
      </w:r>
      <w:r w:rsidRPr="003410E8">
        <w:rPr>
          <w:rFonts w:cstheme="minorHAnsi"/>
          <w:sz w:val="22"/>
          <w:szCs w:val="22"/>
          <w:lang w:val="cs-CZ"/>
        </w:rPr>
        <w:t>) vyhotovení.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 xml:space="preserve">Tato Dohoda nabývá platnosti a účinnosti okamžikem podpisu oběma Smluvními stranami. </w:t>
      </w:r>
    </w:p>
    <w:p w:rsidR="00EA0707" w:rsidRPr="003410E8" w:rsidRDefault="00EA0707" w:rsidP="00EA0707">
      <w:pPr>
        <w:pStyle w:val="Odstavecseseznamem"/>
        <w:numPr>
          <w:ilvl w:val="1"/>
          <w:numId w:val="2"/>
        </w:numPr>
        <w:spacing w:after="120"/>
        <w:contextualSpacing w:val="0"/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Podpisem této Dohody stvrzují Smluvní strany, že tuto Dohodu sjednaly svobodně, vážně a nikoliv v tísni nebo za zvlášť nevýhodných podmínek pro kteroukoliv ze Smluvních stran, na důkaz čehož připojují níže své podpisy.</w:t>
      </w:r>
    </w:p>
    <w:p w:rsidR="00EA0707" w:rsidRPr="003410E8" w:rsidRDefault="00EA0707" w:rsidP="00EA0707">
      <w:pPr>
        <w:jc w:val="both"/>
        <w:rPr>
          <w:rFonts w:cstheme="minorHAnsi"/>
          <w:sz w:val="22"/>
          <w:szCs w:val="22"/>
          <w:lang w:val="cs-CZ"/>
        </w:rPr>
      </w:pPr>
    </w:p>
    <w:p w:rsidR="00EA0707" w:rsidRPr="003410E8" w:rsidRDefault="00EA0707" w:rsidP="00EA0707">
      <w:pPr>
        <w:jc w:val="both"/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t>Přílohy: Příloha č. 1 - Předávací protokol</w:t>
      </w:r>
    </w:p>
    <w:p w:rsidR="00EA0707" w:rsidRPr="003410E8" w:rsidRDefault="00EA0707" w:rsidP="00EA0707">
      <w:pPr>
        <w:rPr>
          <w:rFonts w:cstheme="minorHAnsi"/>
          <w:sz w:val="22"/>
          <w:szCs w:val="22"/>
          <w:lang w:val="cs-CZ"/>
        </w:rPr>
      </w:pPr>
      <w:r w:rsidRPr="003410E8">
        <w:rPr>
          <w:rFonts w:cstheme="minorHAnsi"/>
          <w:sz w:val="22"/>
          <w:szCs w:val="22"/>
          <w:lang w:val="cs-CZ"/>
        </w:rPr>
        <w:br w:type="page"/>
      </w:r>
    </w:p>
    <w:p w:rsidR="00EA0707" w:rsidRPr="003410E8" w:rsidRDefault="00EA0707" w:rsidP="00EA0707">
      <w:pPr>
        <w:jc w:val="center"/>
        <w:rPr>
          <w:rFonts w:cstheme="minorHAnsi"/>
          <w:b/>
          <w:sz w:val="22"/>
          <w:szCs w:val="22"/>
          <w:lang w:val="cs-CZ"/>
        </w:rPr>
      </w:pPr>
      <w:r w:rsidRPr="003410E8">
        <w:rPr>
          <w:rFonts w:cstheme="minorHAnsi"/>
          <w:b/>
          <w:sz w:val="22"/>
          <w:szCs w:val="22"/>
          <w:lang w:val="cs-CZ"/>
        </w:rPr>
        <w:t>Příloha č. 1</w:t>
      </w:r>
    </w:p>
    <w:p w:rsidR="00EA0707" w:rsidRPr="003410E8" w:rsidRDefault="00EA0707" w:rsidP="00EA0707">
      <w:pPr>
        <w:jc w:val="center"/>
        <w:rPr>
          <w:rFonts w:cstheme="minorHAnsi"/>
          <w:b/>
          <w:sz w:val="22"/>
          <w:szCs w:val="22"/>
          <w:lang w:val="cs-CZ"/>
        </w:rPr>
      </w:pPr>
      <w:r w:rsidRPr="003410E8">
        <w:rPr>
          <w:rFonts w:cstheme="minorHAnsi"/>
          <w:b/>
          <w:sz w:val="22"/>
          <w:szCs w:val="22"/>
          <w:lang w:val="cs-CZ"/>
        </w:rPr>
        <w:t>Předávací protokol</w:t>
      </w:r>
    </w:p>
    <w:p w:rsidR="00EA0707" w:rsidRPr="003410E8" w:rsidRDefault="00EA0707" w:rsidP="00EA0707">
      <w:pPr>
        <w:rPr>
          <w:rFonts w:cstheme="minorHAnsi"/>
          <w:b/>
          <w:sz w:val="22"/>
          <w:szCs w:val="22"/>
          <w:lang w:val="cs-CZ"/>
        </w:rPr>
      </w:pPr>
      <w:r w:rsidRPr="003410E8">
        <w:rPr>
          <w:rFonts w:cstheme="minorHAnsi"/>
          <w:b/>
          <w:sz w:val="22"/>
          <w:szCs w:val="22"/>
          <w:lang w:val="cs-CZ"/>
        </w:rPr>
        <w:br w:type="page"/>
      </w:r>
    </w:p>
    <w:p w:rsidR="00EA0707" w:rsidRPr="003410E8" w:rsidRDefault="00EA0707" w:rsidP="00EA0707">
      <w:pPr>
        <w:jc w:val="both"/>
        <w:rPr>
          <w:rFonts w:cstheme="minorHAnsi"/>
          <w:sz w:val="22"/>
          <w:szCs w:val="22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497"/>
        <w:gridCol w:w="39"/>
        <w:gridCol w:w="4536"/>
        <w:gridCol w:w="31"/>
      </w:tblGrid>
      <w:tr w:rsidR="00EA0707" w:rsidRPr="00636B1F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10E8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proofErr w:type="spellStart"/>
            <w:r w:rsidRPr="003410E8">
              <w:rPr>
                <w:rFonts w:asciiTheme="minorHAnsi" w:hAnsiTheme="minorHAnsi" w:cstheme="minorHAnsi"/>
                <w:sz w:val="22"/>
                <w:szCs w:val="22"/>
              </w:rPr>
              <w:t>Praze</w:t>
            </w:r>
            <w:proofErr w:type="spellEnd"/>
            <w:r w:rsidRPr="003410E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410E8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spellEnd"/>
            <w:r w:rsidRPr="00341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410E8">
              <w:rPr>
                <w:rFonts w:asciiTheme="minorHAnsi" w:hAnsiTheme="minorHAnsi" w:cstheme="minorHAnsi"/>
                <w:caps/>
                <w:sz w:val="22"/>
                <w:szCs w:val="22"/>
              </w:rPr>
              <w:t>31. 5. 2019</w:t>
            </w:r>
          </w:p>
        </w:tc>
        <w:tc>
          <w:tcPr>
            <w:tcW w:w="4606" w:type="dxa"/>
            <w:gridSpan w:val="3"/>
          </w:tcPr>
          <w:p w:rsidR="00EA0707" w:rsidRPr="003410E8" w:rsidRDefault="00EA0707" w:rsidP="006909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10E8">
              <w:rPr>
                <w:rFonts w:asciiTheme="minorHAnsi" w:hAnsiTheme="minorHAnsi" w:cstheme="minorHAnsi"/>
                <w:sz w:val="22"/>
                <w:szCs w:val="22"/>
              </w:rPr>
              <w:t xml:space="preserve">V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Brně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41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410E8">
              <w:rPr>
                <w:rFonts w:asciiTheme="minorHAnsi" w:hAnsiTheme="minorHAnsi" w:cstheme="minorHAnsi"/>
                <w:sz w:val="22"/>
                <w:szCs w:val="22"/>
              </w:rPr>
              <w:t>dne</w:t>
            </w:r>
            <w:proofErr w:type="spellEnd"/>
            <w:r w:rsidRPr="003410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31. 5. 201</w:t>
            </w:r>
            <w:r w:rsidR="006909EF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EA0707" w:rsidRPr="00636B1F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636B1F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410E8">
              <w:rPr>
                <w:rFonts w:asciiTheme="minorHAnsi" w:hAnsiTheme="minorHAnsi" w:cstheme="minorHAnsi"/>
                <w:b/>
                <w:sz w:val="22"/>
                <w:szCs w:val="22"/>
              </w:rPr>
              <w:t>Pronajímatel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proofErr w:type="spellEnd"/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3410E8">
              <w:rPr>
                <w:rFonts w:asciiTheme="minorHAnsi" w:hAnsiTheme="minorHAnsi" w:cstheme="minorHAnsi"/>
                <w:b/>
                <w:sz w:val="22"/>
                <w:szCs w:val="22"/>
              </w:rPr>
              <w:t>Nájemce</w:t>
            </w:r>
            <w:proofErr w:type="spellEnd"/>
          </w:p>
        </w:tc>
      </w:tr>
      <w:tr w:rsidR="00EA0707" w:rsidRPr="00636B1F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636B1F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674CC3" w:rsidTr="0014293B">
        <w:trPr>
          <w:gridBefore w:val="1"/>
          <w:gridAfter w:val="1"/>
          <w:wBefore w:w="108" w:type="dxa"/>
          <w:wAfter w:w="31" w:type="dxa"/>
        </w:trPr>
        <w:tc>
          <w:tcPr>
            <w:tcW w:w="4536" w:type="dxa"/>
            <w:gridSpan w:val="2"/>
          </w:tcPr>
          <w:p w:rsidR="00EA0707" w:rsidRPr="00674CC3" w:rsidRDefault="00EA0707" w:rsidP="0014293B">
            <w:pPr>
              <w:spacing w:after="120"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674CC3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  <w:tc>
          <w:tcPr>
            <w:tcW w:w="4536" w:type="dxa"/>
          </w:tcPr>
          <w:p w:rsidR="00EA0707" w:rsidRPr="00674CC3" w:rsidRDefault="00EA0707" w:rsidP="0014293B">
            <w:pPr>
              <w:spacing w:after="120" w:line="300" w:lineRule="exact"/>
              <w:rPr>
                <w:rFonts w:ascii="Calibri" w:hAnsi="Calibri" w:cs="Calibri"/>
                <w:sz w:val="22"/>
                <w:szCs w:val="22"/>
              </w:rPr>
            </w:pPr>
            <w:r w:rsidRPr="00674CC3">
              <w:rPr>
                <w:rFonts w:ascii="Calibri" w:hAnsi="Calibri" w:cs="Calibri"/>
                <w:sz w:val="22"/>
                <w:szCs w:val="22"/>
              </w:rPr>
              <w:t>___________________________________</w:t>
            </w:r>
          </w:p>
        </w:tc>
      </w:tr>
      <w:tr w:rsidR="00EA0707" w:rsidRPr="00674CC3" w:rsidTr="0014293B">
        <w:trPr>
          <w:gridBefore w:val="1"/>
          <w:gridAfter w:val="1"/>
          <w:wBefore w:w="108" w:type="dxa"/>
          <w:wAfter w:w="31" w:type="dxa"/>
        </w:trPr>
        <w:tc>
          <w:tcPr>
            <w:tcW w:w="4536" w:type="dxa"/>
            <w:gridSpan w:val="2"/>
          </w:tcPr>
          <w:p w:rsidR="00EA0707" w:rsidRPr="00674CC3" w:rsidRDefault="00EA0707" w:rsidP="00EA0707">
            <w:pPr>
              <w:spacing w:after="120" w:line="3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4CC3">
              <w:rPr>
                <w:rFonts w:ascii="Calibri" w:hAnsi="Calibri" w:cs="Calibri"/>
                <w:sz w:val="22"/>
                <w:szCs w:val="22"/>
              </w:rPr>
              <w:t>Jméno</w:t>
            </w:r>
            <w:proofErr w:type="spellEnd"/>
            <w:r w:rsidRPr="00674CC3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>xxx</w:t>
            </w:r>
          </w:p>
        </w:tc>
        <w:tc>
          <w:tcPr>
            <w:tcW w:w="4536" w:type="dxa"/>
          </w:tcPr>
          <w:p w:rsidR="00EA0707" w:rsidRPr="00674CC3" w:rsidRDefault="00EA0707" w:rsidP="0014293B">
            <w:pPr>
              <w:spacing w:after="120" w:line="3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4CC3">
              <w:rPr>
                <w:rFonts w:ascii="Calibri" w:hAnsi="Calibri" w:cs="Calibri"/>
                <w:sz w:val="22"/>
                <w:szCs w:val="22"/>
              </w:rPr>
              <w:t>Jméno</w:t>
            </w:r>
            <w:proofErr w:type="spellEnd"/>
            <w:r w:rsidRPr="00674CC3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Ing. Josef </w:t>
            </w:r>
            <w:proofErr w:type="spellStart"/>
            <w:r w:rsidRPr="00BF7B3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Bürger</w:t>
            </w:r>
            <w:proofErr w:type="spellEnd"/>
          </w:p>
        </w:tc>
      </w:tr>
      <w:tr w:rsidR="00EA0707" w:rsidRPr="00D26BF8" w:rsidTr="0014293B">
        <w:trPr>
          <w:gridBefore w:val="1"/>
          <w:gridAfter w:val="1"/>
          <w:wBefore w:w="108" w:type="dxa"/>
          <w:wAfter w:w="31" w:type="dxa"/>
        </w:trPr>
        <w:tc>
          <w:tcPr>
            <w:tcW w:w="4536" w:type="dxa"/>
            <w:gridSpan w:val="2"/>
          </w:tcPr>
          <w:p w:rsidR="00EA0707" w:rsidRPr="00674CC3" w:rsidRDefault="00EA0707" w:rsidP="00EA0707">
            <w:pPr>
              <w:spacing w:after="120" w:line="300" w:lineRule="exact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74CC3">
              <w:rPr>
                <w:rFonts w:ascii="Calibri" w:hAnsi="Calibri" w:cs="Calibri"/>
                <w:sz w:val="22"/>
                <w:szCs w:val="22"/>
              </w:rPr>
              <w:t>Funkce:</w:t>
            </w:r>
            <w:r>
              <w:rPr>
                <w:rFonts w:ascii="Calibri" w:hAnsi="Calibri" w:cs="Calibri"/>
                <w:sz w:val="22"/>
                <w:szCs w:val="22"/>
              </w:rPr>
              <w:t>xxx</w:t>
            </w:r>
            <w:proofErr w:type="spellEnd"/>
          </w:p>
        </w:tc>
        <w:tc>
          <w:tcPr>
            <w:tcW w:w="4536" w:type="dxa"/>
          </w:tcPr>
          <w:p w:rsidR="00EA0707" w:rsidRPr="000E16E4" w:rsidRDefault="00EA0707" w:rsidP="0014293B">
            <w:pPr>
              <w:spacing w:after="120" w:line="300" w:lineRule="exac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E16E4">
              <w:rPr>
                <w:rFonts w:ascii="Calibri" w:hAnsi="Calibri" w:cs="Calibri"/>
                <w:sz w:val="22"/>
                <w:szCs w:val="22"/>
              </w:rPr>
              <w:t>Funkce</w:t>
            </w:r>
            <w:proofErr w:type="spellEnd"/>
            <w:r w:rsidRPr="000E16E4">
              <w:rPr>
                <w:rFonts w:ascii="Calibri" w:hAnsi="Calibri" w:cs="Calibri"/>
                <w:sz w:val="22"/>
                <w:szCs w:val="22"/>
              </w:rPr>
              <w:t>:</w:t>
            </w:r>
            <w:r w:rsidRPr="000E16E4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5767">
              <w:rPr>
                <w:rFonts w:ascii="Calibri" w:hAnsi="Calibri" w:cs="Calibri"/>
                <w:sz w:val="22"/>
                <w:szCs w:val="22"/>
              </w:rPr>
              <w:t>Ředitel</w:t>
            </w:r>
            <w:proofErr w:type="spellEnd"/>
            <w:r w:rsidRPr="00FD57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5767">
              <w:rPr>
                <w:rFonts w:ascii="Calibri" w:hAnsi="Calibri" w:cs="Calibri"/>
                <w:sz w:val="22"/>
                <w:szCs w:val="22"/>
              </w:rPr>
              <w:t>Krajské</w:t>
            </w:r>
            <w:proofErr w:type="spellEnd"/>
            <w:r w:rsidRPr="00FD57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D5767">
              <w:rPr>
                <w:rFonts w:ascii="Calibri" w:hAnsi="Calibri" w:cs="Calibri"/>
                <w:sz w:val="22"/>
                <w:szCs w:val="22"/>
              </w:rPr>
              <w:t>pobočky</w:t>
            </w:r>
            <w:proofErr w:type="spellEnd"/>
            <w:r w:rsidRPr="00FD5767">
              <w:rPr>
                <w:rFonts w:ascii="Calibri" w:hAnsi="Calibri" w:cs="Calibri"/>
                <w:sz w:val="22"/>
                <w:szCs w:val="22"/>
              </w:rPr>
              <w:t xml:space="preserve"> v </w:t>
            </w:r>
            <w:proofErr w:type="spellStart"/>
            <w:r w:rsidRPr="00FD5767">
              <w:rPr>
                <w:rFonts w:ascii="Calibri" w:hAnsi="Calibri" w:cs="Calibri"/>
                <w:sz w:val="22"/>
                <w:szCs w:val="22"/>
              </w:rPr>
              <w:t>Brně</w:t>
            </w:r>
            <w:proofErr w:type="spellEnd"/>
          </w:p>
          <w:p w:rsidR="00EA0707" w:rsidRPr="00674CC3" w:rsidRDefault="00EA0707" w:rsidP="0014293B">
            <w:pPr>
              <w:spacing w:after="120" w:line="300" w:lineRule="exac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0707" w:rsidRPr="00D26BF8" w:rsidTr="0014293B">
        <w:tc>
          <w:tcPr>
            <w:tcW w:w="4605" w:type="dxa"/>
            <w:gridSpan w:val="2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gridSpan w:val="3"/>
          </w:tcPr>
          <w:p w:rsidR="00EA0707" w:rsidRPr="003410E8" w:rsidRDefault="00EA0707" w:rsidP="001429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A0707" w:rsidRPr="003410E8" w:rsidRDefault="00EA0707" w:rsidP="00EA0707">
      <w:pPr>
        <w:ind w:right="2409"/>
        <w:jc w:val="both"/>
        <w:rPr>
          <w:rFonts w:cstheme="minorHAnsi"/>
          <w:sz w:val="18"/>
          <w:szCs w:val="18"/>
          <w:lang w:val="cs-CZ"/>
        </w:rPr>
      </w:pPr>
    </w:p>
    <w:p w:rsidR="006B16A2" w:rsidRDefault="006B16A2"/>
    <w:sectPr w:rsidR="006B16A2" w:rsidSect="003410E8">
      <w:headerReference w:type="default" r:id="rId9"/>
      <w:footerReference w:type="default" r:id="rId10"/>
      <w:footerReference w:type="first" r:id="rId11"/>
      <w:pgSz w:w="11900" w:h="16840"/>
      <w:pgMar w:top="1417" w:right="1417" w:bottom="1417" w:left="141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D5" w:rsidRDefault="006909EF">
      <w:r>
        <w:separator/>
      </w:r>
    </w:p>
  </w:endnote>
  <w:endnote w:type="continuationSeparator" w:id="0">
    <w:p w:rsidR="00096AD5" w:rsidRDefault="00690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E9" w:rsidRDefault="006909EF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8122E1B" wp14:editId="1C7FBBB8">
              <wp:simplePos x="0" y="0"/>
              <wp:positionH relativeFrom="column">
                <wp:posOffset>-528320</wp:posOffset>
              </wp:positionH>
              <wp:positionV relativeFrom="page">
                <wp:posOffset>9900920</wp:posOffset>
              </wp:positionV>
              <wp:extent cx="501650" cy="264795"/>
              <wp:effectExtent l="0" t="0" r="0" b="190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165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de-DE"/>
                            </w:rPr>
                            <w:id w:val="-79961382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color w:val="18072F"/>
                            </w:rPr>
                          </w:sdtEndPr>
                          <w:sdtContent>
                            <w:p w:rsidR="0086547E" w:rsidRPr="00876938" w:rsidRDefault="006909EF" w:rsidP="00BC6E4B">
                              <w:pPr>
                                <w:jc w:val="center"/>
                                <w:rPr>
                                  <w:color w:val="18072F"/>
                                  <w:lang w:val="de-DE"/>
                                </w:rPr>
                              </w:pP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fldChar w:fldCharType="begin"/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instrText xml:space="preserve"> PAGE </w:instrText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fldChar w:fldCharType="separate"/>
                              </w:r>
                              <w:r w:rsidR="0018490C">
                                <w:rPr>
                                  <w:rFonts w:ascii="Arial" w:hAnsi="Arial" w:cs="Arial"/>
                                  <w:noProof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t>2</w:t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fldChar w:fldCharType="end"/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t xml:space="preserve"> / </w:t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fldChar w:fldCharType="begin"/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instrText xml:space="preserve"> NUMPAGES  </w:instrText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fldChar w:fldCharType="separate"/>
                              </w:r>
                              <w:r w:rsidR="0018490C">
                                <w:rPr>
                                  <w:rFonts w:ascii="Arial" w:hAnsi="Arial" w:cs="Arial"/>
                                  <w:noProof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t>5</w:t>
                              </w:r>
                              <w:r w:rsidRPr="00876938">
                                <w:rPr>
                                  <w:rFonts w:ascii="Arial" w:hAnsi="Arial" w:cs="Arial"/>
                                  <w:color w:val="18072F"/>
                                  <w:sz w:val="14"/>
                                  <w:szCs w:val="14"/>
                                  <w:lang w:val="de-D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41.6pt;margin-top:779.6pt;width:39.5pt;height:20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" filled="f" stroked="f">
              <v:path arrowok="t"/>
              <v:textbox>
                <w:txbxContent>
                  <w:sdt>
                    <w:sdtPr>
                      <w:rPr>
                        <w:lang w:val="de-DE"/>
                      </w:rPr>
                      <w:id w:val="-799613827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color w:val="18072F"/>
                      </w:rPr>
                    </w:sdtEndPr>
                    <w:sdtContent>
                      <w:p w:rsidR="0086547E" w:rsidRPr="00876938" w:rsidRDefault="006909EF" w:rsidP="00BC6E4B">
                        <w:pPr>
                          <w:jc w:val="center"/>
                          <w:rPr>
                            <w:color w:val="18072F"/>
                            <w:lang w:val="de-DE"/>
                          </w:rPr>
                        </w:pP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fldChar w:fldCharType="begin"/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instrText xml:space="preserve"> PAGE </w:instrText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fldChar w:fldCharType="separate"/>
                        </w:r>
                        <w:r w:rsidR="0018490C">
                          <w:rPr>
                            <w:rFonts w:ascii="Arial" w:hAnsi="Arial" w:cs="Arial"/>
                            <w:noProof/>
                            <w:color w:val="18072F"/>
                            <w:sz w:val="14"/>
                            <w:szCs w:val="14"/>
                            <w:lang w:val="de-DE"/>
                          </w:rPr>
                          <w:t>2</w:t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fldChar w:fldCharType="end"/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t xml:space="preserve"> / </w:t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fldChar w:fldCharType="begin"/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instrText xml:space="preserve"> NUMPAGES  </w:instrText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fldChar w:fldCharType="separate"/>
                        </w:r>
                        <w:r w:rsidR="0018490C">
                          <w:rPr>
                            <w:rFonts w:ascii="Arial" w:hAnsi="Arial" w:cs="Arial"/>
                            <w:noProof/>
                            <w:color w:val="18072F"/>
                            <w:sz w:val="14"/>
                            <w:szCs w:val="14"/>
                            <w:lang w:val="de-DE"/>
                          </w:rPr>
                          <w:t>5</w:t>
                        </w:r>
                        <w:r w:rsidRPr="00876938">
                          <w:rPr>
                            <w:rFonts w:ascii="Arial" w:hAnsi="Arial" w:cs="Arial"/>
                            <w:color w:val="18072F"/>
                            <w:sz w:val="14"/>
                            <w:szCs w:val="14"/>
                            <w:lang w:val="de-DE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47A" w:rsidRDefault="0018490C" w:rsidP="00C630CE">
    <w:pPr>
      <w:pStyle w:val="Zpat"/>
      <w:tabs>
        <w:tab w:val="clear" w:pos="4536"/>
        <w:tab w:val="clear" w:pos="9072"/>
        <w:tab w:val="left" w:pos="66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D5" w:rsidRDefault="006909EF">
      <w:r>
        <w:separator/>
      </w:r>
    </w:p>
  </w:footnote>
  <w:footnote w:type="continuationSeparator" w:id="0">
    <w:p w:rsidR="00096AD5" w:rsidRDefault="00690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9E9" w:rsidRPr="00660963" w:rsidRDefault="0018490C">
    <w:pPr>
      <w:pStyle w:val="Zhlav"/>
      <w:rPr>
        <w:rFonts w:ascii="Arial" w:hAnsi="Arial" w:cs="Arial"/>
        <w:sz w:val="16"/>
        <w:szCs w:val="16"/>
      </w:rPr>
    </w:pPr>
  </w:p>
  <w:p w:rsidR="005F39E9" w:rsidRDefault="0018490C">
    <w:pPr>
      <w:pStyle w:val="Zhlav"/>
      <w:rPr>
        <w:rFonts w:ascii="Arial" w:hAnsi="Arial" w:cs="Arial"/>
        <w:color w:val="808080"/>
        <w:sz w:val="14"/>
        <w:szCs w:val="1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7B77"/>
    <w:multiLevelType w:val="hybridMultilevel"/>
    <w:tmpl w:val="936AE60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8A201D"/>
    <w:multiLevelType w:val="hybridMultilevel"/>
    <w:tmpl w:val="7040BFE6"/>
    <w:lvl w:ilvl="0" w:tplc="7BEC9CB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E469EB"/>
    <w:multiLevelType w:val="multilevel"/>
    <w:tmpl w:val="85F69A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07"/>
    <w:rsid w:val="00096AD5"/>
    <w:rsid w:val="0018490C"/>
    <w:rsid w:val="00436D7F"/>
    <w:rsid w:val="004C7401"/>
    <w:rsid w:val="006909EF"/>
    <w:rsid w:val="006B16A2"/>
    <w:rsid w:val="00CD01A8"/>
    <w:rsid w:val="00EA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707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7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707"/>
    <w:rPr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EA07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0707"/>
    <w:rPr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A0707"/>
    <w:pPr>
      <w:ind w:left="720"/>
      <w:contextualSpacing/>
    </w:pPr>
  </w:style>
  <w:style w:type="paragraph" w:customStyle="1" w:styleId="Styl1">
    <w:name w:val="Styl1"/>
    <w:basedOn w:val="Normln"/>
    <w:rsid w:val="00EA0707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EA0707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A070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EA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A0707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A070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0707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07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707"/>
    <w:rPr>
      <w:sz w:val="24"/>
      <w:szCs w:val="24"/>
      <w:lang w:val="en-US"/>
    </w:rPr>
  </w:style>
  <w:style w:type="paragraph" w:styleId="Zpat">
    <w:name w:val="footer"/>
    <w:basedOn w:val="Normln"/>
    <w:link w:val="ZpatChar"/>
    <w:unhideWhenUsed/>
    <w:rsid w:val="00EA07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A0707"/>
    <w:rPr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EA0707"/>
    <w:pPr>
      <w:ind w:left="720"/>
      <w:contextualSpacing/>
    </w:pPr>
  </w:style>
  <w:style w:type="paragraph" w:customStyle="1" w:styleId="Styl1">
    <w:name w:val="Styl1"/>
    <w:basedOn w:val="Normln"/>
    <w:rsid w:val="00EA0707"/>
    <w:rPr>
      <w:rFonts w:ascii="Times New Roman" w:eastAsia="Times New Roman" w:hAnsi="Times New Roman" w:cs="Times New Roman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EA0707"/>
    <w:pPr>
      <w:spacing w:line="240" w:lineRule="atLeast"/>
      <w:ind w:left="2127"/>
    </w:pPr>
    <w:rPr>
      <w:rFonts w:ascii="Times New Roman" w:eastAsia="Times New Roman" w:hAnsi="Times New Roman" w:cs="Times New Roman"/>
      <w:szCs w:val="20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A0707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EA07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A0707"/>
    <w:pPr>
      <w:jc w:val="center"/>
    </w:pPr>
    <w:rPr>
      <w:rFonts w:ascii="Times New Roman" w:eastAsia="Times New Roman" w:hAnsi="Times New Roman" w:cs="Times New Roman"/>
      <w:sz w:val="28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EA0707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599</Words>
  <Characters>3536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Crha Martin JUDr. PhDr. Ph.D. (UPB-BMA)</dc:creator>
  <cp:lastModifiedBy>Faltusová Marie Mgr. (UPB-KRP)</cp:lastModifiedBy>
  <cp:revision>2</cp:revision>
  <dcterms:created xsi:type="dcterms:W3CDTF">2019-07-02T08:03:00Z</dcterms:created>
  <dcterms:modified xsi:type="dcterms:W3CDTF">2019-07-02T08:03:00Z</dcterms:modified>
</cp:coreProperties>
</file>