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DDB" w:rsidRPr="0051258A"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outlineLvl w:val="0"/>
        <w:rPr>
          <w:rFonts w:ascii="Calibri" w:hAnsi="Calibri"/>
          <w:b/>
          <w:color w:val="auto"/>
          <w:sz w:val="28"/>
          <w:szCs w:val="28"/>
        </w:rPr>
      </w:pPr>
      <w:r w:rsidRPr="0051258A">
        <w:rPr>
          <w:rFonts w:ascii="Calibri" w:hAnsi="Calibri"/>
          <w:b/>
          <w:color w:val="auto"/>
          <w:sz w:val="28"/>
          <w:szCs w:val="28"/>
        </w:rPr>
        <w:t>Smlouva o sdružených službách dodávky elektřiny pro hladinu NN</w:t>
      </w:r>
    </w:p>
    <w:p w:rsidR="006F4DDB"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color w:val="auto"/>
          <w:sz w:val="18"/>
          <w:szCs w:val="18"/>
        </w:rPr>
      </w:pPr>
      <w:r w:rsidRPr="0051258A">
        <w:rPr>
          <w:rFonts w:ascii="Calibri" w:hAnsi="Calibri"/>
          <w:color w:val="auto"/>
          <w:sz w:val="18"/>
          <w:szCs w:val="18"/>
        </w:rPr>
        <w:t>uzavřená dle ust. § 50 odst. 2 zákona č. 458/2000 Sb., energetického zákona a ust. § 1746 odst. 2 zákona č. 89/2012 Sb., občanského zákoníku, v platném znění</w:t>
      </w:r>
    </w:p>
    <w:p w:rsidR="006F4DDB"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Calibri" w:hAnsi="Calibri"/>
          <w:color w:val="auto"/>
          <w:szCs w:val="22"/>
        </w:rPr>
      </w:pPr>
      <w:r>
        <w:rPr>
          <w:rFonts w:ascii="Calibri" w:hAnsi="Calibri"/>
          <w:color w:val="auto"/>
          <w:szCs w:val="22"/>
        </w:rPr>
        <w:t>ID: Neratovice NN 2016 (PXE)</w:t>
      </w:r>
    </w:p>
    <w:p w:rsidR="006F4DDB"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51258A"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Calibri" w:hAnsi="Calibri"/>
          <w:color w:val="auto"/>
          <w:szCs w:val="22"/>
        </w:rPr>
      </w:pPr>
      <w:r w:rsidRPr="0051258A">
        <w:rPr>
          <w:rFonts w:ascii="Calibri" w:hAnsi="Calibri"/>
          <w:color w:val="auto"/>
          <w:szCs w:val="22"/>
        </w:rPr>
        <w:t xml:space="preserve">Obchodník: </w:t>
      </w:r>
      <w:r w:rsidRPr="0051258A">
        <w:rPr>
          <w:rFonts w:ascii="Calibri" w:hAnsi="Calibri"/>
          <w:color w:val="auto"/>
          <w:szCs w:val="22"/>
        </w:rPr>
        <w:tab/>
      </w:r>
      <w:r w:rsidRPr="0051258A">
        <w:rPr>
          <w:rFonts w:ascii="Calibri" w:hAnsi="Calibri"/>
          <w:b/>
          <w:color w:val="auto"/>
          <w:szCs w:val="22"/>
        </w:rPr>
        <w:t>Amper Market, a.s.</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Se sídlem Antala Staška 1076/33a, 140 00 Praha 4</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IČ: 241 28 376</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DIČ: CZ24128376</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Pr>
          <w:rFonts w:ascii="Calibri" w:hAnsi="Calibri"/>
          <w:color w:val="auto"/>
          <w:szCs w:val="22"/>
        </w:rPr>
        <w:t>Zapsaná v obchod.</w:t>
      </w:r>
      <w:r w:rsidRPr="0051258A">
        <w:rPr>
          <w:rFonts w:ascii="Calibri" w:hAnsi="Calibri"/>
          <w:color w:val="auto"/>
          <w:szCs w:val="22"/>
        </w:rPr>
        <w:t xml:space="preserve"> rejstříku vedeném Městským soudem v Praze, oddíl B vložka 17267</w:t>
      </w:r>
    </w:p>
    <w:p w:rsidR="006F4DDB" w:rsidRDefault="006F4DDB" w:rsidP="00D30C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Pr>
          <w:rFonts w:ascii="Calibri" w:hAnsi="Calibri"/>
          <w:color w:val="auto"/>
          <w:szCs w:val="22"/>
        </w:rPr>
        <w:t xml:space="preserve">Zastoupená </w:t>
      </w:r>
      <w:r>
        <w:rPr>
          <w:rFonts w:ascii="Calibri" w:hAnsi="Calibri"/>
          <w:color w:val="auto"/>
          <w:szCs w:val="22"/>
        </w:rPr>
        <w:tab/>
        <w:t xml:space="preserve">xxxxx, předsedou představenstva nebo </w:t>
      </w:r>
    </w:p>
    <w:p w:rsidR="006F4DDB" w:rsidRDefault="006F4DDB" w:rsidP="00D30C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Pr>
          <w:rFonts w:ascii="Calibri" w:hAnsi="Calibri"/>
          <w:color w:val="auto"/>
          <w:szCs w:val="22"/>
        </w:rPr>
        <w:tab/>
      </w:r>
      <w:r>
        <w:rPr>
          <w:rFonts w:ascii="Calibri" w:hAnsi="Calibri"/>
          <w:color w:val="auto"/>
          <w:szCs w:val="22"/>
        </w:rPr>
        <w:tab/>
        <w:t>xxxxx, místopředsedou představenstva</w:t>
      </w:r>
    </w:p>
    <w:p w:rsidR="006F4DDB" w:rsidRPr="0051258A" w:rsidRDefault="006F4DDB" w:rsidP="00D30C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51258A">
        <w:rPr>
          <w:rFonts w:ascii="Calibri" w:hAnsi="Calibri"/>
          <w:color w:val="auto"/>
          <w:szCs w:val="22"/>
        </w:rPr>
        <w:t xml:space="preserve">Číslo účtu: </w:t>
      </w:r>
      <w:r w:rsidRPr="00092D52">
        <w:rPr>
          <w:rFonts w:ascii="Calibri" w:hAnsi="Calibri"/>
          <w:color w:val="auto"/>
          <w:szCs w:val="22"/>
        </w:rPr>
        <w:t>uvedené vždy na příslušných daňov</w:t>
      </w:r>
      <w:r>
        <w:rPr>
          <w:rFonts w:ascii="Calibri" w:hAnsi="Calibri"/>
          <w:color w:val="auto"/>
          <w:szCs w:val="22"/>
        </w:rPr>
        <w:t>ých dokladech (faktura, záloh.</w:t>
      </w:r>
      <w:r w:rsidRPr="00092D52">
        <w:rPr>
          <w:rFonts w:ascii="Calibri" w:hAnsi="Calibri"/>
          <w:color w:val="auto"/>
          <w:szCs w:val="22"/>
        </w:rPr>
        <w:t xml:space="preserve"> kalendář)</w:t>
      </w:r>
    </w:p>
    <w:p w:rsidR="006F4DDB" w:rsidRPr="0051258A" w:rsidRDefault="006F4DDB" w:rsidP="00D30C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firstLine="708"/>
        <w:jc w:val="both"/>
        <w:rPr>
          <w:rFonts w:ascii="Calibri" w:hAnsi="Calibri"/>
          <w:color w:val="auto"/>
          <w:szCs w:val="22"/>
        </w:rPr>
      </w:pPr>
      <w:r>
        <w:rPr>
          <w:rFonts w:ascii="Calibri" w:hAnsi="Calibri"/>
          <w:color w:val="auto"/>
          <w:szCs w:val="22"/>
        </w:rPr>
        <w:tab/>
      </w:r>
      <w:r w:rsidRPr="0051258A">
        <w:rPr>
          <w:rFonts w:ascii="Calibri" w:hAnsi="Calibri"/>
          <w:color w:val="auto"/>
          <w:szCs w:val="22"/>
        </w:rPr>
        <w:t>Číslo licence: 141118584</w:t>
      </w:r>
    </w:p>
    <w:p w:rsidR="006F4DDB"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p>
    <w:p w:rsidR="006F4DDB" w:rsidRPr="00D25BB6"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outlineLvl w:val="0"/>
        <w:rPr>
          <w:rFonts w:ascii="Calibri" w:hAnsi="Calibri"/>
          <w:color w:val="auto"/>
          <w:szCs w:val="22"/>
        </w:rPr>
      </w:pPr>
      <w:r w:rsidRPr="00D25BB6">
        <w:rPr>
          <w:rFonts w:ascii="Calibri" w:hAnsi="Calibri"/>
          <w:color w:val="auto"/>
          <w:szCs w:val="22"/>
        </w:rPr>
        <w:t>Kontaktní osoba:</w:t>
      </w:r>
      <w:r>
        <w:rPr>
          <w:rFonts w:ascii="Calibri" w:hAnsi="Calibri"/>
          <w:color w:val="auto"/>
          <w:szCs w:val="22"/>
        </w:rPr>
        <w:t xml:space="preserve"> xxxxx</w:t>
      </w:r>
    </w:p>
    <w:p w:rsidR="006F4DDB" w:rsidRPr="00D25BB6" w:rsidRDefault="006F4DDB" w:rsidP="00E001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D25BB6">
        <w:rPr>
          <w:rFonts w:ascii="Calibri" w:hAnsi="Calibri"/>
          <w:color w:val="auto"/>
          <w:szCs w:val="22"/>
        </w:rPr>
        <w:t>Kontaktní email:</w:t>
      </w:r>
      <w:r>
        <w:rPr>
          <w:rFonts w:ascii="Calibri" w:hAnsi="Calibri"/>
          <w:color w:val="auto"/>
          <w:szCs w:val="22"/>
        </w:rPr>
        <w:t xml:space="preserve"> xxxxx</w:t>
      </w:r>
    </w:p>
    <w:p w:rsidR="006F4DDB" w:rsidRPr="00D25BB6" w:rsidRDefault="006F4DDB" w:rsidP="00E0014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D25BB6">
        <w:rPr>
          <w:rFonts w:ascii="Calibri" w:hAnsi="Calibri"/>
          <w:color w:val="auto"/>
          <w:szCs w:val="22"/>
        </w:rPr>
        <w:t>Kontaktní telefon:</w:t>
      </w:r>
      <w:r>
        <w:rPr>
          <w:rFonts w:ascii="Calibri" w:hAnsi="Calibri"/>
          <w:color w:val="auto"/>
          <w:szCs w:val="22"/>
        </w:rPr>
        <w:t xml:space="preserve"> xxxxx</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p>
    <w:p w:rsidR="006F4DDB"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outlineLvl w:val="0"/>
        <w:rPr>
          <w:rFonts w:ascii="Calibri" w:hAnsi="Calibri"/>
          <w:color w:val="auto"/>
          <w:szCs w:val="22"/>
        </w:rPr>
      </w:pPr>
      <w:r w:rsidRPr="0051258A">
        <w:rPr>
          <w:rFonts w:ascii="Calibri" w:hAnsi="Calibri"/>
          <w:color w:val="auto"/>
          <w:szCs w:val="22"/>
        </w:rPr>
        <w:t xml:space="preserve">Zákaznická linka: </w:t>
      </w:r>
      <w:r>
        <w:rPr>
          <w:rFonts w:ascii="Calibri" w:hAnsi="Calibri"/>
          <w:color w:val="auto"/>
          <w:szCs w:val="22"/>
        </w:rPr>
        <w:t>xxxxx</w:t>
      </w:r>
      <w:r w:rsidRPr="0051258A">
        <w:rPr>
          <w:rFonts w:ascii="Calibri" w:hAnsi="Calibri"/>
          <w:color w:val="auto"/>
          <w:szCs w:val="22"/>
        </w:rPr>
        <w:t xml:space="preserve">, email: </w:t>
      </w:r>
      <w:r>
        <w:rPr>
          <w:rFonts w:ascii="Calibri" w:hAnsi="Calibri"/>
          <w:color w:val="auto"/>
          <w:szCs w:val="22"/>
        </w:rPr>
        <w:t>xxxxx</w:t>
      </w:r>
    </w:p>
    <w:p w:rsidR="006F4DDB" w:rsidRPr="0051258A"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outlineLvl w:val="0"/>
        <w:rPr>
          <w:rFonts w:ascii="Calibri" w:hAnsi="Calibri"/>
          <w:color w:val="auto"/>
          <w:szCs w:val="22"/>
        </w:rPr>
      </w:pPr>
      <w:r w:rsidRPr="0051258A">
        <w:rPr>
          <w:rFonts w:ascii="Calibri" w:hAnsi="Calibri"/>
          <w:color w:val="auto"/>
          <w:szCs w:val="22"/>
        </w:rPr>
        <w:t xml:space="preserve">Fakturační linka: </w:t>
      </w:r>
      <w:r>
        <w:rPr>
          <w:rFonts w:ascii="Calibri" w:hAnsi="Calibri"/>
          <w:color w:val="auto"/>
          <w:szCs w:val="22"/>
        </w:rPr>
        <w:t>xxxxx</w:t>
      </w:r>
      <w:r w:rsidRPr="0051258A">
        <w:rPr>
          <w:rFonts w:ascii="Calibri" w:hAnsi="Calibri"/>
          <w:color w:val="auto"/>
          <w:szCs w:val="22"/>
        </w:rPr>
        <w:t xml:space="preserve">, email: </w:t>
      </w:r>
      <w:r>
        <w:rPr>
          <w:rFonts w:ascii="Calibri" w:hAnsi="Calibri"/>
          <w:color w:val="auto"/>
          <w:szCs w:val="22"/>
        </w:rPr>
        <w:t>xxxxx</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8"/>
        <w:jc w:val="both"/>
        <w:rPr>
          <w:rFonts w:ascii="Calibri" w:hAnsi="Calibri"/>
          <w:color w:val="auto"/>
          <w:szCs w:val="22"/>
        </w:rPr>
      </w:pPr>
      <w:r w:rsidRPr="0051258A">
        <w:rPr>
          <w:rFonts w:ascii="Calibri" w:hAnsi="Calibri"/>
          <w:color w:val="auto"/>
          <w:szCs w:val="22"/>
        </w:rPr>
        <w:t>(dále jen jako „obchodník“)</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51258A"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Calibri" w:hAnsi="Calibri"/>
          <w:color w:val="auto"/>
          <w:szCs w:val="22"/>
        </w:rPr>
      </w:pPr>
      <w:r w:rsidRPr="0051258A">
        <w:rPr>
          <w:rFonts w:ascii="Calibri" w:hAnsi="Calibri"/>
          <w:color w:val="auto"/>
          <w:szCs w:val="22"/>
        </w:rPr>
        <w:t>Zákazník:</w:t>
      </w:r>
      <w:r w:rsidRPr="0051258A">
        <w:rPr>
          <w:rFonts w:ascii="Calibri" w:hAnsi="Calibri"/>
          <w:color w:val="auto"/>
          <w:szCs w:val="22"/>
        </w:rPr>
        <w:tab/>
      </w:r>
      <w:r w:rsidRPr="00664C83">
        <w:rPr>
          <w:rFonts w:ascii="Calibri" w:hAnsi="Calibri"/>
          <w:b/>
          <w:color w:val="auto"/>
          <w:szCs w:val="22"/>
        </w:rPr>
        <w:t>Dům dětí a mládeže Neratovice, Mládežnická 984, okres Mělník</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se sídlem: </w:t>
      </w:r>
      <w:r w:rsidRPr="00664C83">
        <w:rPr>
          <w:rFonts w:ascii="Calibri" w:hAnsi="Calibri"/>
          <w:color w:val="auto"/>
          <w:szCs w:val="22"/>
        </w:rPr>
        <w:t>Mládežnická 984, 27711 Neratovice</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IČ: </w:t>
      </w:r>
      <w:r w:rsidRPr="00664C83">
        <w:rPr>
          <w:rFonts w:ascii="Calibri" w:hAnsi="Calibri"/>
          <w:color w:val="auto"/>
          <w:szCs w:val="22"/>
        </w:rPr>
        <w:t>49518968</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Zastoupený: </w:t>
      </w:r>
      <w:r w:rsidRPr="00664C83">
        <w:rPr>
          <w:rFonts w:ascii="Calibri" w:hAnsi="Calibri"/>
          <w:color w:val="auto"/>
          <w:szCs w:val="22"/>
        </w:rPr>
        <w:t>Miloslava Hainová</w:t>
      </w:r>
      <w:r>
        <w:rPr>
          <w:rFonts w:ascii="Calibri" w:hAnsi="Calibri"/>
          <w:color w:val="auto"/>
          <w:szCs w:val="22"/>
        </w:rPr>
        <w:t>, ředitelka</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Bankovní spojení: </w:t>
      </w:r>
      <w:r>
        <w:rPr>
          <w:rFonts w:ascii="Calibri" w:hAnsi="Calibri"/>
          <w:color w:val="auto"/>
          <w:szCs w:val="22"/>
        </w:rPr>
        <w:t>Česká spořitelna</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Číslo účtu: </w:t>
      </w:r>
      <w:r>
        <w:rPr>
          <w:rFonts w:ascii="Calibri" w:hAnsi="Calibri"/>
          <w:color w:val="auto"/>
          <w:szCs w:val="22"/>
        </w:rPr>
        <w:t>xxxxx</w:t>
      </w:r>
      <w:bookmarkStart w:id="0" w:name="_GoBack"/>
      <w:bookmarkEnd w:id="0"/>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Kontaktní osoba:</w:t>
      </w:r>
      <w:r>
        <w:rPr>
          <w:rFonts w:ascii="Calibri" w:hAnsi="Calibri"/>
          <w:color w:val="auto"/>
          <w:szCs w:val="22"/>
        </w:rPr>
        <w:t xml:space="preserve"> xxxxx</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Kontaktní email: </w:t>
      </w:r>
      <w:r>
        <w:rPr>
          <w:rFonts w:ascii="Calibri" w:hAnsi="Calibri"/>
          <w:color w:val="auto"/>
          <w:szCs w:val="22"/>
        </w:rPr>
        <w:t>xxxxx</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Kontaktní telefon:</w:t>
      </w:r>
      <w:r>
        <w:rPr>
          <w:rFonts w:ascii="Calibri" w:hAnsi="Calibri"/>
          <w:color w:val="auto"/>
          <w:szCs w:val="22"/>
        </w:rPr>
        <w:t>xxxxx</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(dále jen jako „zákazník“)</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(společně jako „smluvní strany“)</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883AB2" w:rsidRDefault="006F4DDB" w:rsidP="00883AB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Uzavírají níže uvedeného dne, měsíce a roku smlouvu o sdružených službách dodávky elektřiny následujícího znění:</w:t>
      </w:r>
    </w:p>
    <w:p w:rsidR="006F4DDB"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rsidR="006F4DDB"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rsidR="006F4DDB" w:rsidRPr="0051258A"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outlineLvl w:val="0"/>
        <w:rPr>
          <w:rFonts w:ascii="Calibri" w:hAnsi="Calibri"/>
          <w:b/>
          <w:color w:val="auto"/>
          <w:szCs w:val="22"/>
        </w:rPr>
      </w:pPr>
      <w:r w:rsidRPr="0051258A">
        <w:rPr>
          <w:rFonts w:ascii="Calibri" w:hAnsi="Calibri"/>
          <w:b/>
          <w:color w:val="auto"/>
          <w:szCs w:val="22"/>
        </w:rPr>
        <w:t>I.</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Předmět smlouvy</w:t>
      </w:r>
    </w:p>
    <w:p w:rsidR="006F4DDB" w:rsidRPr="00451C15" w:rsidRDefault="006F4DDB"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Obchodník se zavazuje poskytnout zákazníkovi sdružené služby dodávky elektřiny, tzn. dodávat sjednané množství silové elektřiny zákazníkovi v odběrném místě, jakož i zajistit pro zákazníka distribuci elektřiny a systémové služby. Obchodník se dále zavazuje převzít závazek zákazníka odebrat sjednané množství elektřiny z elektrizační soustavy, tzn. převzít odpovědnost za odchylku v daném odběrném místě. Zákazník tak může odebrat i větší nebo menší množství elektřiny, než jaké je uvedeno ve smlouvě a obchodník vůči němu nebude za tuto odchylku uplatňovat žádné sankce. </w:t>
      </w:r>
    </w:p>
    <w:p w:rsidR="006F4DDB" w:rsidRPr="00451C15" w:rsidRDefault="006F4DDB"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zaplatit obchodníkovi řádně a včas za skutečně odebrané množství elektřiny, distribuci elektřiny a související služby dohodnutou cenu.</w:t>
      </w:r>
    </w:p>
    <w:p w:rsidR="006F4DDB" w:rsidRPr="0051258A" w:rsidRDefault="006F4DDB" w:rsidP="00FB7A21">
      <w:pPr>
        <w:pStyle w:val="ListParagraph2"/>
        <w:numPr>
          <w:ilvl w:val="0"/>
          <w:numId w:val="1"/>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Práva a povinnosti smluvních stran jsou blíže specifikovány v Obchodních podmínkách sdružených služeb dodávky elektřiny společ</w:t>
      </w:r>
      <w:r>
        <w:rPr>
          <w:rFonts w:ascii="Calibri" w:hAnsi="Calibri"/>
          <w:color w:val="auto"/>
          <w:szCs w:val="22"/>
        </w:rPr>
        <w:t>nosti Amper Market, a.s., účinných</w:t>
      </w:r>
      <w:r w:rsidRPr="0051258A">
        <w:rPr>
          <w:rFonts w:ascii="Calibri" w:hAnsi="Calibri"/>
          <w:color w:val="auto"/>
          <w:szCs w:val="22"/>
        </w:rPr>
        <w:t xml:space="preserve"> od 1.1.2014, ze dne 22.11.2013, které jsou přílohou č. 1 této smlouvy a spolu se smlouvou tvoří nedílný celek (dále jen „obchodní podmínky obchodníka“).</w:t>
      </w: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outlineLvl w:val="0"/>
        <w:rPr>
          <w:rFonts w:ascii="Calibri" w:hAnsi="Calibri"/>
          <w:b/>
          <w:color w:val="auto"/>
          <w:szCs w:val="22"/>
        </w:rPr>
      </w:pPr>
      <w:r w:rsidRPr="0051258A">
        <w:rPr>
          <w:rFonts w:ascii="Calibri" w:hAnsi="Calibri"/>
          <w:b/>
          <w:color w:val="auto"/>
          <w:szCs w:val="22"/>
        </w:rPr>
        <w:t>II.</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Specifikace odběrného místa</w:t>
      </w:r>
    </w:p>
    <w:p w:rsidR="006F4DDB" w:rsidRPr="00451C15" w:rsidRDefault="006F4DDB"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Odběrné místo (případně více odběrných míst) zákazníka je specifikováno v samostatné příloze č. 2 této smlouvy (dále společně jen jako „odběrné místo“).</w:t>
      </w:r>
    </w:p>
    <w:p w:rsidR="006F4DDB" w:rsidRPr="00451C15" w:rsidRDefault="006F4DDB"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prohlašuje, že má příslušná majetkoprávní oprávnění k odběrným místům uvedeným v předchozím odstavci a zavazuje se zajistit v souladu s platnou právní úpravou připojení odběrných míst specifikovaných v předchozím odstavci k distribuční soustavě příslušného provozovatele distribuční soustavy.</w:t>
      </w:r>
    </w:p>
    <w:p w:rsidR="006F4DDB" w:rsidRPr="00451C15" w:rsidRDefault="006F4DDB" w:rsidP="00FB7A21">
      <w:pPr>
        <w:pStyle w:val="ListParagraph2"/>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Předávací místo je místem, ve kterém se uskutečňuje předání a odběr dodávky elektřiny, a které je v přípojkové nebo rozpínací skříni, na vývodu z transformační stanice či svodu z venkovního vedení nízkého napětí, ze kterého je připojeno odběrné místo specifikované v prvním odstavci tohoto článku.</w:t>
      </w:r>
    </w:p>
    <w:p w:rsidR="006F4DDB" w:rsidRPr="002576E6" w:rsidRDefault="006F4DDB" w:rsidP="00FB7A21">
      <w:pPr>
        <w:pStyle w:val="ListParagraph1"/>
        <w:numPr>
          <w:ilvl w:val="0"/>
          <w:numId w:val="2"/>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2576E6">
        <w:rPr>
          <w:rFonts w:ascii="Calibri" w:hAnsi="Calibri" w:cs="Helvetica"/>
          <w:color w:val="auto"/>
          <w:szCs w:val="22"/>
        </w:rPr>
        <w:t>Z důvodu provozních potřeb může být v průběhu trvání smlouvy měněn počet měřících nebo odběrných míst zákazníka, a to jak zrušením odběrných míst uvedených v této smlouvě, tak zřízením nových odběrných míst, v této smlouvě neuvedených. Obchodník se zavazuje i pro tyto případy garantovat cenu dle této smlouvy a neprodleně po oznámení o zřízení nového odběrného místa zahájit dodávku elektřiny.</w:t>
      </w:r>
    </w:p>
    <w:p w:rsidR="006F4DDB" w:rsidRPr="0051258A" w:rsidRDefault="006F4DDB"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outlineLvl w:val="0"/>
        <w:rPr>
          <w:rFonts w:ascii="Calibri" w:hAnsi="Calibri"/>
          <w:b/>
          <w:color w:val="auto"/>
          <w:szCs w:val="22"/>
        </w:rPr>
      </w:pPr>
      <w:r w:rsidRPr="0051258A">
        <w:rPr>
          <w:rFonts w:ascii="Calibri" w:hAnsi="Calibri"/>
          <w:b/>
          <w:color w:val="auto"/>
          <w:szCs w:val="22"/>
        </w:rPr>
        <w:t>III.</w:t>
      </w:r>
    </w:p>
    <w:p w:rsidR="006F4DDB"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Časová specifikace dodávek elektřiny</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rsidR="006F4DDB" w:rsidRPr="0051258A" w:rsidRDefault="006F4DDB" w:rsidP="00FB7A21">
      <w:pPr>
        <w:pStyle w:val="ListParagraph2"/>
        <w:numPr>
          <w:ilvl w:val="0"/>
          <w:numId w:val="3"/>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Požadovan</w:t>
      </w:r>
      <w:r>
        <w:rPr>
          <w:rFonts w:ascii="Calibri" w:hAnsi="Calibri"/>
          <w:color w:val="auto"/>
          <w:szCs w:val="22"/>
        </w:rPr>
        <w:t>ý termín zahájení dodávky:   1.1.2016</w:t>
      </w:r>
      <w:r w:rsidRPr="0051258A">
        <w:rPr>
          <w:rFonts w:ascii="Calibri" w:hAnsi="Calibri"/>
          <w:color w:val="auto"/>
          <w:szCs w:val="22"/>
        </w:rPr>
        <w:t xml:space="preserve"> 00:00h</w:t>
      </w: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Obchodník neodpovídá za splnění požadovaného termínu zahájení dodávky elektřiny v případech, kdy dodávku elektřiny nebylo možné v tomto termínu zahájit z důvodů na straně zákazníka, jiného dodavatele elektřiny, nebo prov</w:t>
      </w:r>
      <w:r>
        <w:rPr>
          <w:rFonts w:ascii="Calibri" w:hAnsi="Calibri"/>
          <w:color w:val="auto"/>
          <w:szCs w:val="22"/>
        </w:rPr>
        <w:t>ozovatele distribuční soustavy.</w:t>
      </w:r>
    </w:p>
    <w:p w:rsidR="006F4DDB" w:rsidRDefault="006F4DDB" w:rsidP="00FB7A21">
      <w:pPr>
        <w:pStyle w:val="ListParagraph2"/>
        <w:tabs>
          <w:tab w:val="left" w:pos="1134"/>
          <w:tab w:val="left" w:pos="2268"/>
          <w:tab w:val="left" w:pos="3402"/>
          <w:tab w:val="left" w:pos="4535"/>
          <w:tab w:val="left" w:pos="5669"/>
          <w:tab w:val="left" w:pos="6803"/>
          <w:tab w:val="left" w:pos="7937"/>
          <w:tab w:val="left" w:pos="9071"/>
        </w:tabs>
        <w:spacing w:after="0" w:line="240" w:lineRule="auto"/>
        <w:ind w:left="346"/>
        <w:jc w:val="center"/>
        <w:rPr>
          <w:rFonts w:ascii="Calibri" w:hAnsi="Calibri"/>
          <w:b/>
          <w:color w:val="auto"/>
          <w:szCs w:val="22"/>
        </w:rPr>
      </w:pPr>
    </w:p>
    <w:p w:rsidR="006F4DDB" w:rsidRDefault="006F4DDB" w:rsidP="00FB7A21">
      <w:pPr>
        <w:pStyle w:val="ListParagraph2"/>
        <w:tabs>
          <w:tab w:val="left" w:pos="1134"/>
          <w:tab w:val="left" w:pos="2268"/>
          <w:tab w:val="left" w:pos="3402"/>
          <w:tab w:val="left" w:pos="4535"/>
          <w:tab w:val="left" w:pos="5669"/>
          <w:tab w:val="left" w:pos="6803"/>
          <w:tab w:val="left" w:pos="7937"/>
          <w:tab w:val="left" w:pos="9071"/>
        </w:tabs>
        <w:spacing w:after="0" w:line="240" w:lineRule="auto"/>
        <w:ind w:left="346"/>
        <w:jc w:val="center"/>
        <w:rPr>
          <w:rFonts w:ascii="Calibri" w:hAnsi="Calibri"/>
          <w:b/>
          <w:color w:val="auto"/>
          <w:szCs w:val="22"/>
        </w:rPr>
      </w:pPr>
    </w:p>
    <w:p w:rsidR="006F4DDB" w:rsidRPr="0051258A" w:rsidRDefault="006F4DDB" w:rsidP="007664A7">
      <w:pPr>
        <w:pStyle w:val="ListParagraph2"/>
        <w:tabs>
          <w:tab w:val="left" w:pos="1134"/>
          <w:tab w:val="left" w:pos="2268"/>
          <w:tab w:val="left" w:pos="3402"/>
          <w:tab w:val="left" w:pos="4535"/>
          <w:tab w:val="left" w:pos="5669"/>
          <w:tab w:val="left" w:pos="6803"/>
          <w:tab w:val="left" w:pos="7937"/>
          <w:tab w:val="left" w:pos="9071"/>
        </w:tabs>
        <w:spacing w:after="0" w:line="240" w:lineRule="auto"/>
        <w:ind w:left="346"/>
        <w:jc w:val="center"/>
        <w:outlineLvl w:val="0"/>
        <w:rPr>
          <w:rFonts w:ascii="Calibri" w:hAnsi="Calibri"/>
          <w:b/>
          <w:color w:val="auto"/>
          <w:szCs w:val="22"/>
        </w:rPr>
      </w:pPr>
      <w:r w:rsidRPr="0051258A">
        <w:rPr>
          <w:rFonts w:ascii="Calibri" w:hAnsi="Calibri"/>
          <w:b/>
          <w:color w:val="auto"/>
          <w:szCs w:val="22"/>
        </w:rPr>
        <w:t>IV.</w:t>
      </w:r>
    </w:p>
    <w:p w:rsidR="006F4DDB" w:rsidRPr="0051258A" w:rsidRDefault="006F4DDB" w:rsidP="00FB7A21">
      <w:pPr>
        <w:pStyle w:val="ListParagraph2"/>
        <w:tabs>
          <w:tab w:val="left" w:pos="1134"/>
          <w:tab w:val="left" w:pos="2268"/>
          <w:tab w:val="left" w:pos="3402"/>
          <w:tab w:val="left" w:pos="4535"/>
          <w:tab w:val="left" w:pos="5669"/>
          <w:tab w:val="left" w:pos="6803"/>
          <w:tab w:val="left" w:pos="7937"/>
          <w:tab w:val="left" w:pos="9071"/>
        </w:tabs>
        <w:spacing w:after="0" w:line="240" w:lineRule="auto"/>
        <w:ind w:left="346"/>
        <w:jc w:val="center"/>
        <w:rPr>
          <w:rFonts w:ascii="Calibri" w:hAnsi="Calibri"/>
          <w:b/>
          <w:color w:val="auto"/>
          <w:szCs w:val="22"/>
        </w:rPr>
      </w:pPr>
      <w:r w:rsidRPr="0051258A">
        <w:rPr>
          <w:rFonts w:ascii="Calibri" w:hAnsi="Calibri"/>
          <w:b/>
          <w:color w:val="auto"/>
          <w:szCs w:val="22"/>
        </w:rPr>
        <w:t>Podmínky dodávky elektřiny</w:t>
      </w:r>
    </w:p>
    <w:p w:rsidR="006F4DDB" w:rsidRPr="00451C15" w:rsidRDefault="006F4DDB" w:rsidP="00451C15">
      <w:pPr>
        <w:pStyle w:val="ListParagraph2"/>
        <w:numPr>
          <w:ilvl w:val="0"/>
          <w:numId w:val="4"/>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Obchodník se zavazuje dodávat zákazníkovi elektřinu za podmínek uvedených v této smlouvě a obchodních podmínkách obchodníka.</w:t>
      </w:r>
    </w:p>
    <w:p w:rsidR="006F4DDB" w:rsidRPr="00451C15" w:rsidRDefault="006F4DDB"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hanging="348"/>
        <w:jc w:val="both"/>
        <w:rPr>
          <w:rFonts w:ascii="Calibri" w:hAnsi="Calibri"/>
          <w:color w:val="auto"/>
          <w:szCs w:val="22"/>
        </w:rPr>
      </w:pPr>
      <w:r w:rsidRPr="00FB7A21">
        <w:rPr>
          <w:rFonts w:ascii="Calibri" w:hAnsi="Calibri"/>
          <w:color w:val="auto"/>
          <w:szCs w:val="22"/>
        </w:rPr>
        <w:t>Smluvní strany se dohodly, že pokud obchodník nezahájí dodávky elektřiny zákazníkovi</w:t>
      </w:r>
      <w:r>
        <w:rPr>
          <w:rFonts w:ascii="Calibri" w:hAnsi="Calibri"/>
          <w:color w:val="auto"/>
          <w:szCs w:val="22"/>
        </w:rPr>
        <w:t xml:space="preserve">  v požadovaném </w:t>
      </w:r>
      <w:r w:rsidRPr="00FB7A21">
        <w:rPr>
          <w:rFonts w:ascii="Calibri" w:hAnsi="Calibri"/>
          <w:color w:val="auto"/>
          <w:szCs w:val="22"/>
        </w:rPr>
        <w:t>termínu z důvodů na své straně, může se zákazník po obchodníkovi domáhat náhrady újmy, a to ve výši případného navýšení ceny elektřiny, kterou zákazník byl nucen hradit jinému dodavateli po období, po které byl obchodník v prodlení se zahájením dodávky elektřiny, ve srovnání s cenou elektřiny uvedenou v této smlouvě. Smluvní strany se dohodly, že obchodník není povinen hradit újmu převyšující případné navýšení ceny elektřiny.</w:t>
      </w:r>
    </w:p>
    <w:p w:rsidR="006F4DDB" w:rsidRPr="00451C15" w:rsidRDefault="006F4DDB" w:rsidP="00451C15">
      <w:pPr>
        <w:pStyle w:val="ListParagraph2"/>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FB7A21">
        <w:rPr>
          <w:rFonts w:ascii="Calibri" w:hAnsi="Calibri"/>
          <w:color w:val="auto"/>
          <w:szCs w:val="22"/>
        </w:rPr>
        <w:t xml:space="preserve">Zákazníci s hodnotou jističe před elektroměrem </w:t>
      </w:r>
      <w:smartTag w:uri="urn:schemas-microsoft-com:office:smarttags" w:element="metricconverter">
        <w:smartTagPr>
          <w:attr w:name="ProductID" w:val="200 A"/>
        </w:smartTagPr>
        <w:r w:rsidRPr="00FB7A21">
          <w:rPr>
            <w:rFonts w:ascii="Calibri" w:hAnsi="Calibri"/>
            <w:color w:val="auto"/>
            <w:szCs w:val="22"/>
          </w:rPr>
          <w:t>200 A</w:t>
        </w:r>
      </w:smartTag>
      <w:r w:rsidRPr="00FB7A21">
        <w:rPr>
          <w:rFonts w:ascii="Calibri" w:hAnsi="Calibri"/>
          <w:color w:val="auto"/>
          <w:szCs w:val="22"/>
        </w:rPr>
        <w:t xml:space="preserve"> a vyšší jsou v souladu s platnými předpisy povinni stanovit bezpečnostní minimum, kterým se rozumí nejnižší hodnota odebíraného výkonu, která je po ukončení výroby nezbytně nutná pro zajištění bezpečnosti technologie odběrného zařízení, vlivu na okolní prostředí a obsluhujících pracovníků. Zákazníci jsou povinni provést soupis jednotlivých spotřebičů a rozbor jejich bezpečnostního a technologického minima spotřeby a takto zjištěné bezpečnostní minimum uvést v této smlouvě. Záka</w:t>
      </w:r>
      <w:r>
        <w:rPr>
          <w:rFonts w:ascii="Calibri" w:hAnsi="Calibri"/>
          <w:color w:val="auto"/>
          <w:szCs w:val="22"/>
        </w:rPr>
        <w:t>zník tímto uvádí, že pro odběrná místa specifikovaná</w:t>
      </w:r>
      <w:r w:rsidRPr="00FB7A21">
        <w:rPr>
          <w:rFonts w:ascii="Calibri" w:hAnsi="Calibri"/>
          <w:color w:val="auto"/>
          <w:szCs w:val="22"/>
        </w:rPr>
        <w:t xml:space="preserve"> v čl. II této smlouvy se stanovuje bezpečnostní minimum</w:t>
      </w:r>
      <w:r>
        <w:rPr>
          <w:rFonts w:ascii="Calibri" w:hAnsi="Calibri"/>
          <w:color w:val="auto"/>
          <w:szCs w:val="22"/>
        </w:rPr>
        <w:t xml:space="preserve"> v příloze č. 2 této smlouvy.</w:t>
      </w:r>
      <w:r w:rsidRPr="00FB7A21">
        <w:rPr>
          <w:rFonts w:ascii="Calibri" w:hAnsi="Calibri"/>
          <w:color w:val="auto"/>
          <w:szCs w:val="22"/>
        </w:rPr>
        <w:t xml:space="preserve">  </w:t>
      </w:r>
    </w:p>
    <w:p w:rsidR="006F4DDB" w:rsidRPr="00B91B19" w:rsidRDefault="006F4DDB" w:rsidP="004E5AA1">
      <w:pPr>
        <w:pStyle w:val="ListParagraph1"/>
        <w:numPr>
          <w:ilvl w:val="0"/>
          <w:numId w:val="4"/>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výslovně prohlašuje, že v případě, že hodnota bezpečnostního minima není vyplněna, rovná se hodnota bezpečnostního minima nule (0), tudíž přerušení dodávky elektřiny při regula</w:t>
      </w:r>
      <w:r>
        <w:rPr>
          <w:rFonts w:ascii="Calibri" w:hAnsi="Calibri"/>
          <w:color w:val="auto"/>
          <w:szCs w:val="22"/>
        </w:rPr>
        <w:t xml:space="preserve">ci odběru je možné do 1 hodiny </w:t>
      </w:r>
      <w:r w:rsidRPr="0051258A">
        <w:rPr>
          <w:rFonts w:ascii="Calibri" w:hAnsi="Calibri"/>
          <w:color w:val="auto"/>
          <w:szCs w:val="22"/>
        </w:rPr>
        <w:t>o</w:t>
      </w:r>
      <w:r>
        <w:rPr>
          <w:rFonts w:ascii="Calibri" w:hAnsi="Calibri"/>
          <w:color w:val="auto"/>
          <w:szCs w:val="22"/>
        </w:rPr>
        <w:t>d</w:t>
      </w:r>
      <w:r w:rsidRPr="0051258A">
        <w:rPr>
          <w:rFonts w:ascii="Calibri" w:hAnsi="Calibri"/>
          <w:color w:val="auto"/>
          <w:szCs w:val="22"/>
        </w:rPr>
        <w:t xml:space="preserve"> vyhlášení regulace na nulový odběr (regulační stupeň číslo 7). </w:t>
      </w:r>
    </w:p>
    <w:p w:rsidR="006F4DDB" w:rsidRDefault="006F4DDB" w:rsidP="00134E7B">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F4DDB"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rsidR="006F4DDB" w:rsidRPr="0051258A" w:rsidRDefault="006F4DDB" w:rsidP="007664A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outlineLvl w:val="0"/>
        <w:rPr>
          <w:rFonts w:ascii="Calibri" w:hAnsi="Calibri"/>
          <w:b/>
          <w:color w:val="auto"/>
          <w:szCs w:val="22"/>
        </w:rPr>
      </w:pPr>
      <w:r w:rsidRPr="0051258A">
        <w:rPr>
          <w:rFonts w:ascii="Calibri" w:hAnsi="Calibri"/>
          <w:b/>
          <w:color w:val="auto"/>
          <w:szCs w:val="22"/>
        </w:rPr>
        <w:t>V.</w:t>
      </w: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720"/>
        <w:jc w:val="center"/>
        <w:rPr>
          <w:rFonts w:ascii="Calibri" w:hAnsi="Calibri"/>
          <w:b/>
          <w:color w:val="auto"/>
          <w:szCs w:val="22"/>
        </w:rPr>
      </w:pPr>
      <w:r w:rsidRPr="0051258A">
        <w:rPr>
          <w:rFonts w:ascii="Calibri" w:hAnsi="Calibri"/>
          <w:b/>
          <w:color w:val="auto"/>
          <w:szCs w:val="22"/>
        </w:rPr>
        <w:t>Podmínky distribuce elektřiny a systémových služeb</w:t>
      </w:r>
    </w:p>
    <w:p w:rsidR="006F4DDB" w:rsidRPr="00451C15" w:rsidRDefault="006F4DDB"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uděluje obchodníkovi souhlas, aby vlastním jménem a na vlastní účet uzavřel s příslušným provozovatelem distribuční soustavy smlouvu o distribuci pro odběrné místo. Zákazník se zavazuje řídit se podmínkami distribuce elektřiny příslušného provozovatele distribuční soustavy.</w:t>
      </w:r>
    </w:p>
    <w:p w:rsidR="006F4DDB" w:rsidRPr="0051258A" w:rsidRDefault="006F4DDB" w:rsidP="00FB7A21">
      <w:pPr>
        <w:pStyle w:val="ListParagraph2"/>
        <w:numPr>
          <w:ilvl w:val="0"/>
          <w:numId w:val="8"/>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Bližší úprava práv a povinností související s distribucí elektřiny a poskytováním systémových služeb je obsažena v obchodních podmínkách obchodníka. </w:t>
      </w:r>
    </w:p>
    <w:p w:rsidR="006F4DDB"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rsidR="006F4DDB"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p>
    <w:p w:rsidR="006F4DDB" w:rsidRPr="0051258A" w:rsidRDefault="006F4DDB" w:rsidP="007664A7">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outlineLvl w:val="0"/>
        <w:rPr>
          <w:rFonts w:ascii="Calibri" w:hAnsi="Calibri"/>
          <w:b/>
          <w:color w:val="auto"/>
          <w:szCs w:val="22"/>
        </w:rPr>
      </w:pPr>
      <w:r w:rsidRPr="0051258A">
        <w:rPr>
          <w:rFonts w:ascii="Calibri" w:hAnsi="Calibri"/>
          <w:b/>
          <w:color w:val="auto"/>
          <w:szCs w:val="22"/>
        </w:rPr>
        <w:t>VI.</w:t>
      </w: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Cena a platební podmínky</w:t>
      </w:r>
    </w:p>
    <w:p w:rsidR="006F4DDB" w:rsidRPr="0051258A" w:rsidRDefault="006F4DDB"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Cena za dodávku silové elektřiny je smluvní. Smluvní strany sjednávají následující individuální cenové tarify pro veškerá odběrná místa zákazníka dle příslušných distribučních sazeb:</w:t>
      </w:r>
    </w:p>
    <w:p w:rsidR="006F4DDB" w:rsidRDefault="006F4DDB"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tbl>
      <w:tblPr>
        <w:tblW w:w="9498" w:type="dxa"/>
        <w:tblInd w:w="108" w:type="dxa"/>
        <w:tblLayout w:type="fixed"/>
        <w:tblLook w:val="00A0"/>
      </w:tblPr>
      <w:tblGrid>
        <w:gridCol w:w="3616"/>
        <w:gridCol w:w="2314"/>
        <w:gridCol w:w="1785"/>
        <w:gridCol w:w="1783"/>
      </w:tblGrid>
      <w:tr w:rsidR="006F4DDB" w:rsidRPr="0039477C" w:rsidTr="00883AB2">
        <w:trPr>
          <w:trHeight w:val="460"/>
        </w:trPr>
        <w:tc>
          <w:tcPr>
            <w:tcW w:w="9498" w:type="dxa"/>
            <w:gridSpan w:val="4"/>
            <w:tcBorders>
              <w:top w:val="single" w:sz="8" w:space="0" w:color="auto"/>
              <w:left w:val="single" w:sz="8" w:space="0" w:color="auto"/>
              <w:bottom w:val="single" w:sz="8" w:space="0" w:color="auto"/>
              <w:right w:val="single" w:sz="8" w:space="0" w:color="000000"/>
            </w:tcBorders>
            <w:shd w:val="clear" w:color="000000" w:fill="244062"/>
            <w:noWrap/>
            <w:vAlign w:val="center"/>
          </w:tcPr>
          <w:p w:rsidR="006F4DDB" w:rsidRPr="0039477C" w:rsidRDefault="006F4DDB" w:rsidP="00555002">
            <w:pPr>
              <w:spacing w:after="0" w:line="240" w:lineRule="auto"/>
              <w:jc w:val="center"/>
              <w:rPr>
                <w:rFonts w:ascii="Calibri" w:hAnsi="Calibri"/>
                <w:b/>
                <w:bCs/>
                <w:color w:val="FFFFFF"/>
                <w:sz w:val="28"/>
                <w:szCs w:val="28"/>
              </w:rPr>
            </w:pPr>
            <w:r w:rsidRPr="0039477C">
              <w:rPr>
                <w:rFonts w:ascii="Calibri" w:hAnsi="Calibri"/>
                <w:b/>
                <w:bCs/>
                <w:color w:val="FFFFFF"/>
                <w:sz w:val="28"/>
                <w:szCs w:val="28"/>
              </w:rPr>
              <w:t>Amper BUSINESS - NN</w:t>
            </w:r>
          </w:p>
        </w:tc>
      </w:tr>
      <w:tr w:rsidR="006F4DDB" w:rsidRPr="005A2B0B" w:rsidTr="00883AB2">
        <w:trPr>
          <w:trHeight w:val="390"/>
        </w:trPr>
        <w:tc>
          <w:tcPr>
            <w:tcW w:w="3616" w:type="dxa"/>
            <w:tcBorders>
              <w:top w:val="nil"/>
              <w:left w:val="single" w:sz="8" w:space="0" w:color="auto"/>
              <w:bottom w:val="single" w:sz="8" w:space="0" w:color="auto"/>
              <w:right w:val="single" w:sz="8" w:space="0" w:color="auto"/>
            </w:tcBorders>
            <w:noWrap/>
            <w:vAlign w:val="center"/>
          </w:tcPr>
          <w:p w:rsidR="006F4DDB" w:rsidRPr="0039477C" w:rsidRDefault="006F4DDB" w:rsidP="00555002">
            <w:pPr>
              <w:spacing w:after="0" w:line="240" w:lineRule="auto"/>
              <w:jc w:val="center"/>
              <w:rPr>
                <w:rFonts w:ascii="Calibri" w:hAnsi="Calibri"/>
                <w:color w:val="auto"/>
              </w:rPr>
            </w:pPr>
            <w:r w:rsidRPr="0039477C">
              <w:rPr>
                <w:rFonts w:ascii="Calibri" w:hAnsi="Calibri"/>
                <w:color w:val="auto"/>
                <w:szCs w:val="22"/>
              </w:rPr>
              <w:t>Název produktu</w:t>
            </w:r>
          </w:p>
        </w:tc>
        <w:tc>
          <w:tcPr>
            <w:tcW w:w="2314" w:type="dxa"/>
            <w:tcBorders>
              <w:top w:val="nil"/>
              <w:left w:val="nil"/>
              <w:bottom w:val="single" w:sz="8" w:space="0" w:color="auto"/>
              <w:right w:val="single" w:sz="8" w:space="0" w:color="auto"/>
            </w:tcBorders>
            <w:shd w:val="clear" w:color="000000" w:fill="8DB4E2"/>
            <w:noWrap/>
            <w:vAlign w:val="center"/>
          </w:tcPr>
          <w:p w:rsidR="006F4DDB" w:rsidRPr="0039477C" w:rsidRDefault="006F4DDB" w:rsidP="00555002">
            <w:pPr>
              <w:spacing w:after="0" w:line="240" w:lineRule="auto"/>
              <w:jc w:val="center"/>
              <w:rPr>
                <w:rFonts w:ascii="Calibri" w:hAnsi="Calibri"/>
                <w:color w:val="auto"/>
              </w:rPr>
            </w:pPr>
            <w:r w:rsidRPr="0039477C">
              <w:rPr>
                <w:rFonts w:ascii="Calibri" w:hAnsi="Calibri"/>
                <w:color w:val="auto"/>
                <w:szCs w:val="22"/>
              </w:rPr>
              <w:t>Distribuční sazba</w:t>
            </w:r>
          </w:p>
        </w:tc>
        <w:tc>
          <w:tcPr>
            <w:tcW w:w="1785" w:type="dxa"/>
            <w:tcBorders>
              <w:top w:val="nil"/>
              <w:left w:val="nil"/>
              <w:bottom w:val="single" w:sz="8" w:space="0" w:color="auto"/>
              <w:right w:val="single" w:sz="8" w:space="0" w:color="auto"/>
            </w:tcBorders>
            <w:shd w:val="clear" w:color="000000" w:fill="8DB4E2"/>
            <w:noWrap/>
            <w:vAlign w:val="center"/>
          </w:tcPr>
          <w:p w:rsidR="006F4DDB" w:rsidRPr="0039477C" w:rsidRDefault="006F4DDB" w:rsidP="00555002">
            <w:pPr>
              <w:spacing w:after="0" w:line="240" w:lineRule="auto"/>
              <w:jc w:val="center"/>
              <w:rPr>
                <w:rFonts w:ascii="Calibri" w:hAnsi="Calibri"/>
                <w:color w:val="auto"/>
              </w:rPr>
            </w:pPr>
            <w:r w:rsidRPr="0039477C">
              <w:rPr>
                <w:rFonts w:ascii="Calibri" w:hAnsi="Calibri"/>
                <w:color w:val="auto"/>
                <w:szCs w:val="22"/>
              </w:rPr>
              <w:t>VT (Kč/MWh)</w:t>
            </w:r>
          </w:p>
        </w:tc>
        <w:tc>
          <w:tcPr>
            <w:tcW w:w="1783" w:type="dxa"/>
            <w:tcBorders>
              <w:top w:val="nil"/>
              <w:left w:val="nil"/>
              <w:bottom w:val="single" w:sz="8" w:space="0" w:color="auto"/>
              <w:right w:val="single" w:sz="8" w:space="0" w:color="auto"/>
            </w:tcBorders>
            <w:shd w:val="clear" w:color="000000" w:fill="8DB4E2"/>
            <w:noWrap/>
            <w:vAlign w:val="center"/>
          </w:tcPr>
          <w:p w:rsidR="006F4DDB" w:rsidRPr="005A2B0B" w:rsidRDefault="006F4DDB" w:rsidP="00555002">
            <w:pPr>
              <w:spacing w:after="0" w:line="240" w:lineRule="auto"/>
              <w:jc w:val="center"/>
              <w:rPr>
                <w:rFonts w:ascii="Calibri" w:hAnsi="Calibri"/>
                <w:color w:val="auto"/>
              </w:rPr>
            </w:pPr>
            <w:r w:rsidRPr="005A2B0B">
              <w:rPr>
                <w:rFonts w:ascii="Calibri" w:hAnsi="Calibri"/>
                <w:color w:val="auto"/>
                <w:szCs w:val="22"/>
              </w:rPr>
              <w:t>NT (Kč/MWh)</w:t>
            </w:r>
          </w:p>
        </w:tc>
      </w:tr>
      <w:tr w:rsidR="006F4DDB" w:rsidRPr="005A2B0B" w:rsidTr="00883AB2">
        <w:trPr>
          <w:trHeight w:val="390"/>
        </w:trPr>
        <w:tc>
          <w:tcPr>
            <w:tcW w:w="3616" w:type="dxa"/>
            <w:tcBorders>
              <w:top w:val="nil"/>
              <w:left w:val="single" w:sz="8" w:space="0" w:color="auto"/>
              <w:bottom w:val="single" w:sz="8" w:space="0" w:color="auto"/>
              <w:right w:val="single" w:sz="8" w:space="0" w:color="auto"/>
            </w:tcBorders>
            <w:noWrap/>
            <w:vAlign w:val="center"/>
          </w:tcPr>
          <w:p w:rsidR="006F4DDB" w:rsidRPr="0039477C" w:rsidRDefault="006F4DDB" w:rsidP="00555002">
            <w:pPr>
              <w:spacing w:after="0" w:line="240" w:lineRule="auto"/>
              <w:rPr>
                <w:rFonts w:ascii="Calibri" w:hAnsi="Calibri"/>
                <w:b/>
                <w:color w:val="auto"/>
              </w:rPr>
            </w:pPr>
            <w:r w:rsidRPr="0039477C">
              <w:rPr>
                <w:rFonts w:ascii="Calibri" w:hAnsi="Calibri"/>
                <w:b/>
                <w:color w:val="auto"/>
                <w:szCs w:val="22"/>
              </w:rPr>
              <w:t>BASIC</w:t>
            </w:r>
          </w:p>
        </w:tc>
        <w:tc>
          <w:tcPr>
            <w:tcW w:w="2314" w:type="dxa"/>
            <w:tcBorders>
              <w:top w:val="nil"/>
              <w:left w:val="nil"/>
              <w:bottom w:val="single" w:sz="8" w:space="0" w:color="auto"/>
              <w:right w:val="single" w:sz="8" w:space="0" w:color="auto"/>
            </w:tcBorders>
            <w:shd w:val="clear" w:color="000000" w:fill="8DB4E2"/>
            <w:noWrap/>
            <w:vAlign w:val="center"/>
          </w:tcPr>
          <w:p w:rsidR="006F4DDB" w:rsidRPr="0039477C" w:rsidRDefault="006F4DDB" w:rsidP="00555002">
            <w:pPr>
              <w:spacing w:after="0" w:line="240" w:lineRule="auto"/>
              <w:rPr>
                <w:rFonts w:ascii="Calibri" w:hAnsi="Calibri"/>
                <w:b/>
                <w:color w:val="auto"/>
              </w:rPr>
            </w:pPr>
            <w:r w:rsidRPr="0039477C">
              <w:rPr>
                <w:rFonts w:ascii="Calibri" w:hAnsi="Calibri"/>
                <w:b/>
                <w:color w:val="auto"/>
                <w:szCs w:val="22"/>
              </w:rPr>
              <w:t>C01d, C02d, C03d</w:t>
            </w:r>
          </w:p>
        </w:tc>
        <w:tc>
          <w:tcPr>
            <w:tcW w:w="1785" w:type="dxa"/>
            <w:tcBorders>
              <w:top w:val="nil"/>
              <w:left w:val="nil"/>
              <w:bottom w:val="single" w:sz="8" w:space="0" w:color="auto"/>
              <w:right w:val="single" w:sz="8" w:space="0" w:color="auto"/>
            </w:tcBorders>
            <w:shd w:val="clear" w:color="000000" w:fill="8DB4E2"/>
            <w:noWrap/>
            <w:vAlign w:val="center"/>
          </w:tcPr>
          <w:p w:rsidR="006F4DDB" w:rsidRPr="0039477C" w:rsidRDefault="006F4DDB" w:rsidP="00555002">
            <w:pPr>
              <w:spacing w:after="0" w:line="240" w:lineRule="auto"/>
              <w:jc w:val="center"/>
              <w:rPr>
                <w:rFonts w:ascii="Calibri" w:hAnsi="Calibri"/>
                <w:b/>
                <w:bCs/>
                <w:color w:val="auto"/>
              </w:rPr>
            </w:pPr>
            <w:r>
              <w:rPr>
                <w:rFonts w:ascii="Calibri" w:hAnsi="Calibri"/>
                <w:b/>
                <w:bCs/>
                <w:color w:val="auto"/>
                <w:szCs w:val="22"/>
              </w:rPr>
              <w:t>815</w:t>
            </w:r>
          </w:p>
        </w:tc>
        <w:tc>
          <w:tcPr>
            <w:tcW w:w="1783" w:type="dxa"/>
            <w:tcBorders>
              <w:top w:val="nil"/>
              <w:left w:val="nil"/>
              <w:bottom w:val="single" w:sz="8" w:space="0" w:color="auto"/>
              <w:right w:val="single" w:sz="8" w:space="0" w:color="auto"/>
            </w:tcBorders>
            <w:shd w:val="clear" w:color="000000" w:fill="8DB4E2"/>
            <w:noWrap/>
            <w:vAlign w:val="center"/>
          </w:tcPr>
          <w:p w:rsidR="006F4DDB" w:rsidRPr="005A2B0B" w:rsidRDefault="006F4DDB" w:rsidP="00555002">
            <w:pPr>
              <w:spacing w:after="0" w:line="240" w:lineRule="auto"/>
              <w:jc w:val="center"/>
              <w:rPr>
                <w:rFonts w:ascii="Calibri" w:hAnsi="Calibri"/>
                <w:b/>
                <w:bCs/>
                <w:color w:val="auto"/>
              </w:rPr>
            </w:pPr>
            <w:r w:rsidRPr="005A2B0B">
              <w:rPr>
                <w:rFonts w:ascii="Calibri" w:hAnsi="Calibri"/>
                <w:b/>
                <w:bCs/>
                <w:color w:val="auto"/>
                <w:szCs w:val="22"/>
              </w:rPr>
              <w:t>-</w:t>
            </w:r>
          </w:p>
        </w:tc>
      </w:tr>
      <w:tr w:rsidR="006F4DDB" w:rsidRPr="005A2B0B" w:rsidTr="00883AB2">
        <w:trPr>
          <w:trHeight w:val="390"/>
        </w:trPr>
        <w:tc>
          <w:tcPr>
            <w:tcW w:w="3616" w:type="dxa"/>
            <w:tcBorders>
              <w:top w:val="nil"/>
              <w:left w:val="single" w:sz="8" w:space="0" w:color="auto"/>
              <w:bottom w:val="single" w:sz="8" w:space="0" w:color="auto"/>
              <w:right w:val="single" w:sz="8" w:space="0" w:color="auto"/>
            </w:tcBorders>
            <w:noWrap/>
            <w:vAlign w:val="center"/>
          </w:tcPr>
          <w:p w:rsidR="006F4DDB" w:rsidRPr="0039477C" w:rsidRDefault="006F4DDB" w:rsidP="00555002">
            <w:pPr>
              <w:spacing w:after="0" w:line="240" w:lineRule="auto"/>
              <w:rPr>
                <w:rFonts w:ascii="Calibri" w:hAnsi="Calibri"/>
                <w:b/>
                <w:color w:val="auto"/>
              </w:rPr>
            </w:pPr>
            <w:r w:rsidRPr="0039477C">
              <w:rPr>
                <w:rFonts w:ascii="Calibri" w:hAnsi="Calibri"/>
                <w:b/>
                <w:color w:val="auto"/>
                <w:szCs w:val="22"/>
              </w:rPr>
              <w:t>AKU</w:t>
            </w:r>
          </w:p>
        </w:tc>
        <w:tc>
          <w:tcPr>
            <w:tcW w:w="2314" w:type="dxa"/>
            <w:tcBorders>
              <w:top w:val="nil"/>
              <w:left w:val="nil"/>
              <w:bottom w:val="single" w:sz="8" w:space="0" w:color="auto"/>
              <w:right w:val="single" w:sz="8" w:space="0" w:color="auto"/>
            </w:tcBorders>
            <w:shd w:val="clear" w:color="000000" w:fill="8DB4E2"/>
            <w:noWrap/>
            <w:vAlign w:val="center"/>
          </w:tcPr>
          <w:p w:rsidR="006F4DDB" w:rsidRPr="0039477C" w:rsidRDefault="006F4DDB" w:rsidP="00555002">
            <w:pPr>
              <w:spacing w:after="0" w:line="240" w:lineRule="auto"/>
              <w:rPr>
                <w:rFonts w:ascii="Calibri" w:hAnsi="Calibri"/>
                <w:b/>
                <w:color w:val="auto"/>
              </w:rPr>
            </w:pPr>
            <w:r w:rsidRPr="0039477C">
              <w:rPr>
                <w:rFonts w:ascii="Calibri" w:hAnsi="Calibri"/>
                <w:b/>
                <w:color w:val="auto"/>
                <w:szCs w:val="22"/>
              </w:rPr>
              <w:t>C25d, C26d</w:t>
            </w:r>
          </w:p>
        </w:tc>
        <w:tc>
          <w:tcPr>
            <w:tcW w:w="1785" w:type="dxa"/>
            <w:tcBorders>
              <w:top w:val="nil"/>
              <w:left w:val="nil"/>
              <w:bottom w:val="single" w:sz="8" w:space="0" w:color="auto"/>
              <w:right w:val="single" w:sz="8" w:space="0" w:color="auto"/>
            </w:tcBorders>
            <w:shd w:val="clear" w:color="000000" w:fill="8DB4E2"/>
            <w:noWrap/>
            <w:vAlign w:val="center"/>
          </w:tcPr>
          <w:p w:rsidR="006F4DDB" w:rsidRPr="0039477C" w:rsidRDefault="006F4DDB" w:rsidP="00555002">
            <w:pPr>
              <w:spacing w:after="0" w:line="240" w:lineRule="auto"/>
              <w:jc w:val="center"/>
              <w:rPr>
                <w:rFonts w:ascii="Calibri" w:hAnsi="Calibri"/>
                <w:b/>
                <w:bCs/>
                <w:color w:val="auto"/>
              </w:rPr>
            </w:pPr>
            <w:r>
              <w:rPr>
                <w:rFonts w:ascii="Calibri" w:hAnsi="Calibri"/>
                <w:b/>
                <w:bCs/>
                <w:color w:val="auto"/>
                <w:szCs w:val="22"/>
              </w:rPr>
              <w:t>815</w:t>
            </w:r>
          </w:p>
        </w:tc>
        <w:tc>
          <w:tcPr>
            <w:tcW w:w="1783" w:type="dxa"/>
            <w:tcBorders>
              <w:top w:val="nil"/>
              <w:left w:val="nil"/>
              <w:bottom w:val="single" w:sz="8" w:space="0" w:color="auto"/>
              <w:right w:val="single" w:sz="8" w:space="0" w:color="auto"/>
            </w:tcBorders>
            <w:shd w:val="clear" w:color="000000" w:fill="8DB4E2"/>
            <w:noWrap/>
            <w:vAlign w:val="center"/>
          </w:tcPr>
          <w:p w:rsidR="006F4DDB" w:rsidRPr="005A2B0B" w:rsidRDefault="006F4DDB" w:rsidP="00555002">
            <w:pPr>
              <w:spacing w:after="0" w:line="240" w:lineRule="auto"/>
              <w:jc w:val="center"/>
              <w:rPr>
                <w:rFonts w:ascii="Calibri" w:hAnsi="Calibri"/>
                <w:b/>
                <w:bCs/>
                <w:color w:val="auto"/>
              </w:rPr>
            </w:pPr>
            <w:r>
              <w:rPr>
                <w:rFonts w:ascii="Calibri" w:hAnsi="Calibri"/>
                <w:b/>
                <w:bCs/>
                <w:color w:val="auto"/>
                <w:szCs w:val="22"/>
              </w:rPr>
              <w:t>815</w:t>
            </w:r>
          </w:p>
        </w:tc>
      </w:tr>
      <w:tr w:rsidR="006F4DDB" w:rsidRPr="005A2B0B" w:rsidTr="00883AB2">
        <w:trPr>
          <w:trHeight w:val="390"/>
        </w:trPr>
        <w:tc>
          <w:tcPr>
            <w:tcW w:w="3616" w:type="dxa"/>
            <w:tcBorders>
              <w:top w:val="nil"/>
              <w:left w:val="single" w:sz="8" w:space="0" w:color="auto"/>
              <w:bottom w:val="single" w:sz="8" w:space="0" w:color="auto"/>
              <w:right w:val="single" w:sz="8" w:space="0" w:color="auto"/>
            </w:tcBorders>
            <w:noWrap/>
            <w:vAlign w:val="center"/>
          </w:tcPr>
          <w:p w:rsidR="006F4DDB" w:rsidRPr="0039477C" w:rsidRDefault="006F4DDB" w:rsidP="00555002">
            <w:pPr>
              <w:spacing w:after="0" w:line="240" w:lineRule="auto"/>
              <w:rPr>
                <w:rFonts w:ascii="Calibri" w:hAnsi="Calibri"/>
                <w:b/>
                <w:color w:val="auto"/>
              </w:rPr>
            </w:pPr>
            <w:r w:rsidRPr="0039477C">
              <w:rPr>
                <w:rFonts w:ascii="Calibri" w:hAnsi="Calibri"/>
                <w:b/>
                <w:color w:val="auto"/>
                <w:szCs w:val="22"/>
              </w:rPr>
              <w:t>OSVĚTLENÍ</w:t>
            </w:r>
          </w:p>
        </w:tc>
        <w:tc>
          <w:tcPr>
            <w:tcW w:w="2314" w:type="dxa"/>
            <w:tcBorders>
              <w:top w:val="nil"/>
              <w:left w:val="nil"/>
              <w:bottom w:val="single" w:sz="8" w:space="0" w:color="auto"/>
              <w:right w:val="single" w:sz="8" w:space="0" w:color="auto"/>
            </w:tcBorders>
            <w:shd w:val="clear" w:color="000000" w:fill="8DB4E2"/>
            <w:noWrap/>
            <w:vAlign w:val="center"/>
          </w:tcPr>
          <w:p w:rsidR="006F4DDB" w:rsidRPr="0039477C" w:rsidRDefault="006F4DDB" w:rsidP="00555002">
            <w:pPr>
              <w:spacing w:after="0" w:line="240" w:lineRule="auto"/>
              <w:rPr>
                <w:rFonts w:ascii="Calibri" w:hAnsi="Calibri"/>
                <w:b/>
                <w:color w:val="auto"/>
              </w:rPr>
            </w:pPr>
            <w:r w:rsidRPr="0039477C">
              <w:rPr>
                <w:rFonts w:ascii="Calibri" w:hAnsi="Calibri"/>
                <w:b/>
                <w:color w:val="auto"/>
                <w:szCs w:val="22"/>
              </w:rPr>
              <w:t>C62d</w:t>
            </w:r>
          </w:p>
        </w:tc>
        <w:tc>
          <w:tcPr>
            <w:tcW w:w="1785" w:type="dxa"/>
            <w:tcBorders>
              <w:top w:val="nil"/>
              <w:left w:val="nil"/>
              <w:bottom w:val="single" w:sz="8" w:space="0" w:color="auto"/>
              <w:right w:val="single" w:sz="8" w:space="0" w:color="auto"/>
            </w:tcBorders>
            <w:shd w:val="clear" w:color="000000" w:fill="8DB4E2"/>
            <w:noWrap/>
            <w:vAlign w:val="center"/>
          </w:tcPr>
          <w:p w:rsidR="006F4DDB" w:rsidRPr="0039477C" w:rsidRDefault="006F4DDB" w:rsidP="00555002">
            <w:pPr>
              <w:spacing w:after="0" w:line="240" w:lineRule="auto"/>
              <w:jc w:val="center"/>
              <w:rPr>
                <w:rFonts w:ascii="Calibri" w:hAnsi="Calibri"/>
                <w:b/>
                <w:bCs/>
                <w:color w:val="auto"/>
              </w:rPr>
            </w:pPr>
            <w:r>
              <w:rPr>
                <w:rFonts w:ascii="Calibri" w:hAnsi="Calibri"/>
                <w:b/>
                <w:bCs/>
                <w:color w:val="auto"/>
                <w:szCs w:val="22"/>
              </w:rPr>
              <w:t>815</w:t>
            </w:r>
          </w:p>
        </w:tc>
        <w:tc>
          <w:tcPr>
            <w:tcW w:w="1783" w:type="dxa"/>
            <w:tcBorders>
              <w:top w:val="nil"/>
              <w:left w:val="nil"/>
              <w:bottom w:val="single" w:sz="8" w:space="0" w:color="auto"/>
              <w:right w:val="single" w:sz="8" w:space="0" w:color="auto"/>
            </w:tcBorders>
            <w:shd w:val="clear" w:color="000000" w:fill="8DB4E2"/>
            <w:noWrap/>
            <w:vAlign w:val="center"/>
          </w:tcPr>
          <w:p w:rsidR="006F4DDB" w:rsidRPr="005A2B0B" w:rsidRDefault="006F4DDB" w:rsidP="00555002">
            <w:pPr>
              <w:spacing w:after="0" w:line="240" w:lineRule="auto"/>
              <w:jc w:val="center"/>
              <w:rPr>
                <w:rFonts w:ascii="Calibri" w:hAnsi="Calibri"/>
                <w:b/>
                <w:bCs/>
                <w:color w:val="auto"/>
              </w:rPr>
            </w:pPr>
            <w:r w:rsidRPr="005A2B0B">
              <w:rPr>
                <w:rFonts w:ascii="Calibri" w:hAnsi="Calibri"/>
                <w:b/>
                <w:bCs/>
                <w:color w:val="auto"/>
                <w:szCs w:val="22"/>
              </w:rPr>
              <w:t>-</w:t>
            </w:r>
          </w:p>
        </w:tc>
      </w:tr>
      <w:tr w:rsidR="006F4DDB" w:rsidRPr="0039477C" w:rsidTr="00883AB2">
        <w:trPr>
          <w:trHeight w:val="390"/>
        </w:trPr>
        <w:tc>
          <w:tcPr>
            <w:tcW w:w="3616" w:type="dxa"/>
            <w:tcBorders>
              <w:top w:val="nil"/>
              <w:left w:val="single" w:sz="8" w:space="0" w:color="auto"/>
              <w:bottom w:val="single" w:sz="8" w:space="0" w:color="auto"/>
              <w:right w:val="single" w:sz="8" w:space="0" w:color="auto"/>
            </w:tcBorders>
            <w:noWrap/>
            <w:vAlign w:val="center"/>
          </w:tcPr>
          <w:p w:rsidR="006F4DDB" w:rsidRPr="0039477C" w:rsidRDefault="006F4DDB" w:rsidP="00555002">
            <w:pPr>
              <w:spacing w:after="0" w:line="240" w:lineRule="auto"/>
              <w:rPr>
                <w:rFonts w:ascii="Calibri" w:hAnsi="Calibri"/>
                <w:b/>
                <w:color w:val="auto"/>
              </w:rPr>
            </w:pPr>
            <w:r w:rsidRPr="0039477C">
              <w:rPr>
                <w:rFonts w:ascii="Calibri" w:hAnsi="Calibri"/>
                <w:b/>
                <w:color w:val="auto"/>
                <w:szCs w:val="22"/>
              </w:rPr>
              <w:t>stálý plat za OM Kč měsíčně</w:t>
            </w:r>
          </w:p>
        </w:tc>
        <w:tc>
          <w:tcPr>
            <w:tcW w:w="2314" w:type="dxa"/>
            <w:tcBorders>
              <w:top w:val="nil"/>
              <w:left w:val="nil"/>
              <w:bottom w:val="single" w:sz="8" w:space="0" w:color="auto"/>
              <w:right w:val="single" w:sz="8" w:space="0" w:color="auto"/>
            </w:tcBorders>
            <w:shd w:val="clear" w:color="000000" w:fill="8DB4E2"/>
            <w:noWrap/>
            <w:vAlign w:val="center"/>
          </w:tcPr>
          <w:p w:rsidR="006F4DDB" w:rsidRPr="0039477C" w:rsidRDefault="006F4DDB" w:rsidP="00555002">
            <w:pPr>
              <w:spacing w:after="0" w:line="240" w:lineRule="auto"/>
              <w:rPr>
                <w:rFonts w:ascii="Calibri" w:hAnsi="Calibri"/>
                <w:b/>
                <w:color w:val="auto"/>
              </w:rPr>
            </w:pPr>
            <w:r w:rsidRPr="0039477C">
              <w:rPr>
                <w:rFonts w:ascii="Calibri" w:hAnsi="Calibri"/>
                <w:b/>
                <w:color w:val="auto"/>
                <w:szCs w:val="22"/>
              </w:rPr>
              <w:t>všechny DS</w:t>
            </w:r>
          </w:p>
        </w:tc>
        <w:tc>
          <w:tcPr>
            <w:tcW w:w="3568" w:type="dxa"/>
            <w:gridSpan w:val="2"/>
            <w:tcBorders>
              <w:top w:val="single" w:sz="8" w:space="0" w:color="auto"/>
              <w:left w:val="nil"/>
              <w:bottom w:val="single" w:sz="8" w:space="0" w:color="auto"/>
              <w:right w:val="single" w:sz="8" w:space="0" w:color="000000"/>
            </w:tcBorders>
            <w:shd w:val="clear" w:color="000000" w:fill="8DB4E2"/>
            <w:noWrap/>
            <w:vAlign w:val="center"/>
          </w:tcPr>
          <w:p w:rsidR="006F4DDB" w:rsidRPr="0039477C" w:rsidRDefault="006F4DDB" w:rsidP="00555002">
            <w:pPr>
              <w:spacing w:after="0" w:line="240" w:lineRule="auto"/>
              <w:jc w:val="center"/>
              <w:rPr>
                <w:rFonts w:ascii="Calibri" w:hAnsi="Calibri"/>
                <w:b/>
                <w:bCs/>
                <w:color w:val="auto"/>
              </w:rPr>
            </w:pPr>
            <w:r>
              <w:rPr>
                <w:rFonts w:ascii="Calibri" w:hAnsi="Calibri"/>
                <w:b/>
                <w:bCs/>
                <w:color w:val="auto"/>
                <w:szCs w:val="22"/>
              </w:rPr>
              <w:t>-</w:t>
            </w:r>
          </w:p>
        </w:tc>
      </w:tr>
    </w:tbl>
    <w:p w:rsidR="006F4DDB" w:rsidRDefault="006F4DDB"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Default="006F4DDB"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Cena za dodávku silové elektřiny se sjednává pro celou dobu trvání smlouvy dle čl. VII odst. 2</w:t>
      </w:r>
      <w:r>
        <w:rPr>
          <w:rFonts w:ascii="Calibri" w:hAnsi="Calibri"/>
          <w:color w:val="auto"/>
          <w:szCs w:val="22"/>
        </w:rPr>
        <w:t>. K </w:t>
      </w:r>
      <w:r w:rsidRPr="0051258A">
        <w:rPr>
          <w:rFonts w:ascii="Calibri" w:hAnsi="Calibri"/>
          <w:color w:val="auto"/>
          <w:szCs w:val="22"/>
        </w:rPr>
        <w:t xml:space="preserve">cenám bude připočtena DPH dle příslušné sazby a daň z elektřiny v souladu s platnou legislativou. </w:t>
      </w:r>
    </w:p>
    <w:p w:rsidR="006F4DDB" w:rsidRPr="0051258A" w:rsidRDefault="006F4DDB"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451C15" w:rsidRDefault="006F4DDB" w:rsidP="00FB7A21">
      <w:pPr>
        <w:pStyle w:val="ListParagraph2"/>
        <w:numPr>
          <w:ilvl w:val="0"/>
          <w:numId w:val="5"/>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Ceny za poskytování distribuce elektřiny a související služby jsou stanoveny platným Cenovým rozhodnutím ERÚ. Tyto ceny nelze smluvně měnit. K cenám bude připočtena DPH dle příslušné sazby.</w:t>
      </w:r>
    </w:p>
    <w:p w:rsidR="006F4DDB" w:rsidRPr="00185C5E" w:rsidRDefault="006F4DDB"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je povinen sdělit obchodníkovi, zda je současně rovněž výrobcem elektřiny, a pokud ano, výrobcem které kategorie. Zákazník </w:t>
      </w:r>
      <w:r>
        <w:rPr>
          <w:rFonts w:ascii="Calibri" w:hAnsi="Calibri"/>
          <w:color w:val="auto"/>
          <w:szCs w:val="22"/>
        </w:rPr>
        <w:t>tuto skutečnost uveden v příloze č.2 této smlouvy.</w:t>
      </w:r>
      <w:r w:rsidRPr="0051258A">
        <w:rPr>
          <w:rFonts w:ascii="Calibri" w:hAnsi="Calibri"/>
          <w:color w:val="auto"/>
          <w:szCs w:val="22"/>
        </w:rPr>
        <w:t xml:space="preserve"> </w:t>
      </w:r>
      <w:r w:rsidRPr="00185C5E">
        <w:rPr>
          <w:rFonts w:ascii="Calibri" w:hAnsi="Calibri"/>
          <w:color w:val="auto"/>
          <w:szCs w:val="22"/>
        </w:rPr>
        <w:t>Pokud zákazník obchodníkovi nesdělí výše uvedené údaje dle skutečného stavu, nenese obchodník odpovědnost za nesprávné vyúčtování ceny za distribuci elektřiny a následnou potřebu opravy účetních dokladů.</w:t>
      </w:r>
    </w:p>
    <w:p w:rsidR="006F4DDB" w:rsidRPr="00451C15" w:rsidRDefault="006F4DDB"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Zákazník se zavazuje hradit obchodníkovi převodním příkazem měsíčně zálohové platby za dodávku elektřiny dle zálohového kalendáře ve výši 100% předpokládané spotřeby na dané období. Měsíční zálohy jsou splatné v jedné splátce vždy k 15. dni příslušného kalendářního měsíce.</w:t>
      </w:r>
    </w:p>
    <w:p w:rsidR="006F4DDB" w:rsidRPr="0051258A" w:rsidRDefault="006F4DDB"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že je elektřina dodávána do více odběrných míst zákazníka, může zákazník zvolit souhrnné, samostatné nebo skupinové zálohování a fakturaci. Zálohové kalendáře, zálohové faktury, faktury a jiné daňové doklady lze vystavit pro všechna odběrn</w:t>
      </w:r>
      <w:r>
        <w:rPr>
          <w:rFonts w:ascii="Calibri" w:hAnsi="Calibri"/>
          <w:color w:val="auto"/>
          <w:szCs w:val="22"/>
        </w:rPr>
        <w:t xml:space="preserve">á místa uvedená v příloze č. 2 </w:t>
      </w:r>
      <w:r w:rsidRPr="0051258A">
        <w:rPr>
          <w:rFonts w:ascii="Calibri" w:hAnsi="Calibri"/>
          <w:color w:val="auto"/>
          <w:szCs w:val="22"/>
        </w:rPr>
        <w:t>(souhrnné zálohování a souhrnná fakturace), pro jednotlivá odběrná místa samostatně (samostatné zálohování, samostatná fakturace) či pro jejich zvolené skupiny (skupinové zálohování, skupinová fakturace). Zákazník tímto požaduje</w:t>
      </w:r>
    </w:p>
    <w:p w:rsidR="006F4DDB" w:rsidRPr="0051258A" w:rsidRDefault="006F4DDB" w:rsidP="00FB7A21">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Default="006F4DDB" w:rsidP="00FB7A21">
      <w:pPr>
        <w:pStyle w:val="ListParagraph"/>
        <w:numPr>
          <w:ilvl w:val="0"/>
          <w:numId w:val="14"/>
        </w:numPr>
        <w:spacing w:after="0" w:line="240" w:lineRule="auto"/>
        <w:jc w:val="both"/>
        <w:rPr>
          <w:rFonts w:ascii="Calibri" w:hAnsi="Calibri"/>
          <w:color w:val="auto"/>
          <w:szCs w:val="22"/>
        </w:rPr>
      </w:pPr>
      <w:r w:rsidRPr="0051258A">
        <w:rPr>
          <w:rFonts w:ascii="Calibri" w:hAnsi="Calibri"/>
          <w:color w:val="auto"/>
          <w:szCs w:val="22"/>
        </w:rPr>
        <w:t>souhrnné zálohování a souhrnnou fakturaci všech odběrných míst uvedených v příloze č. 2 této smlouvy.</w:t>
      </w:r>
    </w:p>
    <w:p w:rsidR="006F4DDB" w:rsidRDefault="006F4DDB" w:rsidP="00FB7A21">
      <w:pPr>
        <w:pStyle w:val="ListParagraph"/>
        <w:numPr>
          <w:ilvl w:val="0"/>
          <w:numId w:val="14"/>
        </w:numPr>
        <w:spacing w:after="0" w:line="240" w:lineRule="auto"/>
        <w:jc w:val="both"/>
        <w:rPr>
          <w:rFonts w:ascii="Calibri" w:hAnsi="Calibri"/>
          <w:color w:val="auto"/>
          <w:szCs w:val="22"/>
        </w:rPr>
      </w:pPr>
      <w:r w:rsidRPr="00FB7A21">
        <w:rPr>
          <w:rFonts w:ascii="Calibri" w:hAnsi="Calibri"/>
          <w:color w:val="auto"/>
          <w:szCs w:val="22"/>
        </w:rPr>
        <w:t>samostatné zálohování a samostatnou fakturaci jednotlivých odběrných míst uvedených v příloze č. 2 této smlouvy.</w:t>
      </w:r>
    </w:p>
    <w:p w:rsidR="006F4DDB" w:rsidRDefault="006F4DDB" w:rsidP="00FB7A21">
      <w:pPr>
        <w:pStyle w:val="ListParagraph"/>
        <w:numPr>
          <w:ilvl w:val="0"/>
          <w:numId w:val="14"/>
        </w:numPr>
        <w:spacing w:after="0" w:line="240" w:lineRule="auto"/>
        <w:jc w:val="both"/>
        <w:rPr>
          <w:rFonts w:ascii="Calibri" w:hAnsi="Calibri"/>
          <w:color w:val="auto"/>
          <w:szCs w:val="22"/>
        </w:rPr>
      </w:pPr>
      <w:r w:rsidRPr="00FB7A21">
        <w:rPr>
          <w:rFonts w:ascii="Calibri" w:hAnsi="Calibri"/>
          <w:color w:val="auto"/>
          <w:szCs w:val="22"/>
        </w:rPr>
        <w:t>skupinové zálohování a skupinovou fakturaci jednotlivých odběrných míst uvedených v příloze č. 2 této smlouvy. Pokud  zákazník zvolí skupinovou fakturaci, je povinen  jednotlivé skupiny odběrných míst označit v seznamu odběrných míst v příloze č. 2 této smlouvy.</w:t>
      </w:r>
    </w:p>
    <w:p w:rsidR="006F4DDB" w:rsidRDefault="006F4DDB" w:rsidP="00FB7A21">
      <w:pPr>
        <w:pStyle w:val="ListParagraph"/>
        <w:numPr>
          <w:ilvl w:val="0"/>
          <w:numId w:val="14"/>
        </w:numPr>
        <w:spacing w:after="0" w:line="240" w:lineRule="auto"/>
        <w:jc w:val="both"/>
        <w:rPr>
          <w:rFonts w:ascii="Calibri" w:hAnsi="Calibri"/>
          <w:color w:val="auto"/>
          <w:szCs w:val="22"/>
        </w:rPr>
      </w:pPr>
      <w:r w:rsidRPr="00FB7A21">
        <w:rPr>
          <w:rFonts w:ascii="Calibri" w:hAnsi="Calibri"/>
          <w:color w:val="auto"/>
          <w:szCs w:val="22"/>
        </w:rPr>
        <w:t>souhrnné zálohování a samostatnou fakturaci jednotlivých odběrných míst uvedených v příloze č. 2 této smlouvy.</w:t>
      </w:r>
    </w:p>
    <w:p w:rsidR="006F4DDB" w:rsidRPr="00FB7A21" w:rsidRDefault="006F4DDB" w:rsidP="00FB7A21">
      <w:pPr>
        <w:pStyle w:val="ListParagraph"/>
        <w:spacing w:after="0" w:line="240" w:lineRule="auto"/>
        <w:ind w:left="1066"/>
        <w:jc w:val="both"/>
        <w:rPr>
          <w:rFonts w:ascii="Calibri" w:hAnsi="Calibri"/>
          <w:color w:val="auto"/>
          <w:szCs w:val="22"/>
        </w:rPr>
      </w:pPr>
    </w:p>
    <w:p w:rsidR="006F4DDB" w:rsidRPr="0051258A" w:rsidRDefault="006F4DDB"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nezvolí žádnou z výše uvedených variant, platí, že požaduje souhrnnou fakturaci všech odběrných míst uvedených v příloze č. 2 této smlouvy. Způsob fakturace odběrných míst lze měnit pouze jednou ročně, nejdříve po uplynutí 12ti měsíců od zahájení dodávky, a to po provedení vyúčtování odběru elektřiny nebo po provedení samoodečtu zákazníkem.</w:t>
      </w:r>
    </w:p>
    <w:p w:rsidR="006F4DDB" w:rsidRDefault="006F4DDB" w:rsidP="00FB7A21">
      <w:pPr>
        <w:numPr>
          <w:ilvl w:val="0"/>
          <w:numId w:val="5"/>
        </w:numPr>
        <w:spacing w:after="0" w:line="240" w:lineRule="auto"/>
        <w:ind w:left="346" w:hanging="346"/>
        <w:jc w:val="both"/>
        <w:rPr>
          <w:rFonts w:ascii="Calibri" w:hAnsi="Calibri"/>
          <w:color w:val="auto"/>
          <w:szCs w:val="22"/>
        </w:rPr>
      </w:pPr>
      <w:r w:rsidRPr="0051258A">
        <w:rPr>
          <w:rFonts w:ascii="Calibri" w:hAnsi="Calibri"/>
          <w:color w:val="auto"/>
          <w:szCs w:val="22"/>
        </w:rPr>
        <w:t xml:space="preserve">Vyúčtování odběru elektřiny obchodník zašle zákazníkovi po provedení odečtu odebrané elektřiny provozovatelem distribuční soustavy. Zákazník může rovněž zvolit tzv. samoodečet elektřiny, kdy zákazník sám provádí odečet odebrané elektřiny na svém elektroměru po skončení níže zvoleného období a údaje o stavu elektroměru zasílá obchodníkovi. Údaje je zákazník povinný zaslat na obchodníkem stanoveném formuláři dostupném na webových stránkách obchodníka do 5. dne následujícího kalendářního měsíce po skončení daného období, a to na e-mailovou adresu </w:t>
      </w:r>
      <w:hyperlink r:id="rId7" w:history="1">
        <w:r w:rsidRPr="0051258A">
          <w:rPr>
            <w:rStyle w:val="Hyperlink"/>
            <w:rFonts w:ascii="Calibri" w:hAnsi="Calibri"/>
            <w:color w:val="auto"/>
            <w:szCs w:val="22"/>
          </w:rPr>
          <w:t>fakturace@ampermarket.cz</w:t>
        </w:r>
      </w:hyperlink>
      <w:r w:rsidRPr="0051258A">
        <w:rPr>
          <w:rFonts w:ascii="Calibri" w:hAnsi="Calibri"/>
          <w:color w:val="auto"/>
          <w:szCs w:val="22"/>
        </w:rPr>
        <w:t xml:space="preserve">. Na základě údajů od zákazníka obchodník vystaví fakturu za odebranou elektřinu. Zákazník se zavazuje uhradit obchodníkovi případný rozdíl mezi zákazníkem nahlášeným množství odebrané elektřiny a množství odebrané elektřiny zjištěným na základě odečtu provedeného provozovatelem distribuční soustavy. </w:t>
      </w:r>
    </w:p>
    <w:p w:rsidR="006F4DDB" w:rsidRPr="0051258A" w:rsidRDefault="006F4DDB" w:rsidP="00FB7A21">
      <w:pPr>
        <w:spacing w:after="0" w:line="240" w:lineRule="auto"/>
        <w:ind w:left="346"/>
        <w:jc w:val="both"/>
        <w:rPr>
          <w:rFonts w:ascii="Calibri" w:hAnsi="Calibri"/>
          <w:color w:val="auto"/>
          <w:szCs w:val="22"/>
        </w:rPr>
      </w:pPr>
    </w:p>
    <w:p w:rsidR="006F4DDB" w:rsidRPr="00FB7A21" w:rsidRDefault="006F4DDB" w:rsidP="00FB7A21">
      <w:pPr>
        <w:pStyle w:val="ListParagraph"/>
        <w:numPr>
          <w:ilvl w:val="0"/>
          <w:numId w:val="15"/>
        </w:numPr>
        <w:spacing w:after="0" w:line="240" w:lineRule="auto"/>
        <w:jc w:val="both"/>
        <w:rPr>
          <w:rFonts w:ascii="Calibri" w:hAnsi="Calibri"/>
          <w:color w:val="auto"/>
          <w:szCs w:val="22"/>
        </w:rPr>
      </w:pPr>
      <w:r w:rsidRPr="0051258A">
        <w:rPr>
          <w:rFonts w:ascii="Calibri" w:hAnsi="Calibri"/>
          <w:color w:val="auto"/>
          <w:szCs w:val="22"/>
        </w:rPr>
        <w:t xml:space="preserve">požaduji vyúčtování elektřiny na základě samoodečtů  - </w:t>
      </w:r>
      <w:r w:rsidRPr="0051258A">
        <w:rPr>
          <w:rFonts w:ascii="Calibri" w:hAnsi="Calibri"/>
          <w:b/>
          <w:color w:val="auto"/>
          <w:szCs w:val="22"/>
        </w:rPr>
        <w:t>měsíčně</w:t>
      </w:r>
    </w:p>
    <w:p w:rsidR="006F4DDB" w:rsidRPr="00FB7A21" w:rsidRDefault="006F4DDB" w:rsidP="00FB7A21">
      <w:pPr>
        <w:pStyle w:val="ListParagraph"/>
        <w:numPr>
          <w:ilvl w:val="0"/>
          <w:numId w:val="15"/>
        </w:numPr>
        <w:spacing w:after="0" w:line="240" w:lineRule="auto"/>
        <w:jc w:val="both"/>
        <w:rPr>
          <w:rFonts w:ascii="Calibri" w:hAnsi="Calibri"/>
          <w:color w:val="auto"/>
          <w:szCs w:val="22"/>
        </w:rPr>
      </w:pPr>
      <w:r w:rsidRPr="00FB7A21">
        <w:rPr>
          <w:rFonts w:ascii="Calibri" w:hAnsi="Calibri"/>
          <w:color w:val="auto"/>
          <w:szCs w:val="22"/>
        </w:rPr>
        <w:t xml:space="preserve">požaduji vyúčtování elektřiny na základě samoodečtů  - </w:t>
      </w:r>
      <w:r w:rsidRPr="00FB7A21">
        <w:rPr>
          <w:rFonts w:ascii="Calibri" w:hAnsi="Calibri"/>
          <w:b/>
          <w:color w:val="auto"/>
          <w:szCs w:val="22"/>
        </w:rPr>
        <w:t>čtvrtletně</w:t>
      </w:r>
    </w:p>
    <w:p w:rsidR="006F4DDB" w:rsidRPr="00FB7A21" w:rsidRDefault="006F4DDB" w:rsidP="00FB7A21">
      <w:pPr>
        <w:pStyle w:val="ListParagraph"/>
        <w:numPr>
          <w:ilvl w:val="0"/>
          <w:numId w:val="15"/>
        </w:numPr>
        <w:spacing w:after="0" w:line="240" w:lineRule="auto"/>
        <w:jc w:val="both"/>
        <w:rPr>
          <w:rFonts w:ascii="Calibri" w:hAnsi="Calibri"/>
          <w:color w:val="auto"/>
          <w:szCs w:val="22"/>
        </w:rPr>
      </w:pPr>
      <w:r w:rsidRPr="00FB7A21">
        <w:rPr>
          <w:rFonts w:ascii="Calibri" w:hAnsi="Calibri"/>
          <w:color w:val="auto"/>
          <w:szCs w:val="22"/>
        </w:rPr>
        <w:t>požaduji vyúčtování elektřiny na základě samoodečtů  -</w:t>
      </w:r>
      <w:r w:rsidRPr="00FB7A21">
        <w:rPr>
          <w:rFonts w:ascii="Calibri" w:hAnsi="Calibri"/>
          <w:b/>
          <w:color w:val="auto"/>
          <w:szCs w:val="22"/>
        </w:rPr>
        <w:t xml:space="preserve"> pololetně</w:t>
      </w:r>
    </w:p>
    <w:p w:rsidR="006F4DDB" w:rsidRPr="00FB7A21" w:rsidRDefault="006F4DDB" w:rsidP="00FB7A21">
      <w:pPr>
        <w:pStyle w:val="ListParagraph"/>
        <w:numPr>
          <w:ilvl w:val="0"/>
          <w:numId w:val="15"/>
        </w:numPr>
        <w:spacing w:after="0" w:line="240" w:lineRule="auto"/>
        <w:jc w:val="both"/>
        <w:rPr>
          <w:rFonts w:ascii="Calibri" w:hAnsi="Calibri"/>
          <w:color w:val="auto"/>
          <w:szCs w:val="22"/>
        </w:rPr>
      </w:pPr>
      <w:r w:rsidRPr="00FB7A21">
        <w:rPr>
          <w:rFonts w:ascii="Calibri" w:hAnsi="Calibri"/>
          <w:color w:val="auto"/>
          <w:szCs w:val="22"/>
        </w:rPr>
        <w:t xml:space="preserve">požaduji vyúčtování elektřiny na základě samoodečtů  - </w:t>
      </w:r>
      <w:r w:rsidRPr="00FB7A21">
        <w:rPr>
          <w:rFonts w:ascii="Calibri" w:hAnsi="Calibri"/>
          <w:b/>
          <w:color w:val="auto"/>
          <w:szCs w:val="22"/>
        </w:rPr>
        <w:t>ročně</w:t>
      </w:r>
    </w:p>
    <w:p w:rsidR="006F4DDB" w:rsidRPr="00FB7A21" w:rsidRDefault="006F4DDB" w:rsidP="00FB7A21">
      <w:pPr>
        <w:pStyle w:val="ListParagraph"/>
        <w:spacing w:after="0" w:line="240" w:lineRule="auto"/>
        <w:ind w:left="1066"/>
        <w:jc w:val="both"/>
        <w:rPr>
          <w:rFonts w:ascii="Calibri" w:hAnsi="Calibri"/>
          <w:color w:val="auto"/>
          <w:szCs w:val="22"/>
        </w:rPr>
      </w:pPr>
    </w:p>
    <w:p w:rsidR="006F4DDB" w:rsidRPr="00451C15" w:rsidRDefault="006F4DDB" w:rsidP="00FB7A21">
      <w:pPr>
        <w:pStyle w:val="ListParagraph2"/>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Cenu za dodávku elektřiny, za poskytování distribuce elektřiny a za související služby zákazník uhradí převodním příkazem na základě faktury vystavené obchodníkem</w:t>
      </w:r>
      <w:r>
        <w:rPr>
          <w:rFonts w:ascii="Calibri" w:hAnsi="Calibri"/>
          <w:color w:val="auto"/>
          <w:szCs w:val="22"/>
        </w:rPr>
        <w:t xml:space="preserve"> s přiloženým vyúčtováním odběrných míst</w:t>
      </w:r>
      <w:r w:rsidRPr="0051258A">
        <w:rPr>
          <w:rFonts w:ascii="Calibri" w:hAnsi="Calibri"/>
          <w:color w:val="auto"/>
          <w:szCs w:val="22"/>
        </w:rPr>
        <w:t>, a to vždy po skončení příslušného fakturačního období</w:t>
      </w:r>
      <w:r>
        <w:rPr>
          <w:rFonts w:ascii="Calibri" w:hAnsi="Calibri"/>
          <w:color w:val="auto"/>
          <w:szCs w:val="22"/>
        </w:rPr>
        <w:t>, v němž se dodávka realizovala. Faktury jsou splatné do 20</w:t>
      </w:r>
      <w:r w:rsidRPr="0051258A">
        <w:rPr>
          <w:rFonts w:ascii="Calibri" w:hAnsi="Calibri"/>
          <w:color w:val="auto"/>
          <w:szCs w:val="22"/>
        </w:rPr>
        <w:t xml:space="preserve"> dnů od</w:t>
      </w:r>
      <w:r>
        <w:rPr>
          <w:rFonts w:ascii="Calibri" w:hAnsi="Calibri"/>
          <w:color w:val="auto"/>
          <w:szCs w:val="22"/>
        </w:rPr>
        <w:t>e dne</w:t>
      </w:r>
      <w:r w:rsidRPr="0051258A">
        <w:rPr>
          <w:rFonts w:ascii="Calibri" w:hAnsi="Calibri"/>
          <w:color w:val="auto"/>
          <w:szCs w:val="22"/>
        </w:rPr>
        <w:t xml:space="preserve"> vystavení</w:t>
      </w:r>
      <w:r>
        <w:rPr>
          <w:rFonts w:ascii="Calibri" w:hAnsi="Calibri"/>
          <w:color w:val="auto"/>
          <w:szCs w:val="22"/>
        </w:rPr>
        <w:t xml:space="preserve"> faktury. Dnem zaplacení se rozumí den připsání platby na účet obchodníka. Připadne-li poslední den lhůty pro zaplacení faktury na den pracovního klidu, je posledním dnem lhůty pro zaplacení faktury první následující pracovní den. </w:t>
      </w:r>
    </w:p>
    <w:p w:rsidR="006F4DDB" w:rsidRPr="00B41881" w:rsidRDefault="006F4DDB" w:rsidP="00FB7A21">
      <w:pPr>
        <w:pStyle w:val="ListParagraph1"/>
        <w:numPr>
          <w:ilvl w:val="0"/>
          <w:numId w:val="5"/>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hAnsi="Calibri" w:cs="Arial"/>
          <w:bCs/>
          <w:iCs/>
          <w:color w:val="auto"/>
          <w:szCs w:val="22"/>
        </w:rPr>
        <w:t>Zákazník může požadovat a obchodník se pro tento případ zavazuje zasílat zákazníkovi veškerá vyúčtování a faktury formou elektronických prostředků.</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outlineLvl w:val="0"/>
        <w:rPr>
          <w:rFonts w:ascii="Calibri" w:hAnsi="Calibri"/>
          <w:b/>
          <w:color w:val="auto"/>
          <w:szCs w:val="22"/>
        </w:rPr>
      </w:pPr>
      <w:r w:rsidRPr="0051258A">
        <w:rPr>
          <w:rFonts w:ascii="Calibri" w:hAnsi="Calibri"/>
          <w:b/>
          <w:color w:val="auto"/>
          <w:szCs w:val="22"/>
        </w:rPr>
        <w:t>VII.</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Platnost a trvání smlouvy</w:t>
      </w:r>
    </w:p>
    <w:p w:rsidR="006F4DDB" w:rsidRPr="00451C15" w:rsidRDefault="006F4DDB" w:rsidP="00FB7A21">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nabývá platnosti dnem podpisu oběma smluvními stranami a účinnosti dnem zahájení dodávky elektřiny obchodníkem zákazníkovi.</w:t>
      </w:r>
    </w:p>
    <w:p w:rsidR="006F4DDB" w:rsidRPr="00451C15" w:rsidRDefault="006F4DDB"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Smlouva je uzavírána na dobu určitou </w:t>
      </w:r>
      <w:r>
        <w:rPr>
          <w:rFonts w:ascii="Calibri" w:hAnsi="Calibri"/>
          <w:color w:val="auto"/>
          <w:szCs w:val="22"/>
        </w:rPr>
        <w:t>do 31.12.2016 bez možnosti automatického prodlužování</w:t>
      </w:r>
      <w:r w:rsidRPr="0051258A">
        <w:rPr>
          <w:rFonts w:ascii="Calibri" w:hAnsi="Calibri"/>
          <w:color w:val="auto"/>
          <w:szCs w:val="22"/>
        </w:rPr>
        <w:t xml:space="preserve">.  </w:t>
      </w:r>
    </w:p>
    <w:p w:rsidR="006F4DDB" w:rsidRPr="00B41881" w:rsidRDefault="006F4DDB" w:rsidP="00FB7A21">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B41881">
        <w:rPr>
          <w:rFonts w:ascii="Calibri" w:hAnsi="Calibri" w:cs="Arial"/>
          <w:bCs/>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outlineLvl w:val="0"/>
        <w:rPr>
          <w:rFonts w:ascii="Calibri" w:hAnsi="Calibri"/>
          <w:b/>
          <w:color w:val="auto"/>
          <w:szCs w:val="22"/>
        </w:rPr>
      </w:pPr>
      <w:r w:rsidRPr="0051258A">
        <w:rPr>
          <w:rFonts w:ascii="Calibri" w:hAnsi="Calibri"/>
          <w:b/>
          <w:color w:val="auto"/>
          <w:szCs w:val="22"/>
        </w:rPr>
        <w:t>VIII.</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Obchodní podmínky obchodníka</w:t>
      </w:r>
    </w:p>
    <w:p w:rsidR="006F4DDB" w:rsidRPr="00451C15" w:rsidRDefault="006F4DDB" w:rsidP="00B4188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 xml:space="preserve">Zákazník svým podpisem potvrzuje, že převzal od obchodníka obchodní podmínky obchodníka ze dne 22.11.2013 upravující obchodní a technické podmínky dodávky elektřiny a zajištění distribuce elektřiny a systémových služeb. </w:t>
      </w:r>
    </w:p>
    <w:p w:rsidR="006F4DDB" w:rsidRPr="00451C15" w:rsidRDefault="006F4DDB" w:rsidP="00451C15">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dohodly, že obchodník je oprávněn obchodní podmínky obchodníka měnit či je nahradit novými (dále jen „změna OP“). Změnu OP zve</w:t>
      </w:r>
      <w:r>
        <w:rPr>
          <w:rFonts w:ascii="Calibri" w:hAnsi="Calibri"/>
          <w:color w:val="auto"/>
          <w:szCs w:val="22"/>
        </w:rPr>
        <w:t xml:space="preserve">řejní obchodník nejméně 30 dnů </w:t>
      </w:r>
      <w:r w:rsidRPr="0051258A">
        <w:rPr>
          <w:rFonts w:ascii="Calibri" w:hAnsi="Calibri"/>
          <w:color w:val="auto"/>
          <w:szCs w:val="22"/>
        </w:rPr>
        <w:t>před účinností změny OP na svých internetových stránkách www.ampermarke</w:t>
      </w:r>
      <w:r>
        <w:rPr>
          <w:rFonts w:ascii="Calibri" w:hAnsi="Calibri"/>
          <w:color w:val="auto"/>
          <w:szCs w:val="22"/>
        </w:rPr>
        <w:t xml:space="preserve">t.cz a ve svém sídle. O změně OP bude </w:t>
      </w:r>
      <w:r w:rsidRPr="0051258A">
        <w:rPr>
          <w:rFonts w:ascii="Calibri" w:hAnsi="Calibri"/>
          <w:color w:val="auto"/>
          <w:szCs w:val="22"/>
        </w:rPr>
        <w:t>obchodník zákazníka rovněž informovat odesláním oznámení na emailovou adresu zákazníka či na adresu pobytu/sídla uvedenou v této smlouvě, ve lhůtě 30 dnů před účinností změny OP.</w:t>
      </w:r>
    </w:p>
    <w:p w:rsidR="006F4DDB" w:rsidRPr="00451C15" w:rsidRDefault="006F4DDB" w:rsidP="00451C15">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Pr>
          <w:rFonts w:ascii="Calibri" w:hAnsi="Calibri"/>
          <w:color w:val="auto"/>
          <w:szCs w:val="22"/>
        </w:rPr>
        <w:t xml:space="preserve">Zákazník je v případě nesouhlasu s </w:t>
      </w:r>
      <w:r w:rsidRPr="00B10EC7">
        <w:rPr>
          <w:rFonts w:ascii="Calibri" w:hAnsi="Calibri"/>
          <w:color w:val="auto"/>
          <w:szCs w:val="22"/>
        </w:rPr>
        <w:t>navrhovanou změnou OP oprávněn od smlouvy odstoupit, a to způsobem a ve lhůtě stanové v čl. XI. odst. 6 bod (ii) obchodních podmínek obchodníka.</w:t>
      </w:r>
    </w:p>
    <w:p w:rsidR="006F4DDB" w:rsidRPr="00451C15" w:rsidRDefault="006F4DDB" w:rsidP="00451C15">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Neodstoupí-li zákazník stanoveným způsobem od smlouvy, nahrazuje změna OP stávající obchodní podmínky obchodníka a stává se součástí této smlouvy, s účinností k datu uvedenému ve změně OP.</w:t>
      </w:r>
    </w:p>
    <w:p w:rsidR="006F4DDB" w:rsidRPr="0051258A" w:rsidRDefault="006F4DDB" w:rsidP="00FB7A21">
      <w:pPr>
        <w:pStyle w:val="ListParagraph2"/>
        <w:numPr>
          <w:ilvl w:val="0"/>
          <w:numId w:val="7"/>
        </w:numPr>
        <w:tabs>
          <w:tab w:val="clear" w:pos="348"/>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V případě rozporu smlouvy a obchodních podmínek obchodníka mají přednost ustanovení této smlouvy.</w:t>
      </w:r>
    </w:p>
    <w:p w:rsidR="006F4DDB" w:rsidRPr="0051258A" w:rsidRDefault="006F4DDB" w:rsidP="00FB7A21">
      <w:pPr>
        <w:pStyle w:val="ListParagraph2"/>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b/>
          <w:color w:val="auto"/>
          <w:szCs w:val="22"/>
        </w:rPr>
      </w:pPr>
    </w:p>
    <w:p w:rsidR="006F4DDB" w:rsidRPr="00FB7A21"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outlineLvl w:val="0"/>
        <w:rPr>
          <w:rFonts w:ascii="Calibri" w:hAnsi="Calibri"/>
          <w:b/>
          <w:color w:val="auto"/>
          <w:szCs w:val="22"/>
        </w:rPr>
      </w:pPr>
      <w:r w:rsidRPr="00FB7A21">
        <w:rPr>
          <w:rFonts w:ascii="Calibri" w:hAnsi="Calibri"/>
          <w:b/>
          <w:color w:val="auto"/>
          <w:szCs w:val="22"/>
        </w:rPr>
        <w:t>IX.</w:t>
      </w:r>
    </w:p>
    <w:p w:rsidR="006F4DDB" w:rsidRPr="00451C15" w:rsidRDefault="006F4DDB" w:rsidP="00451C15">
      <w:pPr>
        <w:spacing w:after="0" w:line="240" w:lineRule="auto"/>
        <w:ind w:left="346"/>
        <w:contextualSpacing/>
        <w:jc w:val="center"/>
        <w:rPr>
          <w:rFonts w:ascii="Calibri" w:hAnsi="Calibri"/>
          <w:b/>
          <w:color w:val="auto"/>
          <w:szCs w:val="22"/>
        </w:rPr>
      </w:pPr>
      <w:r w:rsidRPr="00FB7A21">
        <w:rPr>
          <w:rFonts w:ascii="Calibri" w:hAnsi="Calibri"/>
          <w:b/>
          <w:color w:val="auto"/>
          <w:szCs w:val="22"/>
        </w:rPr>
        <w:t>Prohlášení zákazníka</w:t>
      </w:r>
    </w:p>
    <w:p w:rsidR="006F4DDB" w:rsidRPr="00451C15" w:rsidRDefault="006F4DDB"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51258A">
        <w:rPr>
          <w:rFonts w:ascii="Calibri" w:hAnsi="Calibri"/>
          <w:color w:val="auto"/>
          <w:szCs w:val="22"/>
        </w:rPr>
        <w:t>Zákazník tímto prohlašuje, že návrh této smlouvy a návrh obchodních podmínek obchodníka ze dne 22.11.2013, které tvoří přílohou č. 1 této smlouvy, mu byly poskytnuty v dostatečném předstihu před uzavřením smlouvy a že se řádně seznámil s celým obsahem této smlouvy a obchodních podmínek obchodníka ze dne 22.11.2013. Zákazník dále prohlašuje, že všem ustanovením smlouvy a obchodních podmínek obchodníka a jejich významu porozuměl a že žádné ustanovení smlouvy a obchodních podmínek obchodníka pro něj není nesrozumitelné nebo nečitelné.</w:t>
      </w:r>
    </w:p>
    <w:p w:rsidR="006F4DDB" w:rsidRDefault="006F4DDB" w:rsidP="00B41881">
      <w:pPr>
        <w:numPr>
          <w:ilvl w:val="3"/>
          <w:numId w:val="6"/>
        </w:numPr>
        <w:tabs>
          <w:tab w:val="clear" w:pos="360"/>
          <w:tab w:val="num" w:pos="0"/>
        </w:tabs>
        <w:spacing w:after="0" w:line="240" w:lineRule="auto"/>
        <w:ind w:left="346" w:hanging="346"/>
        <w:jc w:val="both"/>
        <w:rPr>
          <w:rFonts w:ascii="Calibri" w:hAnsi="Calibri"/>
          <w:color w:val="auto"/>
          <w:szCs w:val="22"/>
        </w:rPr>
      </w:pPr>
      <w:r w:rsidRPr="00B41881">
        <w:rPr>
          <w:rFonts w:ascii="Calibri" w:hAnsi="Calibri"/>
          <w:color w:val="auto"/>
          <w:szCs w:val="22"/>
        </w:rPr>
        <w:t>Zákazník  tímto výslovně prohlašuje, že porozuměl tomu, že dle čl. II. odst. 6 a 7 obchodních podmínek obchodníka ze dne 22.11.2013, pokud by obchodník nemohl začít dodávat elektřinu v požadovaném termínu, platí:</w:t>
      </w:r>
    </w:p>
    <w:p w:rsidR="006F4DDB" w:rsidRPr="00B41881" w:rsidRDefault="006F4DDB" w:rsidP="000274FB">
      <w:pPr>
        <w:spacing w:after="0" w:line="240" w:lineRule="auto"/>
        <w:ind w:left="346"/>
        <w:jc w:val="both"/>
        <w:rPr>
          <w:rFonts w:ascii="Calibri" w:hAnsi="Calibri"/>
          <w:color w:val="auto"/>
          <w:szCs w:val="22"/>
        </w:rPr>
      </w:pPr>
    </w:p>
    <w:p w:rsidR="006F4DDB" w:rsidRDefault="006F4DDB" w:rsidP="007108C7">
      <w:pPr>
        <w:pStyle w:val="ListParagraph"/>
        <w:numPr>
          <w:ilvl w:val="0"/>
          <w:numId w:val="10"/>
        </w:numPr>
        <w:spacing w:after="0" w:line="240" w:lineRule="auto"/>
        <w:ind w:left="1134"/>
        <w:jc w:val="both"/>
        <w:rPr>
          <w:rFonts w:ascii="Calibri" w:hAnsi="Calibri"/>
          <w:color w:val="auto"/>
          <w:szCs w:val="22"/>
        </w:rPr>
      </w:pPr>
      <w:r w:rsidRPr="000274FB">
        <w:rPr>
          <w:rFonts w:ascii="Calibri" w:hAnsi="Calibri"/>
          <w:color w:val="auto"/>
          <w:szCs w:val="22"/>
        </w:rPr>
        <w:t>obchodník není odpovědný za nezahájení dodávky v požadovaném termínu, pokud dodávku nelze zahájit z důvodů na straně zákazníka (např. nedodání plné moci k ukončení smlouvy o dodávce elektřiny s původním dodavatelem zákazníka); obchodník je oprávněn v takovém případě od smlouvy písemně odstoupit. Pokud obchodník od smlouvy neodstoupí a dodávku lze zahájit v pozdějším termínu, začne obchodník dodávat elektřinu zákazníkovi v pozdějším termínu;</w:t>
      </w:r>
    </w:p>
    <w:p w:rsidR="006F4DDB" w:rsidRDefault="006F4DDB" w:rsidP="000274FB">
      <w:pPr>
        <w:pStyle w:val="ListParagraph"/>
        <w:spacing w:after="0" w:line="240" w:lineRule="auto"/>
        <w:ind w:left="1134"/>
        <w:jc w:val="both"/>
        <w:rPr>
          <w:rFonts w:ascii="Calibri" w:hAnsi="Calibri"/>
          <w:color w:val="auto"/>
          <w:szCs w:val="22"/>
        </w:rPr>
      </w:pPr>
    </w:p>
    <w:p w:rsidR="006F4DDB" w:rsidRDefault="006F4DDB" w:rsidP="007108C7">
      <w:pPr>
        <w:pStyle w:val="ListParagraph"/>
        <w:numPr>
          <w:ilvl w:val="0"/>
          <w:numId w:val="10"/>
        </w:numPr>
        <w:spacing w:after="0" w:line="240" w:lineRule="auto"/>
        <w:ind w:left="1134"/>
        <w:jc w:val="both"/>
        <w:rPr>
          <w:rFonts w:ascii="Calibri" w:hAnsi="Calibri"/>
          <w:color w:val="auto"/>
          <w:szCs w:val="22"/>
        </w:rPr>
      </w:pPr>
      <w:r w:rsidRPr="000274FB">
        <w:rPr>
          <w:rFonts w:ascii="Calibri" w:hAnsi="Calibri"/>
          <w:color w:val="auto"/>
          <w:szCs w:val="22"/>
        </w:rPr>
        <w:t>obchodník není odpovědný za nezahájení dodávky v požadovaném termínu, pokud obchodník nemůže zahájit dodávky elektřiny v dohodnutém termínu z důvodů na straně jiného dodavatele elektřiny, obchodníka s elektřinou nebo provozovatele distribuční soustavy; obchodník i zákazník jsou oprávněni v takovém případě od smlouvy písemně odstoupit;</w:t>
      </w:r>
    </w:p>
    <w:p w:rsidR="006F4DDB" w:rsidRPr="000274FB" w:rsidRDefault="006F4DDB" w:rsidP="000274FB">
      <w:pPr>
        <w:pStyle w:val="ListParagraph"/>
        <w:ind w:left="1134"/>
        <w:rPr>
          <w:rFonts w:ascii="Calibri" w:hAnsi="Calibri"/>
          <w:color w:val="auto"/>
          <w:szCs w:val="22"/>
        </w:rPr>
      </w:pPr>
    </w:p>
    <w:p w:rsidR="006F4DDB" w:rsidRDefault="006F4DDB" w:rsidP="007108C7">
      <w:pPr>
        <w:pStyle w:val="ListParagraph"/>
        <w:numPr>
          <w:ilvl w:val="0"/>
          <w:numId w:val="10"/>
        </w:numPr>
        <w:spacing w:after="0" w:line="240" w:lineRule="auto"/>
        <w:ind w:left="1134"/>
        <w:jc w:val="both"/>
        <w:rPr>
          <w:rFonts w:ascii="Calibri" w:hAnsi="Calibri"/>
          <w:color w:val="auto"/>
          <w:szCs w:val="22"/>
        </w:rPr>
      </w:pPr>
      <w:r w:rsidRPr="000274FB">
        <w:rPr>
          <w:rFonts w:ascii="Calibri" w:hAnsi="Calibri"/>
          <w:color w:val="auto"/>
          <w:szCs w:val="22"/>
        </w:rPr>
        <w:t>zákazník je oprávněn od smlouvy písemně odstoupit v případě, že obchodník nezačal zákazníkovi dodávat elektřinu v požadovaném termínu z důvodu na straně obchodníka. Namísto odstoupení od sm</w:t>
      </w:r>
      <w:r>
        <w:rPr>
          <w:rFonts w:ascii="Calibri" w:hAnsi="Calibri"/>
          <w:color w:val="auto"/>
          <w:szCs w:val="22"/>
        </w:rPr>
        <w:t xml:space="preserve">louvy je zákazník oprávněn </w:t>
      </w:r>
      <w:r w:rsidRPr="000274FB">
        <w:rPr>
          <w:rFonts w:ascii="Calibri" w:hAnsi="Calibri"/>
          <w:color w:val="auto"/>
          <w:szCs w:val="22"/>
        </w:rPr>
        <w:t>podat návrh k Energetickému regulačnímu úřadu, aby byla obchodníkovi uložena povinnost dodávat zákazníkovi elektřinu, a zároveň může po obchodníkovi požadovat náhradu škody, která mu vnikla tím, že obchodník nezačal dodávat elektřinu v termínu dohodnutém ve smlouvě;</w:t>
      </w:r>
    </w:p>
    <w:p w:rsidR="006F4DDB" w:rsidRPr="000274FB" w:rsidRDefault="006F4DDB" w:rsidP="000274FB">
      <w:pPr>
        <w:spacing w:after="0" w:line="240" w:lineRule="auto"/>
        <w:jc w:val="both"/>
        <w:rPr>
          <w:rFonts w:ascii="Calibri" w:hAnsi="Calibri"/>
          <w:color w:val="auto"/>
          <w:szCs w:val="22"/>
        </w:rPr>
      </w:pPr>
    </w:p>
    <w:p w:rsidR="006F4DDB" w:rsidRPr="00451C15" w:rsidRDefault="006F4DDB" w:rsidP="007108C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obchodních podmínek obchodníka ze dne 22.11.2013, nemá obchodník v případě smluv na dobu určitou právo měnit cenu silové elektřiny.</w:t>
      </w:r>
    </w:p>
    <w:p w:rsidR="006F4DDB" w:rsidRPr="000274FB" w:rsidRDefault="006F4DDB" w:rsidP="007108C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XI. obchodních podmínek obchodníka ze dne 22.11.2013 je zákazník oprávněn odstoupit od smlouvy rovněž v těchto případech:</w:t>
      </w:r>
    </w:p>
    <w:p w:rsidR="006F4DDB" w:rsidRDefault="006F4DDB" w:rsidP="000274FB">
      <w:pPr>
        <w:spacing w:after="0" w:line="240" w:lineRule="auto"/>
        <w:ind w:left="346"/>
        <w:jc w:val="both"/>
        <w:rPr>
          <w:rFonts w:ascii="Calibri" w:hAnsi="Calibri"/>
          <w:color w:val="auto"/>
          <w:szCs w:val="22"/>
        </w:rPr>
      </w:pPr>
    </w:p>
    <w:p w:rsidR="006F4DDB" w:rsidRPr="00B10EC7" w:rsidRDefault="006F4DDB" w:rsidP="007108C7">
      <w:pPr>
        <w:pStyle w:val="ListParagraph"/>
        <w:numPr>
          <w:ilvl w:val="0"/>
          <w:numId w:val="12"/>
        </w:numPr>
        <w:spacing w:after="0" w:line="240" w:lineRule="auto"/>
        <w:ind w:left="1134"/>
        <w:jc w:val="both"/>
        <w:rPr>
          <w:rFonts w:ascii="Calibri" w:hAnsi="Calibri"/>
          <w:color w:val="auto"/>
          <w:szCs w:val="22"/>
        </w:rPr>
      </w:pPr>
      <w:r w:rsidRPr="000274FB">
        <w:rPr>
          <w:rFonts w:ascii="Calibri" w:hAnsi="Calibri"/>
          <w:color w:val="auto"/>
          <w:szCs w:val="22"/>
        </w:rPr>
        <w:t xml:space="preserve">dojde ke změně OP a zákazník se změnou OP nesouhlasí; zákazník je oprávněn od smlouvy písemně odstoupit ve lhůtách určených v obchodních podmínkách obchodníka. Pokud zákazník od smlouvy neodstoupí, pak platí, že s novými obchodními podmínkami obchodníka souhlasí a okamžikem nabytí změny OP platí změněné obchodní podmínky obchodníka; </w:t>
      </w:r>
    </w:p>
    <w:p w:rsidR="006F4DDB" w:rsidRDefault="006F4DDB" w:rsidP="007108C7">
      <w:pPr>
        <w:pStyle w:val="ListParagraph"/>
        <w:numPr>
          <w:ilvl w:val="0"/>
          <w:numId w:val="12"/>
        </w:numPr>
        <w:spacing w:after="0" w:line="240" w:lineRule="auto"/>
        <w:ind w:left="1134"/>
        <w:jc w:val="both"/>
        <w:rPr>
          <w:rFonts w:ascii="Calibri" w:hAnsi="Calibri"/>
          <w:color w:val="auto"/>
          <w:szCs w:val="22"/>
        </w:rPr>
      </w:pPr>
      <w:r w:rsidRPr="000274FB">
        <w:rPr>
          <w:rFonts w:ascii="Calibri" w:hAnsi="Calibri"/>
          <w:color w:val="auto"/>
          <w:szCs w:val="22"/>
        </w:rPr>
        <w:t>smlouva byla uzavřena mimo prostory obvyklé k podnikání obchodníka a zákazník je spotřebitelem nebo podnikající fyzickou osobou; zákazník je oprávněn od smlouvy písemně odstoupit ve lhůtě 5 dnů před zahájením dodávky</w:t>
      </w:r>
      <w:r>
        <w:rPr>
          <w:rFonts w:ascii="Calibri" w:hAnsi="Calibri"/>
          <w:color w:val="auto"/>
          <w:szCs w:val="22"/>
        </w:rPr>
        <w:t>;</w:t>
      </w:r>
    </w:p>
    <w:p w:rsidR="006F4DDB" w:rsidRPr="000274FB" w:rsidRDefault="006F4DDB" w:rsidP="000274FB">
      <w:pPr>
        <w:pStyle w:val="ListParagraph"/>
        <w:rPr>
          <w:rFonts w:ascii="Calibri" w:hAnsi="Calibri"/>
          <w:color w:val="auto"/>
          <w:szCs w:val="22"/>
        </w:rPr>
      </w:pPr>
    </w:p>
    <w:p w:rsidR="006F4DDB" w:rsidRDefault="006F4DDB" w:rsidP="007108C7">
      <w:pPr>
        <w:pStyle w:val="ListParagraph"/>
        <w:numPr>
          <w:ilvl w:val="0"/>
          <w:numId w:val="12"/>
        </w:numPr>
        <w:spacing w:after="0" w:line="240" w:lineRule="auto"/>
        <w:ind w:left="1134"/>
        <w:jc w:val="both"/>
        <w:rPr>
          <w:rFonts w:ascii="Calibri" w:hAnsi="Calibri"/>
          <w:color w:val="auto"/>
          <w:szCs w:val="22"/>
        </w:rPr>
      </w:pPr>
      <w:r w:rsidRPr="000274FB">
        <w:rPr>
          <w:rFonts w:ascii="Calibri" w:hAnsi="Calibri"/>
          <w:color w:val="auto"/>
          <w:szCs w:val="22"/>
        </w:rPr>
        <w:t xml:space="preserve">smlouva byla uzavřená prostřednictvím prostředků komunikace na dálku (zejména vyplněním online formuláře na webových stránkách obchodníka </w:t>
      </w:r>
      <w:hyperlink r:id="rId8" w:history="1">
        <w:r w:rsidRPr="000274FB">
          <w:rPr>
            <w:rStyle w:val="Hyperlink"/>
            <w:rFonts w:ascii="Calibri" w:hAnsi="Calibri"/>
            <w:color w:val="auto"/>
            <w:szCs w:val="22"/>
          </w:rPr>
          <w:t>www.ampermarket.cz</w:t>
        </w:r>
      </w:hyperlink>
      <w:r w:rsidRPr="000274FB">
        <w:rPr>
          <w:rFonts w:ascii="Calibri" w:hAnsi="Calibri"/>
          <w:color w:val="auto"/>
          <w:szCs w:val="22"/>
        </w:rPr>
        <w:t>) a zákazník je spotřebitelem; zákazník je oprávněn od smlouvy písemně odstoupit ve lhůtě 14 dnů ode dne zahájení dodávky</w:t>
      </w:r>
      <w:r>
        <w:rPr>
          <w:rFonts w:ascii="Calibri" w:hAnsi="Calibri"/>
          <w:color w:val="auto"/>
          <w:szCs w:val="22"/>
        </w:rPr>
        <w:t>;</w:t>
      </w:r>
    </w:p>
    <w:p w:rsidR="006F4DDB" w:rsidRPr="000274FB" w:rsidRDefault="006F4DDB" w:rsidP="000274FB">
      <w:pPr>
        <w:pStyle w:val="ListParagraph"/>
        <w:rPr>
          <w:rFonts w:ascii="Calibri" w:hAnsi="Calibri"/>
          <w:color w:val="auto"/>
          <w:szCs w:val="22"/>
        </w:rPr>
      </w:pPr>
    </w:p>
    <w:p w:rsidR="006F4DDB" w:rsidRDefault="006F4DDB" w:rsidP="007108C7">
      <w:pPr>
        <w:pStyle w:val="ListParagraph"/>
        <w:numPr>
          <w:ilvl w:val="0"/>
          <w:numId w:val="12"/>
        </w:numPr>
        <w:spacing w:after="0" w:line="240" w:lineRule="auto"/>
        <w:ind w:left="1134"/>
        <w:jc w:val="both"/>
        <w:rPr>
          <w:rFonts w:ascii="Calibri" w:hAnsi="Calibri"/>
          <w:color w:val="auto"/>
          <w:szCs w:val="22"/>
        </w:rPr>
      </w:pPr>
      <w:r w:rsidRPr="000274FB">
        <w:rPr>
          <w:rFonts w:ascii="Calibri" w:hAnsi="Calibri"/>
          <w:color w:val="auto"/>
          <w:szCs w:val="22"/>
        </w:rPr>
        <w:t xml:space="preserve">ze strany obchodníka dojde k podstatnému porušení smlouvy nebo </w:t>
      </w:r>
      <w:r>
        <w:rPr>
          <w:rFonts w:ascii="Calibri" w:hAnsi="Calibri"/>
          <w:color w:val="auto"/>
          <w:szCs w:val="22"/>
        </w:rPr>
        <w:t>obchodních podmínek obchodníka.</w:t>
      </w:r>
    </w:p>
    <w:p w:rsidR="006F4DDB" w:rsidRPr="000274FB" w:rsidRDefault="006F4DDB" w:rsidP="000274FB">
      <w:pPr>
        <w:spacing w:after="0" w:line="240" w:lineRule="auto"/>
        <w:jc w:val="both"/>
        <w:rPr>
          <w:rFonts w:ascii="Calibri" w:hAnsi="Calibri"/>
          <w:color w:val="auto"/>
          <w:szCs w:val="22"/>
        </w:rPr>
      </w:pPr>
    </w:p>
    <w:p w:rsidR="006F4DDB" w:rsidRDefault="006F4DDB" w:rsidP="00FB7A21">
      <w:pPr>
        <w:spacing w:after="0" w:line="240" w:lineRule="auto"/>
        <w:ind w:left="346"/>
        <w:jc w:val="both"/>
        <w:rPr>
          <w:rFonts w:ascii="Calibri" w:hAnsi="Calibri"/>
          <w:color w:val="auto"/>
          <w:szCs w:val="22"/>
        </w:rPr>
      </w:pPr>
      <w:r w:rsidRPr="0051258A">
        <w:rPr>
          <w:rFonts w:ascii="Calibri" w:hAnsi="Calibri"/>
          <w:color w:val="auto"/>
          <w:szCs w:val="22"/>
        </w:rPr>
        <w:t>V případě, že zákazník od smlouvy odstoupí, je povinen zaplatit obchodníkovi cenu za elektřinu odebranou dle smlouvy.</w:t>
      </w:r>
    </w:p>
    <w:p w:rsidR="006F4DDB" w:rsidRDefault="006F4DDB" w:rsidP="007108C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dle čl. VIII. a XI obchodních podmínek obchodníka ze dne 22.11.2013 v případě prodlení zákazníka s úhradou záloh nebo platbou za dodanou elektřinu je obchodník oprávněn:</w:t>
      </w:r>
    </w:p>
    <w:p w:rsidR="006F4DDB" w:rsidRPr="0051258A" w:rsidRDefault="006F4DDB" w:rsidP="000274FB">
      <w:pPr>
        <w:spacing w:after="0" w:line="240" w:lineRule="auto"/>
        <w:ind w:left="346"/>
        <w:jc w:val="both"/>
        <w:rPr>
          <w:rFonts w:ascii="Calibri" w:hAnsi="Calibri"/>
          <w:color w:val="auto"/>
          <w:szCs w:val="22"/>
        </w:rPr>
      </w:pPr>
    </w:p>
    <w:p w:rsidR="006F4DDB" w:rsidRDefault="006F4DDB" w:rsidP="007108C7">
      <w:pPr>
        <w:numPr>
          <w:ilvl w:val="0"/>
          <w:numId w:val="13"/>
        </w:numPr>
        <w:spacing w:after="0" w:line="240" w:lineRule="auto"/>
        <w:ind w:left="1134"/>
        <w:jc w:val="both"/>
        <w:rPr>
          <w:rFonts w:ascii="Calibri" w:hAnsi="Calibri"/>
          <w:color w:val="auto"/>
          <w:szCs w:val="22"/>
        </w:rPr>
      </w:pPr>
      <w:r w:rsidRPr="0051258A">
        <w:rPr>
          <w:rFonts w:ascii="Calibri" w:hAnsi="Calibri"/>
          <w:color w:val="auto"/>
          <w:szCs w:val="22"/>
        </w:rPr>
        <w:t>ukončit nebo přerušit dodávku elektřiny zákazníkovi v případě, že zákazník opakovaně nedodrží smluvený způsob platby za dodanou elektřinu včetně platby záloh. Pokud dojde k ukončení smlouvy dřív, než zákazník uhradí všechny dlužné platby, obchodník nezajišťuje obnovení přerušených dodávek elektřiny do odběrného místa zákazníka.</w:t>
      </w:r>
    </w:p>
    <w:p w:rsidR="006F4DDB" w:rsidRPr="0051258A" w:rsidRDefault="006F4DDB" w:rsidP="000274FB">
      <w:pPr>
        <w:spacing w:after="0" w:line="240" w:lineRule="auto"/>
        <w:ind w:left="1134"/>
        <w:jc w:val="both"/>
        <w:rPr>
          <w:rFonts w:ascii="Calibri" w:hAnsi="Calibri"/>
          <w:color w:val="auto"/>
          <w:szCs w:val="22"/>
        </w:rPr>
      </w:pPr>
    </w:p>
    <w:p w:rsidR="006F4DDB" w:rsidRPr="000274FB" w:rsidRDefault="006F4DDB" w:rsidP="007108C7">
      <w:pPr>
        <w:pStyle w:val="ListParagraph"/>
        <w:numPr>
          <w:ilvl w:val="0"/>
          <w:numId w:val="13"/>
        </w:numPr>
        <w:spacing w:after="0" w:line="240" w:lineRule="auto"/>
        <w:ind w:left="1134"/>
        <w:jc w:val="both"/>
        <w:rPr>
          <w:rFonts w:ascii="Calibri" w:hAnsi="Calibri"/>
          <w:color w:val="auto"/>
          <w:szCs w:val="22"/>
        </w:rPr>
      </w:pPr>
      <w:r w:rsidRPr="000274FB">
        <w:rPr>
          <w:rFonts w:ascii="Calibri" w:hAnsi="Calibri"/>
          <w:color w:val="auto"/>
          <w:szCs w:val="22"/>
        </w:rPr>
        <w:t>od smlouvy písemně odstoupit nebo smlouvu písemně vypovědět, pokud zákazník nezaplatil obchodníkovi zálohu či platbu za dodanou elektřinu po dobu delší než 30 dnů po splatnosti faktury; výpovědní doba v případě výpovědi je jeden měsíc a počíná běžet první kalendářní den měsíce následujícího po doručení výpovědi zákazníkovi.</w:t>
      </w:r>
    </w:p>
    <w:p w:rsidR="006F4DDB" w:rsidRPr="000274FB" w:rsidRDefault="006F4DDB" w:rsidP="000274FB">
      <w:pPr>
        <w:spacing w:after="0" w:line="240" w:lineRule="auto"/>
        <w:jc w:val="both"/>
        <w:rPr>
          <w:rFonts w:ascii="Calibri" w:hAnsi="Calibri"/>
          <w:color w:val="auto"/>
          <w:szCs w:val="22"/>
        </w:rPr>
      </w:pPr>
    </w:p>
    <w:p w:rsidR="006F4DDB" w:rsidRDefault="006F4DDB" w:rsidP="007108C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 xml:space="preserve">Zákazník  tímto výslovně prohlašuje, že porozuměl tomu, že dle čl. VII. odst. 2 obchodních podmínek obchodníka ze dne 22.11.2013 je zákazník povinen ve smlouvě vyplňovat bezpečnostní minimum, pokud je hodnota jističe před elektroměrem u jeho odběrného místa vyšší než 200 A. Bezpečnostní minimum se stanoví na základě soupisu jednotlivých spotřebičů v odběrném místě a jejich bezpečnostního minima. Pokud by došlo k vyhlášení regulačního stupně č. 7, kterým se přeruší dodávka elektřiny na nejnižší možnou úroveň, dojde ke snížení množství dodávané elektřiny právě na úroveň bezpečnostního minima. </w:t>
      </w:r>
    </w:p>
    <w:p w:rsidR="006F4DDB" w:rsidRPr="0051258A" w:rsidRDefault="006F4DDB" w:rsidP="007108C7">
      <w:pPr>
        <w:numPr>
          <w:ilvl w:val="0"/>
          <w:numId w:val="11"/>
        </w:numPr>
        <w:spacing w:after="0" w:line="240" w:lineRule="auto"/>
        <w:ind w:left="346" w:hanging="359"/>
        <w:jc w:val="both"/>
        <w:rPr>
          <w:rFonts w:ascii="Calibri" w:hAnsi="Calibri"/>
          <w:color w:val="auto"/>
          <w:szCs w:val="22"/>
        </w:rPr>
      </w:pPr>
      <w:r w:rsidRPr="0051258A">
        <w:rPr>
          <w:rFonts w:ascii="Calibri" w:hAnsi="Calibri"/>
          <w:color w:val="auto"/>
          <w:szCs w:val="22"/>
        </w:rPr>
        <w:t>Zákazník  tímto výslovně prohlašuje, že porozuměl tomu, že obchodník může postupem dle čl. VIII. této smlouvy změnit rovněž ta ustanovení obchodních podmínek obchodníka ze dne 22.11.2013, která jsou uvedena v prohlášení zákazníka v tomto článku smlouvy.</w:t>
      </w:r>
    </w:p>
    <w:p w:rsidR="006F4DDB" w:rsidRPr="0051258A" w:rsidRDefault="006F4DDB" w:rsidP="000274FB">
      <w:pPr>
        <w:spacing w:after="0" w:line="240" w:lineRule="auto"/>
        <w:contextualSpacing/>
        <w:jc w:val="both"/>
        <w:rPr>
          <w:rFonts w:ascii="Calibri" w:hAnsi="Calibri"/>
          <w:color w:val="auto"/>
          <w:szCs w:val="22"/>
        </w:rPr>
      </w:pPr>
    </w:p>
    <w:p w:rsidR="006F4DDB" w:rsidRPr="0051258A" w:rsidRDefault="006F4DDB" w:rsidP="00FB7A21">
      <w:pPr>
        <w:spacing w:after="0" w:line="240" w:lineRule="auto"/>
        <w:ind w:left="346"/>
        <w:contextualSpacing/>
        <w:jc w:val="both"/>
        <w:rPr>
          <w:rFonts w:ascii="Calibri" w:eastAsia="MS Mincho" w:hAnsi="Calibri"/>
          <w:color w:val="auto"/>
          <w:szCs w:val="22"/>
          <w:lang w:eastAsia="cs-CZ"/>
        </w:rPr>
      </w:pPr>
    </w:p>
    <w:p w:rsidR="006F4DDB" w:rsidRPr="0051258A" w:rsidRDefault="006F4DDB" w:rsidP="007664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outlineLvl w:val="0"/>
        <w:rPr>
          <w:rFonts w:ascii="Calibri" w:hAnsi="Calibri"/>
          <w:b/>
          <w:color w:val="auto"/>
          <w:szCs w:val="22"/>
        </w:rPr>
      </w:pPr>
      <w:r w:rsidRPr="0051258A">
        <w:rPr>
          <w:rFonts w:ascii="Calibri" w:hAnsi="Calibri"/>
          <w:b/>
          <w:color w:val="auto"/>
          <w:szCs w:val="22"/>
        </w:rPr>
        <w:t>X.</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center"/>
        <w:rPr>
          <w:rFonts w:ascii="Calibri" w:hAnsi="Calibri"/>
          <w:b/>
          <w:color w:val="auto"/>
          <w:szCs w:val="22"/>
        </w:rPr>
      </w:pPr>
      <w:r w:rsidRPr="0051258A">
        <w:rPr>
          <w:rFonts w:ascii="Calibri" w:hAnsi="Calibri"/>
          <w:b/>
          <w:color w:val="auto"/>
          <w:szCs w:val="22"/>
        </w:rPr>
        <w:t>Závěrečná ustanovení</w:t>
      </w:r>
    </w:p>
    <w:p w:rsidR="006F4DDB" w:rsidRPr="0043199C" w:rsidRDefault="006F4DDB" w:rsidP="007108C7">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 xml:space="preserve">Tuto smlouvu lze uzavřít pouze bezvýhradným přijetím návrhu smlouvy. Jakákoliv změna či odchylka od návrhu smlouvy či obchodních podmínek obchodníka se považuje za nový návrh, nikoliv za přijetí návrhu s výhradami.  </w:t>
      </w:r>
    </w:p>
    <w:p w:rsidR="006F4DDB" w:rsidRPr="00451C15" w:rsidRDefault="006F4DDB" w:rsidP="007108C7">
      <w:pPr>
        <w:pStyle w:val="Zkladntextodsazen1"/>
        <w:numPr>
          <w:ilvl w:val="0"/>
          <w:numId w:val="9"/>
        </w:numPr>
        <w:tabs>
          <w:tab w:val="left" w:pos="0"/>
        </w:tabs>
        <w:ind w:left="346" w:hanging="346"/>
        <w:rPr>
          <w:rFonts w:ascii="Calibri" w:hAnsi="Calibri"/>
          <w:sz w:val="22"/>
          <w:szCs w:val="22"/>
        </w:rPr>
      </w:pPr>
      <w:r w:rsidRPr="0051258A">
        <w:rPr>
          <w:rFonts w:ascii="Calibri" w:hAnsi="Calibri"/>
          <w:sz w:val="22"/>
          <w:szCs w:val="22"/>
        </w:rPr>
        <w:t>Je-li zákazníkem fyzická osoba, uděluje tímto v souladu s ustanovením § 5 zákona č. 101/2000 Sb., o ochraně osobních údajů a o změně některých zákonů, v platném znění, obchodníkovi souhlas se zpracováním osobních údajů, které zákazník poskytne obchodníkovi při uzavírání nebo plnění této smlouvy. Bližší podrobnosti stanoví obchodní podmínky obchodníka.</w:t>
      </w:r>
    </w:p>
    <w:p w:rsidR="006F4DDB" w:rsidRPr="00451C15" w:rsidRDefault="006F4DDB" w:rsidP="007108C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Je-li zákazníkem právnická osoba, uděluje tímto obchodníkovi souhlas k uvádění své obchodní firmy/názvu a informace o existenci smluvního vztahu mezi zákazníkem a obchodníkem, včetně informace o odhadovaném objemu dodávky elektřiny obchodníkem, v referencích a jiných marketingových dokumentech obchodníka, a to jak v tištěné, tak v elektronické podobě, a ke zveřejnění těchto informací na webových stránkách obchodníka.</w:t>
      </w:r>
    </w:p>
    <w:p w:rsidR="006F4DDB" w:rsidRPr="00451C15" w:rsidRDefault="006F4DDB" w:rsidP="007108C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46"/>
        <w:jc w:val="both"/>
        <w:rPr>
          <w:rFonts w:ascii="Calibri" w:hAnsi="Calibri"/>
          <w:color w:val="auto"/>
          <w:szCs w:val="22"/>
        </w:rPr>
      </w:pPr>
      <w:r w:rsidRPr="0051258A">
        <w:rPr>
          <w:rFonts w:ascii="Calibri" w:hAnsi="Calibri"/>
          <w:color w:val="auto"/>
          <w:szCs w:val="22"/>
        </w:rPr>
        <w:t>Změny této smlouvy mohou být činěny pouze písemně, dle zásad stanovených v obchodních podmínkách obchodníka.</w:t>
      </w:r>
    </w:p>
    <w:p w:rsidR="006F4DDB" w:rsidRPr="00451C15" w:rsidRDefault="006F4DDB" w:rsidP="007108C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se zavazují vzájemně se s </w:t>
      </w:r>
      <w:r>
        <w:rPr>
          <w:rFonts w:ascii="Calibri" w:hAnsi="Calibri"/>
          <w:color w:val="auto"/>
          <w:szCs w:val="22"/>
        </w:rPr>
        <w:t xml:space="preserve">dostatečným časovým předstihem </w:t>
      </w:r>
      <w:r w:rsidRPr="0051258A">
        <w:rPr>
          <w:rFonts w:ascii="Calibri" w:hAnsi="Calibri"/>
          <w:color w:val="auto"/>
          <w:szCs w:val="22"/>
        </w:rPr>
        <w:t>informovat o veškerých změnách, které by mohly mít vliv na plnění této smlouvy.</w:t>
      </w:r>
    </w:p>
    <w:p w:rsidR="006F4DDB" w:rsidRPr="00451C15" w:rsidRDefault="006F4DDB" w:rsidP="007108C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Pokud by se některé ujednání této smlouvy stalo neplatným či neúčinným, smluvní strany se zavazují nahradit takové ujednání platným ujednáním v souladu s předmětem a účelem této smlouvy.  Neplatnost či neúčinnost jakéhokoliv ujednání nemá vliv na platnost a účinnost ostatních ujednání této smlouvy.</w:t>
      </w:r>
    </w:p>
    <w:p w:rsidR="006F4DDB" w:rsidRPr="00451C15" w:rsidRDefault="006F4DDB" w:rsidP="007108C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je vyhotovena ve dvou stejnopisech, z nichž po jednom obdrží každá ze smluvních stran.</w:t>
      </w:r>
    </w:p>
    <w:p w:rsidR="006F4DDB" w:rsidRPr="0051258A" w:rsidRDefault="006F4DDB" w:rsidP="007108C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Smlouva obsahuje následující přílohy:</w:t>
      </w: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Příloha č. 1</w:t>
      </w:r>
      <w:r w:rsidRPr="0051258A">
        <w:rPr>
          <w:rFonts w:ascii="Calibri" w:hAnsi="Calibri"/>
          <w:color w:val="auto"/>
          <w:szCs w:val="22"/>
        </w:rPr>
        <w:t xml:space="preserve"> obchodní podmínky obchodníka</w:t>
      </w:r>
    </w:p>
    <w:p w:rsidR="006F4DDB" w:rsidRPr="0051258A" w:rsidRDefault="006F4DDB" w:rsidP="00451C15">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Příloha č. 2 </w:t>
      </w:r>
      <w:r w:rsidRPr="0051258A">
        <w:rPr>
          <w:rFonts w:ascii="Calibri" w:hAnsi="Calibri"/>
          <w:color w:val="auto"/>
          <w:szCs w:val="22"/>
        </w:rPr>
        <w:t>seznam odběrných míst zákazníka</w:t>
      </w:r>
    </w:p>
    <w:p w:rsidR="006F4DDB" w:rsidRPr="0051258A" w:rsidRDefault="006F4DDB" w:rsidP="007108C7">
      <w:pPr>
        <w:pStyle w:val="ListParagraph2"/>
        <w:numPr>
          <w:ilvl w:val="0"/>
          <w:numId w:val="9"/>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hanging="360"/>
        <w:jc w:val="both"/>
        <w:rPr>
          <w:rFonts w:ascii="Calibri" w:hAnsi="Calibri"/>
          <w:color w:val="auto"/>
          <w:szCs w:val="22"/>
        </w:rPr>
      </w:pPr>
      <w:r w:rsidRPr="0051258A">
        <w:rPr>
          <w:rFonts w:ascii="Calibri" w:hAnsi="Calibri"/>
          <w:color w:val="auto"/>
          <w:szCs w:val="22"/>
        </w:rPr>
        <w:t>Smluvní strany prohlašují, že tato smlouva vyjadřuje jejich svobodnou a skutečnou vůli, a na důkaz tohoto připojují ke smlouvě své podpisy.</w:t>
      </w: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V</w:t>
      </w:r>
      <w:r>
        <w:rPr>
          <w:rFonts w:ascii="Calibri" w:hAnsi="Calibri"/>
          <w:color w:val="auto"/>
          <w:szCs w:val="22"/>
        </w:rPr>
        <w:t xml:space="preserve"> Praze</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r>
      <w:r w:rsidRPr="0051258A">
        <w:rPr>
          <w:rFonts w:ascii="Calibri" w:hAnsi="Calibri"/>
          <w:color w:val="auto"/>
          <w:szCs w:val="22"/>
        </w:rPr>
        <w:t>V</w:t>
      </w:r>
      <w:r>
        <w:rPr>
          <w:rFonts w:ascii="Calibri" w:hAnsi="Calibri"/>
          <w:color w:val="auto"/>
          <w:szCs w:val="22"/>
        </w:rPr>
        <w:t xml:space="preserve"> </w:t>
      </w:r>
      <w:r w:rsidRPr="0051258A">
        <w:rPr>
          <w:rFonts w:ascii="Calibri" w:hAnsi="Calibri"/>
          <w:color w:val="auto"/>
          <w:szCs w:val="22"/>
        </w:rPr>
        <w:t>……………</w:t>
      </w:r>
      <w:r>
        <w:rPr>
          <w:rFonts w:ascii="Calibri" w:hAnsi="Calibri"/>
          <w:color w:val="auto"/>
          <w:szCs w:val="22"/>
        </w:rPr>
        <w:t>……</w:t>
      </w:r>
      <w:r w:rsidRPr="0051258A">
        <w:rPr>
          <w:rFonts w:ascii="Calibri" w:hAnsi="Calibri"/>
          <w:color w:val="auto"/>
          <w:szCs w:val="22"/>
        </w:rPr>
        <w:t xml:space="preserve"> dne</w:t>
      </w:r>
      <w:r>
        <w:rPr>
          <w:rFonts w:ascii="Calibri" w:hAnsi="Calibri"/>
          <w:color w:val="auto"/>
          <w:szCs w:val="22"/>
        </w:rPr>
        <w:t xml:space="preserve"> </w:t>
      </w:r>
      <w:r w:rsidRPr="0051258A">
        <w:rPr>
          <w:rFonts w:ascii="Calibri" w:hAnsi="Calibri"/>
          <w:color w:val="auto"/>
          <w:szCs w:val="22"/>
        </w:rPr>
        <w:t>…………………..</w:t>
      </w: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p>
    <w:p w:rsidR="006F4DDB" w:rsidRPr="0051258A" w:rsidRDefault="006F4DDB" w:rsidP="00FB7A21">
      <w:pPr>
        <w:pStyle w:val="ListParagraph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sidRPr="0051258A">
        <w:rPr>
          <w:rFonts w:ascii="Calibri" w:hAnsi="Calibri"/>
          <w:color w:val="auto"/>
          <w:szCs w:val="22"/>
        </w:rPr>
        <w:t>..............................................</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w:t>
      </w:r>
    </w:p>
    <w:p w:rsidR="006F4DDB" w:rsidRPr="0051258A" w:rsidRDefault="006F4DDB" w:rsidP="00FB7A2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346"/>
        <w:jc w:val="both"/>
        <w:rPr>
          <w:rFonts w:ascii="Calibri" w:hAnsi="Calibri"/>
          <w:color w:val="auto"/>
          <w:szCs w:val="22"/>
        </w:rPr>
      </w:pPr>
      <w:r>
        <w:rPr>
          <w:rFonts w:ascii="Calibri" w:hAnsi="Calibri"/>
          <w:color w:val="auto"/>
          <w:szCs w:val="22"/>
        </w:rPr>
        <w:tab/>
        <w:t xml:space="preserve">  </w:t>
      </w:r>
      <w:r w:rsidRPr="000274FB">
        <w:rPr>
          <w:rFonts w:ascii="Calibri" w:hAnsi="Calibri"/>
          <w:b/>
          <w:color w:val="auto"/>
          <w:szCs w:val="22"/>
        </w:rPr>
        <w:t>Amper Market, a.s.</w:t>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r>
      <w:r w:rsidRPr="0051258A">
        <w:rPr>
          <w:rFonts w:ascii="Calibri" w:hAnsi="Calibri"/>
          <w:color w:val="auto"/>
          <w:szCs w:val="22"/>
        </w:rPr>
        <w:tab/>
        <w:t xml:space="preserve">      </w:t>
      </w:r>
      <w:r>
        <w:rPr>
          <w:rFonts w:ascii="Calibri" w:hAnsi="Calibri"/>
          <w:color w:val="auto"/>
          <w:szCs w:val="22"/>
        </w:rPr>
        <w:tab/>
        <w:t xml:space="preserve">     </w:t>
      </w:r>
      <w:r w:rsidRPr="0051258A">
        <w:rPr>
          <w:rFonts w:ascii="Calibri" w:hAnsi="Calibri"/>
          <w:color w:val="auto"/>
          <w:szCs w:val="22"/>
        </w:rPr>
        <w:t>zákazník</w:t>
      </w: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p>
    <w:tbl>
      <w:tblPr>
        <w:tblW w:w="11340" w:type="dxa"/>
        <w:tblInd w:w="-1190" w:type="dxa"/>
        <w:tblLayout w:type="fixed"/>
        <w:tblCellMar>
          <w:left w:w="70" w:type="dxa"/>
          <w:right w:w="70" w:type="dxa"/>
        </w:tblCellMar>
        <w:tblLook w:val="0000"/>
      </w:tblPr>
      <w:tblGrid>
        <w:gridCol w:w="1620"/>
        <w:gridCol w:w="788"/>
        <w:gridCol w:w="472"/>
        <w:gridCol w:w="540"/>
        <w:gridCol w:w="788"/>
        <w:gridCol w:w="832"/>
        <w:gridCol w:w="949"/>
        <w:gridCol w:w="671"/>
        <w:gridCol w:w="720"/>
        <w:gridCol w:w="720"/>
        <w:gridCol w:w="720"/>
        <w:gridCol w:w="900"/>
        <w:gridCol w:w="900"/>
        <w:gridCol w:w="720"/>
      </w:tblGrid>
      <w:tr w:rsidR="006F4DDB" w:rsidTr="0006697A">
        <w:trPr>
          <w:trHeight w:val="300"/>
        </w:trPr>
        <w:tc>
          <w:tcPr>
            <w:tcW w:w="4208" w:type="dxa"/>
            <w:gridSpan w:val="5"/>
            <w:tcBorders>
              <w:top w:val="single" w:sz="4" w:space="0" w:color="auto"/>
              <w:left w:val="single" w:sz="4" w:space="0" w:color="auto"/>
              <w:bottom w:val="nil"/>
              <w:right w:val="single" w:sz="4" w:space="0" w:color="000000"/>
            </w:tcBorders>
            <w:shd w:val="clear" w:color="auto" w:fill="CCFFFF"/>
            <w:noWrap/>
            <w:vAlign w:val="bottom"/>
          </w:tcPr>
          <w:p w:rsidR="006F4DDB" w:rsidRDefault="006F4DDB" w:rsidP="0006697A">
            <w:pPr>
              <w:rPr>
                <w:rFonts w:ascii="Calibri" w:hAnsi="Calibri"/>
                <w:b/>
                <w:bCs/>
              </w:rPr>
            </w:pPr>
            <w:r>
              <w:rPr>
                <w:rFonts w:ascii="Calibri" w:hAnsi="Calibri"/>
                <w:b/>
                <w:bCs/>
                <w:szCs w:val="22"/>
              </w:rPr>
              <w:t>Příloha č.2: seznam odběrných míst zákazníka</w:t>
            </w:r>
          </w:p>
        </w:tc>
        <w:tc>
          <w:tcPr>
            <w:tcW w:w="832" w:type="dxa"/>
            <w:tcBorders>
              <w:top w:val="single" w:sz="4" w:space="0" w:color="auto"/>
              <w:left w:val="nil"/>
              <w:bottom w:val="single" w:sz="4" w:space="0" w:color="auto"/>
              <w:right w:val="single" w:sz="4" w:space="0" w:color="auto"/>
            </w:tcBorders>
            <w:shd w:val="clear" w:color="auto" w:fill="00FF00"/>
            <w:noWrap/>
            <w:vAlign w:val="center"/>
          </w:tcPr>
          <w:p w:rsidR="006F4DDB" w:rsidRDefault="006F4DDB" w:rsidP="0006697A">
            <w:pPr>
              <w:jc w:val="center"/>
              <w:rPr>
                <w:rFonts w:ascii="Calibri" w:hAnsi="Calibri"/>
              </w:rPr>
            </w:pPr>
            <w:r>
              <w:rPr>
                <w:rFonts w:ascii="Calibri" w:hAnsi="Calibri"/>
                <w:szCs w:val="22"/>
              </w:rPr>
              <w:t>Zákazník:</w:t>
            </w:r>
          </w:p>
        </w:tc>
        <w:tc>
          <w:tcPr>
            <w:tcW w:w="3060" w:type="dxa"/>
            <w:gridSpan w:val="4"/>
            <w:tcBorders>
              <w:top w:val="single" w:sz="4" w:space="0" w:color="auto"/>
              <w:left w:val="nil"/>
              <w:bottom w:val="single" w:sz="4" w:space="0" w:color="auto"/>
              <w:right w:val="nil"/>
            </w:tcBorders>
            <w:noWrap/>
            <w:vAlign w:val="bottom"/>
          </w:tcPr>
          <w:p w:rsidR="006F4DDB" w:rsidRDefault="006F4DDB" w:rsidP="0006697A">
            <w:pPr>
              <w:jc w:val="center"/>
              <w:rPr>
                <w:rFonts w:ascii="Calibri" w:hAnsi="Calibri"/>
              </w:rPr>
            </w:pPr>
            <w:r>
              <w:rPr>
                <w:rFonts w:ascii="Calibri" w:hAnsi="Calibri"/>
                <w:szCs w:val="22"/>
              </w:rPr>
              <w:t>Dům dětí a mládeže Neratovice, Mládežnická 954, okres Mělník</w:t>
            </w:r>
          </w:p>
        </w:tc>
        <w:tc>
          <w:tcPr>
            <w:tcW w:w="720" w:type="dxa"/>
            <w:tcBorders>
              <w:top w:val="single" w:sz="4" w:space="0" w:color="auto"/>
              <w:left w:val="nil"/>
              <w:bottom w:val="single" w:sz="4" w:space="0" w:color="auto"/>
              <w:right w:val="nil"/>
            </w:tcBorders>
            <w:noWrap/>
            <w:vAlign w:val="bottom"/>
          </w:tcPr>
          <w:p w:rsidR="006F4DDB" w:rsidRDefault="006F4DDB" w:rsidP="0006697A">
            <w:pPr>
              <w:rPr>
                <w:rFonts w:ascii="Calibri" w:hAnsi="Calibri"/>
              </w:rPr>
            </w:pPr>
            <w:r>
              <w:rPr>
                <w:rFonts w:ascii="Calibri" w:hAnsi="Calibri"/>
                <w:szCs w:val="22"/>
              </w:rPr>
              <w:t> </w:t>
            </w:r>
          </w:p>
        </w:tc>
        <w:tc>
          <w:tcPr>
            <w:tcW w:w="900" w:type="dxa"/>
            <w:tcBorders>
              <w:top w:val="single" w:sz="4" w:space="0" w:color="auto"/>
              <w:left w:val="nil"/>
              <w:bottom w:val="nil"/>
              <w:right w:val="nil"/>
            </w:tcBorders>
            <w:noWrap/>
            <w:vAlign w:val="bottom"/>
          </w:tcPr>
          <w:p w:rsidR="006F4DDB" w:rsidRDefault="006F4DDB" w:rsidP="0006697A">
            <w:pPr>
              <w:rPr>
                <w:rFonts w:ascii="Calibri" w:hAnsi="Calibri"/>
              </w:rPr>
            </w:pPr>
            <w:r>
              <w:rPr>
                <w:rFonts w:ascii="Calibri" w:hAnsi="Calibri"/>
                <w:szCs w:val="22"/>
              </w:rPr>
              <w:t> </w:t>
            </w:r>
          </w:p>
        </w:tc>
        <w:tc>
          <w:tcPr>
            <w:tcW w:w="900" w:type="dxa"/>
            <w:tcBorders>
              <w:top w:val="single" w:sz="4" w:space="0" w:color="auto"/>
              <w:left w:val="nil"/>
              <w:bottom w:val="nil"/>
              <w:right w:val="single" w:sz="4" w:space="0" w:color="auto"/>
            </w:tcBorders>
            <w:noWrap/>
            <w:vAlign w:val="bottom"/>
          </w:tcPr>
          <w:p w:rsidR="006F4DDB" w:rsidRDefault="006F4DDB" w:rsidP="0006697A">
            <w:pPr>
              <w:rPr>
                <w:rFonts w:ascii="Calibri" w:hAnsi="Calibri"/>
              </w:rPr>
            </w:pPr>
            <w:r>
              <w:rPr>
                <w:rFonts w:ascii="Calibri" w:hAnsi="Calibri"/>
                <w:szCs w:val="22"/>
              </w:rPr>
              <w:t> </w:t>
            </w:r>
          </w:p>
        </w:tc>
        <w:tc>
          <w:tcPr>
            <w:tcW w:w="720" w:type="dxa"/>
            <w:tcBorders>
              <w:top w:val="single" w:sz="4" w:space="0" w:color="auto"/>
              <w:left w:val="nil"/>
              <w:bottom w:val="nil"/>
              <w:right w:val="single" w:sz="4" w:space="0" w:color="auto"/>
            </w:tcBorders>
            <w:noWrap/>
            <w:vAlign w:val="bottom"/>
          </w:tcPr>
          <w:p w:rsidR="006F4DDB" w:rsidRDefault="006F4DDB" w:rsidP="0006697A">
            <w:pPr>
              <w:rPr>
                <w:rFonts w:ascii="Calibri" w:hAnsi="Calibri"/>
              </w:rPr>
            </w:pPr>
            <w:r>
              <w:rPr>
                <w:rFonts w:ascii="Calibri" w:hAnsi="Calibri"/>
                <w:szCs w:val="22"/>
              </w:rPr>
              <w:t> </w:t>
            </w:r>
          </w:p>
        </w:tc>
      </w:tr>
      <w:tr w:rsidR="006F4DDB" w:rsidRPr="0069551D" w:rsidTr="0006697A">
        <w:trPr>
          <w:trHeight w:val="1845"/>
        </w:trPr>
        <w:tc>
          <w:tcPr>
            <w:tcW w:w="1620" w:type="dxa"/>
            <w:tcBorders>
              <w:top w:val="single" w:sz="4" w:space="0" w:color="auto"/>
              <w:left w:val="single" w:sz="4" w:space="0" w:color="auto"/>
              <w:bottom w:val="single" w:sz="4" w:space="0" w:color="auto"/>
              <w:right w:val="single" w:sz="4" w:space="0" w:color="auto"/>
            </w:tcBorders>
            <w:shd w:val="clear" w:color="auto" w:fill="CCFFFF"/>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EAN</w:t>
            </w:r>
          </w:p>
        </w:tc>
        <w:tc>
          <w:tcPr>
            <w:tcW w:w="788" w:type="dxa"/>
            <w:tcBorders>
              <w:top w:val="single" w:sz="4" w:space="0" w:color="auto"/>
              <w:left w:val="nil"/>
              <w:bottom w:val="single" w:sz="4" w:space="0" w:color="auto"/>
              <w:right w:val="single" w:sz="4" w:space="0" w:color="auto"/>
            </w:tcBorders>
            <w:shd w:val="clear" w:color="auto" w:fill="CCFFFF"/>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ulice</w:t>
            </w:r>
          </w:p>
        </w:tc>
        <w:tc>
          <w:tcPr>
            <w:tcW w:w="472" w:type="dxa"/>
            <w:tcBorders>
              <w:top w:val="single" w:sz="4" w:space="0" w:color="auto"/>
              <w:left w:val="nil"/>
              <w:bottom w:val="single" w:sz="4" w:space="0" w:color="auto"/>
              <w:right w:val="single" w:sz="4" w:space="0" w:color="auto"/>
            </w:tcBorders>
            <w:shd w:val="clear" w:color="auto" w:fill="CCFFFF"/>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č.p.</w:t>
            </w:r>
          </w:p>
        </w:tc>
        <w:tc>
          <w:tcPr>
            <w:tcW w:w="540" w:type="dxa"/>
            <w:tcBorders>
              <w:top w:val="single" w:sz="4" w:space="0" w:color="auto"/>
              <w:left w:val="nil"/>
              <w:bottom w:val="single" w:sz="4" w:space="0" w:color="auto"/>
              <w:right w:val="single" w:sz="4" w:space="0" w:color="auto"/>
            </w:tcBorders>
            <w:shd w:val="clear" w:color="auto" w:fill="CCFFFF"/>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PSČ</w:t>
            </w:r>
          </w:p>
        </w:tc>
        <w:tc>
          <w:tcPr>
            <w:tcW w:w="788" w:type="dxa"/>
            <w:tcBorders>
              <w:top w:val="single" w:sz="4" w:space="0" w:color="auto"/>
              <w:left w:val="nil"/>
              <w:bottom w:val="single" w:sz="4" w:space="0" w:color="auto"/>
              <w:right w:val="single" w:sz="4" w:space="0" w:color="auto"/>
            </w:tcBorders>
            <w:shd w:val="clear" w:color="auto" w:fill="CCFFFF"/>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město</w:t>
            </w:r>
          </w:p>
        </w:tc>
        <w:tc>
          <w:tcPr>
            <w:tcW w:w="832" w:type="dxa"/>
            <w:tcBorders>
              <w:top w:val="nil"/>
              <w:left w:val="nil"/>
              <w:bottom w:val="single" w:sz="4" w:space="0" w:color="auto"/>
              <w:right w:val="single" w:sz="4" w:space="0" w:color="auto"/>
            </w:tcBorders>
            <w:shd w:val="clear" w:color="auto" w:fill="CCFFFF"/>
            <w:vAlign w:val="center"/>
          </w:tcPr>
          <w:p w:rsidR="006F4DDB" w:rsidRPr="0069551D" w:rsidRDefault="006F4DDB" w:rsidP="0006697A">
            <w:pPr>
              <w:jc w:val="center"/>
              <w:rPr>
                <w:rFonts w:ascii="Calibri" w:hAnsi="Calibri"/>
                <w:sz w:val="18"/>
                <w:szCs w:val="18"/>
              </w:rPr>
            </w:pPr>
            <w:r w:rsidRPr="0069551D">
              <w:rPr>
                <w:rFonts w:ascii="Calibri" w:hAnsi="Calibri"/>
                <w:sz w:val="18"/>
                <w:szCs w:val="18"/>
              </w:rPr>
              <w:t>počet fází    + hodnota jističe (A)</w:t>
            </w:r>
          </w:p>
        </w:tc>
        <w:tc>
          <w:tcPr>
            <w:tcW w:w="949" w:type="dxa"/>
            <w:tcBorders>
              <w:top w:val="nil"/>
              <w:left w:val="nil"/>
              <w:bottom w:val="single" w:sz="4" w:space="0" w:color="auto"/>
              <w:right w:val="single" w:sz="4" w:space="0" w:color="auto"/>
            </w:tcBorders>
            <w:shd w:val="clear" w:color="auto" w:fill="CCFFFF"/>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distribuční sazba</w:t>
            </w:r>
          </w:p>
        </w:tc>
        <w:tc>
          <w:tcPr>
            <w:tcW w:w="671" w:type="dxa"/>
            <w:tcBorders>
              <w:top w:val="nil"/>
              <w:left w:val="nil"/>
              <w:bottom w:val="single" w:sz="4" w:space="0" w:color="auto"/>
              <w:right w:val="single" w:sz="4" w:space="0" w:color="auto"/>
            </w:tcBorders>
            <w:shd w:val="clear" w:color="auto" w:fill="CCFFFF"/>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bezpečnostní minimum (jistič nad 200 A)</w:t>
            </w:r>
          </w:p>
        </w:tc>
        <w:tc>
          <w:tcPr>
            <w:tcW w:w="720" w:type="dxa"/>
            <w:tcBorders>
              <w:top w:val="nil"/>
              <w:left w:val="nil"/>
              <w:bottom w:val="single" w:sz="4" w:space="0" w:color="auto"/>
              <w:right w:val="single" w:sz="4" w:space="0" w:color="auto"/>
            </w:tcBorders>
            <w:shd w:val="clear" w:color="auto" w:fill="CCFFFF"/>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výrobce (ANO x NE)                       I. nebo II. kategorie</w:t>
            </w:r>
          </w:p>
        </w:tc>
        <w:tc>
          <w:tcPr>
            <w:tcW w:w="720" w:type="dxa"/>
            <w:tcBorders>
              <w:top w:val="nil"/>
              <w:left w:val="nil"/>
              <w:bottom w:val="single" w:sz="4" w:space="0" w:color="auto"/>
              <w:right w:val="single" w:sz="4" w:space="0" w:color="auto"/>
            </w:tcBorders>
            <w:shd w:val="clear" w:color="auto" w:fill="CCFFFF"/>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spotřeba VT (MWh)</w:t>
            </w:r>
          </w:p>
        </w:tc>
        <w:tc>
          <w:tcPr>
            <w:tcW w:w="720" w:type="dxa"/>
            <w:tcBorders>
              <w:top w:val="nil"/>
              <w:left w:val="nil"/>
              <w:bottom w:val="single" w:sz="4" w:space="0" w:color="auto"/>
              <w:right w:val="single" w:sz="4" w:space="0" w:color="auto"/>
            </w:tcBorders>
            <w:shd w:val="clear" w:color="auto" w:fill="CCFFFF"/>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spotřeba NT (MWh)</w:t>
            </w:r>
          </w:p>
        </w:tc>
        <w:tc>
          <w:tcPr>
            <w:tcW w:w="900" w:type="dxa"/>
            <w:tcBorders>
              <w:top w:val="single" w:sz="4" w:space="0" w:color="auto"/>
              <w:left w:val="nil"/>
              <w:bottom w:val="single" w:sz="4" w:space="0" w:color="auto"/>
              <w:right w:val="single" w:sz="4" w:space="0" w:color="auto"/>
            </w:tcBorders>
            <w:shd w:val="clear" w:color="auto" w:fill="CCFFFF"/>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Vypovídá AM? (ANO/NE)</w:t>
            </w:r>
          </w:p>
        </w:tc>
        <w:tc>
          <w:tcPr>
            <w:tcW w:w="900" w:type="dxa"/>
            <w:tcBorders>
              <w:top w:val="single" w:sz="4" w:space="0" w:color="auto"/>
              <w:left w:val="nil"/>
              <w:bottom w:val="single" w:sz="4" w:space="0" w:color="auto"/>
              <w:right w:val="single" w:sz="4" w:space="0" w:color="auto"/>
            </w:tcBorders>
            <w:shd w:val="clear" w:color="auto" w:fill="CCFFFF"/>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předpokládané zahájení dodávky</w:t>
            </w:r>
          </w:p>
        </w:tc>
        <w:tc>
          <w:tcPr>
            <w:tcW w:w="720" w:type="dxa"/>
            <w:tcBorders>
              <w:top w:val="single" w:sz="4" w:space="0" w:color="auto"/>
              <w:left w:val="nil"/>
              <w:bottom w:val="single" w:sz="4" w:space="0" w:color="auto"/>
              <w:right w:val="single" w:sz="4" w:space="0" w:color="auto"/>
            </w:tcBorders>
            <w:shd w:val="clear" w:color="auto" w:fill="CCFFFF"/>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skupinová fakturace*</w:t>
            </w:r>
          </w:p>
        </w:tc>
      </w:tr>
      <w:tr w:rsidR="006F4DDB" w:rsidRPr="0069551D" w:rsidTr="0006697A">
        <w:trPr>
          <w:trHeight w:val="855"/>
        </w:trPr>
        <w:tc>
          <w:tcPr>
            <w:tcW w:w="1620" w:type="dxa"/>
            <w:tcBorders>
              <w:top w:val="nil"/>
              <w:left w:val="single" w:sz="4" w:space="0" w:color="auto"/>
              <w:bottom w:val="single" w:sz="4" w:space="0" w:color="auto"/>
              <w:right w:val="single" w:sz="4" w:space="0" w:color="auto"/>
            </w:tcBorders>
            <w:vAlign w:val="bottom"/>
          </w:tcPr>
          <w:p w:rsidR="006F4DDB" w:rsidRPr="0069551D" w:rsidRDefault="006F4DDB" w:rsidP="0006697A">
            <w:pPr>
              <w:jc w:val="center"/>
              <w:rPr>
                <w:rFonts w:ascii="Calibri" w:hAnsi="Calibri"/>
                <w:sz w:val="18"/>
                <w:szCs w:val="18"/>
              </w:rPr>
            </w:pPr>
            <w:r>
              <w:rPr>
                <w:rFonts w:ascii="Calibri" w:hAnsi="Calibri"/>
                <w:sz w:val="18"/>
                <w:szCs w:val="18"/>
              </w:rPr>
              <w:t>859182400601670959</w:t>
            </w:r>
          </w:p>
        </w:tc>
        <w:tc>
          <w:tcPr>
            <w:tcW w:w="788" w:type="dxa"/>
            <w:tcBorders>
              <w:top w:val="nil"/>
              <w:left w:val="nil"/>
              <w:bottom w:val="single" w:sz="4" w:space="0" w:color="auto"/>
              <w:right w:val="single" w:sz="4" w:space="0" w:color="auto"/>
            </w:tcBorders>
            <w:vAlign w:val="bottom"/>
          </w:tcPr>
          <w:p w:rsidR="006F4DDB" w:rsidRPr="0069551D" w:rsidRDefault="006F4DDB" w:rsidP="0006697A">
            <w:pPr>
              <w:jc w:val="center"/>
              <w:rPr>
                <w:rFonts w:ascii="Calibri" w:hAnsi="Calibri"/>
                <w:sz w:val="18"/>
                <w:szCs w:val="18"/>
              </w:rPr>
            </w:pPr>
            <w:r>
              <w:rPr>
                <w:rFonts w:ascii="Calibri" w:hAnsi="Calibri"/>
                <w:sz w:val="18"/>
                <w:szCs w:val="18"/>
              </w:rPr>
              <w:t>Mládežnická</w:t>
            </w:r>
          </w:p>
        </w:tc>
        <w:tc>
          <w:tcPr>
            <w:tcW w:w="472" w:type="dxa"/>
            <w:tcBorders>
              <w:top w:val="nil"/>
              <w:left w:val="nil"/>
              <w:bottom w:val="single" w:sz="4" w:space="0" w:color="auto"/>
              <w:right w:val="single" w:sz="4" w:space="0" w:color="auto"/>
            </w:tcBorders>
            <w:noWrap/>
            <w:vAlign w:val="bottom"/>
          </w:tcPr>
          <w:p w:rsidR="006F4DDB" w:rsidRPr="0069551D" w:rsidRDefault="006F4DDB" w:rsidP="0006697A">
            <w:pPr>
              <w:jc w:val="center"/>
              <w:rPr>
                <w:rFonts w:ascii="Calibri" w:hAnsi="Calibri"/>
                <w:sz w:val="18"/>
                <w:szCs w:val="18"/>
              </w:rPr>
            </w:pPr>
            <w:r>
              <w:rPr>
                <w:rFonts w:ascii="Calibri" w:hAnsi="Calibri"/>
                <w:sz w:val="18"/>
                <w:szCs w:val="18"/>
              </w:rPr>
              <w:t>984</w:t>
            </w:r>
          </w:p>
        </w:tc>
        <w:tc>
          <w:tcPr>
            <w:tcW w:w="540" w:type="dxa"/>
            <w:tcBorders>
              <w:top w:val="nil"/>
              <w:left w:val="nil"/>
              <w:bottom w:val="single" w:sz="4" w:space="0" w:color="auto"/>
              <w:right w:val="single" w:sz="4" w:space="0" w:color="auto"/>
            </w:tcBorders>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27711</w:t>
            </w:r>
          </w:p>
        </w:tc>
        <w:tc>
          <w:tcPr>
            <w:tcW w:w="788" w:type="dxa"/>
            <w:tcBorders>
              <w:top w:val="nil"/>
              <w:left w:val="nil"/>
              <w:bottom w:val="single" w:sz="4" w:space="0" w:color="auto"/>
              <w:right w:val="single" w:sz="4" w:space="0" w:color="auto"/>
            </w:tcBorders>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Neratovice</w:t>
            </w:r>
          </w:p>
        </w:tc>
        <w:tc>
          <w:tcPr>
            <w:tcW w:w="832" w:type="dxa"/>
            <w:tcBorders>
              <w:top w:val="nil"/>
              <w:left w:val="nil"/>
              <w:bottom w:val="single" w:sz="4" w:space="0" w:color="auto"/>
              <w:right w:val="single" w:sz="4" w:space="0" w:color="auto"/>
            </w:tcBorders>
            <w:noWrap/>
            <w:vAlign w:val="bottom"/>
          </w:tcPr>
          <w:p w:rsidR="006F4DDB" w:rsidRPr="0069551D" w:rsidRDefault="006F4DDB" w:rsidP="0006697A">
            <w:pPr>
              <w:jc w:val="center"/>
              <w:rPr>
                <w:rFonts w:ascii="Calibri" w:hAnsi="Calibri"/>
                <w:sz w:val="18"/>
                <w:szCs w:val="18"/>
              </w:rPr>
            </w:pPr>
            <w:r>
              <w:rPr>
                <w:rFonts w:ascii="Calibri" w:hAnsi="Calibri"/>
                <w:sz w:val="18"/>
                <w:szCs w:val="18"/>
              </w:rPr>
              <w:t>3x120</w:t>
            </w:r>
          </w:p>
        </w:tc>
        <w:tc>
          <w:tcPr>
            <w:tcW w:w="949" w:type="dxa"/>
            <w:tcBorders>
              <w:top w:val="nil"/>
              <w:left w:val="nil"/>
              <w:bottom w:val="single" w:sz="4" w:space="0" w:color="auto"/>
              <w:right w:val="single" w:sz="4" w:space="0" w:color="auto"/>
            </w:tcBorders>
            <w:noWrap/>
            <w:vAlign w:val="bottom"/>
          </w:tcPr>
          <w:p w:rsidR="006F4DDB" w:rsidRPr="0069551D" w:rsidRDefault="006F4DDB" w:rsidP="0006697A">
            <w:pPr>
              <w:jc w:val="center"/>
              <w:rPr>
                <w:rFonts w:ascii="Calibri" w:hAnsi="Calibri"/>
                <w:sz w:val="18"/>
                <w:szCs w:val="18"/>
              </w:rPr>
            </w:pPr>
            <w:r>
              <w:rPr>
                <w:rFonts w:ascii="Calibri" w:hAnsi="Calibri"/>
                <w:sz w:val="18"/>
                <w:szCs w:val="18"/>
              </w:rPr>
              <w:t>C2dd</w:t>
            </w:r>
          </w:p>
        </w:tc>
        <w:tc>
          <w:tcPr>
            <w:tcW w:w="671" w:type="dxa"/>
            <w:tcBorders>
              <w:top w:val="nil"/>
              <w:left w:val="nil"/>
              <w:bottom w:val="single" w:sz="4" w:space="0" w:color="auto"/>
              <w:right w:val="single" w:sz="4" w:space="0" w:color="auto"/>
            </w:tcBorders>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 </w:t>
            </w:r>
          </w:p>
        </w:tc>
        <w:tc>
          <w:tcPr>
            <w:tcW w:w="720" w:type="dxa"/>
            <w:tcBorders>
              <w:top w:val="nil"/>
              <w:left w:val="nil"/>
              <w:bottom w:val="single" w:sz="4" w:space="0" w:color="auto"/>
              <w:right w:val="single" w:sz="4" w:space="0" w:color="auto"/>
            </w:tcBorders>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 </w:t>
            </w:r>
          </w:p>
        </w:tc>
        <w:tc>
          <w:tcPr>
            <w:tcW w:w="720" w:type="dxa"/>
            <w:tcBorders>
              <w:top w:val="nil"/>
              <w:left w:val="nil"/>
              <w:bottom w:val="single" w:sz="4" w:space="0" w:color="auto"/>
              <w:right w:val="single" w:sz="4" w:space="0" w:color="auto"/>
            </w:tcBorders>
            <w:noWrap/>
            <w:vAlign w:val="bottom"/>
          </w:tcPr>
          <w:p w:rsidR="006F4DDB" w:rsidRPr="0069551D" w:rsidRDefault="006F4DDB" w:rsidP="0006697A">
            <w:pPr>
              <w:jc w:val="right"/>
              <w:rPr>
                <w:rFonts w:ascii="Calibri" w:hAnsi="Calibri"/>
                <w:sz w:val="18"/>
                <w:szCs w:val="18"/>
              </w:rPr>
            </w:pPr>
            <w:r>
              <w:rPr>
                <w:rFonts w:ascii="Calibri" w:hAnsi="Calibri"/>
                <w:sz w:val="18"/>
                <w:szCs w:val="18"/>
              </w:rPr>
              <w:t>14.00</w:t>
            </w:r>
          </w:p>
        </w:tc>
        <w:tc>
          <w:tcPr>
            <w:tcW w:w="720" w:type="dxa"/>
            <w:tcBorders>
              <w:top w:val="nil"/>
              <w:left w:val="nil"/>
              <w:bottom w:val="single" w:sz="4" w:space="0" w:color="auto"/>
              <w:right w:val="single" w:sz="4" w:space="0" w:color="auto"/>
            </w:tcBorders>
            <w:noWrap/>
            <w:vAlign w:val="bottom"/>
          </w:tcPr>
          <w:p w:rsidR="006F4DDB" w:rsidRPr="0069551D" w:rsidRDefault="006F4DDB" w:rsidP="0006697A">
            <w:pPr>
              <w:jc w:val="right"/>
              <w:rPr>
                <w:rFonts w:ascii="Calibri" w:hAnsi="Calibri"/>
                <w:sz w:val="18"/>
                <w:szCs w:val="18"/>
              </w:rPr>
            </w:pPr>
            <w:r>
              <w:rPr>
                <w:rFonts w:ascii="Calibri" w:hAnsi="Calibri"/>
                <w:sz w:val="18"/>
                <w:szCs w:val="18"/>
              </w:rPr>
              <w:t>7.00</w:t>
            </w:r>
          </w:p>
        </w:tc>
        <w:tc>
          <w:tcPr>
            <w:tcW w:w="900" w:type="dxa"/>
            <w:tcBorders>
              <w:top w:val="nil"/>
              <w:left w:val="nil"/>
              <w:bottom w:val="single" w:sz="4" w:space="0" w:color="auto"/>
              <w:right w:val="single" w:sz="4" w:space="0" w:color="auto"/>
            </w:tcBorders>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 xml:space="preserve">Ne </w:t>
            </w:r>
          </w:p>
        </w:tc>
        <w:tc>
          <w:tcPr>
            <w:tcW w:w="900" w:type="dxa"/>
            <w:tcBorders>
              <w:top w:val="nil"/>
              <w:left w:val="nil"/>
              <w:bottom w:val="single" w:sz="4" w:space="0" w:color="auto"/>
              <w:right w:val="single" w:sz="4" w:space="0" w:color="auto"/>
            </w:tcBorders>
            <w:noWrap/>
            <w:vAlign w:val="bottom"/>
          </w:tcPr>
          <w:p w:rsidR="006F4DDB" w:rsidRPr="0069551D" w:rsidRDefault="006F4DDB" w:rsidP="0006697A">
            <w:pPr>
              <w:jc w:val="center"/>
              <w:rPr>
                <w:rFonts w:ascii="Calibri" w:hAnsi="Calibri"/>
                <w:sz w:val="18"/>
                <w:szCs w:val="18"/>
              </w:rPr>
            </w:pPr>
            <w:r w:rsidRPr="0069551D">
              <w:rPr>
                <w:rFonts w:ascii="Calibri" w:hAnsi="Calibri"/>
                <w:sz w:val="18"/>
                <w:szCs w:val="18"/>
              </w:rPr>
              <w:t>1.1.2016</w:t>
            </w:r>
          </w:p>
        </w:tc>
        <w:tc>
          <w:tcPr>
            <w:tcW w:w="720" w:type="dxa"/>
            <w:tcBorders>
              <w:top w:val="nil"/>
              <w:left w:val="nil"/>
              <w:bottom w:val="single" w:sz="4" w:space="0" w:color="auto"/>
              <w:right w:val="single" w:sz="4" w:space="0" w:color="auto"/>
            </w:tcBorders>
            <w:noWrap/>
            <w:vAlign w:val="bottom"/>
          </w:tcPr>
          <w:p w:rsidR="006F4DDB" w:rsidRPr="0069551D" w:rsidRDefault="006F4DDB" w:rsidP="0006697A">
            <w:pPr>
              <w:rPr>
                <w:rFonts w:ascii="Calibri" w:hAnsi="Calibri"/>
                <w:sz w:val="18"/>
                <w:szCs w:val="18"/>
              </w:rPr>
            </w:pPr>
            <w:r w:rsidRPr="0069551D">
              <w:rPr>
                <w:rFonts w:ascii="Calibri" w:hAnsi="Calibri"/>
                <w:sz w:val="18"/>
                <w:szCs w:val="18"/>
              </w:rPr>
              <w:t> </w:t>
            </w:r>
          </w:p>
        </w:tc>
      </w:tr>
      <w:tr w:rsidR="006F4DDB" w:rsidTr="0006697A">
        <w:trPr>
          <w:trHeight w:val="300"/>
        </w:trPr>
        <w:tc>
          <w:tcPr>
            <w:tcW w:w="1620" w:type="dxa"/>
            <w:tcBorders>
              <w:top w:val="nil"/>
              <w:left w:val="single" w:sz="4" w:space="0" w:color="auto"/>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788"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472"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540"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788"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832"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949"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671"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720"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720" w:type="dxa"/>
            <w:tcBorders>
              <w:top w:val="nil"/>
              <w:left w:val="nil"/>
              <w:bottom w:val="single" w:sz="4" w:space="0" w:color="auto"/>
              <w:right w:val="single" w:sz="4" w:space="0" w:color="auto"/>
            </w:tcBorders>
            <w:noWrap/>
            <w:vAlign w:val="bottom"/>
          </w:tcPr>
          <w:p w:rsidR="006F4DDB" w:rsidRDefault="006F4DDB" w:rsidP="0006697A">
            <w:pPr>
              <w:jc w:val="right"/>
              <w:rPr>
                <w:rFonts w:ascii="Calibri" w:hAnsi="Calibri"/>
              </w:rPr>
            </w:pPr>
            <w:r>
              <w:rPr>
                <w:rFonts w:ascii="Calibri" w:hAnsi="Calibri"/>
                <w:szCs w:val="22"/>
              </w:rPr>
              <w:t> </w:t>
            </w:r>
          </w:p>
        </w:tc>
        <w:tc>
          <w:tcPr>
            <w:tcW w:w="720" w:type="dxa"/>
            <w:tcBorders>
              <w:top w:val="nil"/>
              <w:left w:val="nil"/>
              <w:bottom w:val="single" w:sz="4" w:space="0" w:color="auto"/>
              <w:right w:val="single" w:sz="4" w:space="0" w:color="auto"/>
            </w:tcBorders>
            <w:noWrap/>
            <w:vAlign w:val="bottom"/>
          </w:tcPr>
          <w:p w:rsidR="006F4DDB" w:rsidRDefault="006F4DDB" w:rsidP="0006697A">
            <w:pPr>
              <w:jc w:val="right"/>
              <w:rPr>
                <w:rFonts w:ascii="Calibri" w:hAnsi="Calibri"/>
              </w:rPr>
            </w:pPr>
            <w:r>
              <w:rPr>
                <w:rFonts w:ascii="Calibri" w:hAnsi="Calibri"/>
                <w:szCs w:val="22"/>
              </w:rPr>
              <w:t> </w:t>
            </w:r>
          </w:p>
        </w:tc>
        <w:tc>
          <w:tcPr>
            <w:tcW w:w="900"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900"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c>
          <w:tcPr>
            <w:tcW w:w="720" w:type="dxa"/>
            <w:tcBorders>
              <w:top w:val="nil"/>
              <w:left w:val="nil"/>
              <w:bottom w:val="single" w:sz="4" w:space="0" w:color="auto"/>
              <w:right w:val="single" w:sz="4" w:space="0" w:color="auto"/>
            </w:tcBorders>
            <w:noWrap/>
            <w:vAlign w:val="bottom"/>
          </w:tcPr>
          <w:p w:rsidR="006F4DDB" w:rsidRDefault="006F4DDB" w:rsidP="0006697A">
            <w:pPr>
              <w:jc w:val="center"/>
              <w:rPr>
                <w:rFonts w:ascii="Calibri" w:hAnsi="Calibri"/>
              </w:rPr>
            </w:pPr>
            <w:r>
              <w:rPr>
                <w:rFonts w:ascii="Calibri" w:hAnsi="Calibri"/>
                <w:szCs w:val="22"/>
              </w:rPr>
              <w:t> </w:t>
            </w:r>
          </w:p>
        </w:tc>
      </w:tr>
      <w:tr w:rsidR="006F4DDB" w:rsidTr="0006697A">
        <w:trPr>
          <w:trHeight w:val="300"/>
        </w:trPr>
        <w:tc>
          <w:tcPr>
            <w:tcW w:w="1620" w:type="dxa"/>
            <w:tcBorders>
              <w:top w:val="nil"/>
              <w:left w:val="nil"/>
              <w:bottom w:val="nil"/>
              <w:right w:val="nil"/>
            </w:tcBorders>
            <w:noWrap/>
            <w:vAlign w:val="bottom"/>
          </w:tcPr>
          <w:p w:rsidR="006F4DDB" w:rsidRDefault="006F4DDB" w:rsidP="0006697A">
            <w:pPr>
              <w:rPr>
                <w:rFonts w:ascii="Calibri" w:hAnsi="Calibri"/>
              </w:rPr>
            </w:pPr>
          </w:p>
        </w:tc>
        <w:tc>
          <w:tcPr>
            <w:tcW w:w="788" w:type="dxa"/>
            <w:tcBorders>
              <w:top w:val="nil"/>
              <w:left w:val="nil"/>
              <w:bottom w:val="nil"/>
              <w:right w:val="nil"/>
            </w:tcBorders>
            <w:noWrap/>
            <w:vAlign w:val="bottom"/>
          </w:tcPr>
          <w:p w:rsidR="006F4DDB" w:rsidRDefault="006F4DDB" w:rsidP="0006697A">
            <w:pPr>
              <w:rPr>
                <w:rFonts w:ascii="Calibri" w:hAnsi="Calibri"/>
              </w:rPr>
            </w:pPr>
          </w:p>
        </w:tc>
        <w:tc>
          <w:tcPr>
            <w:tcW w:w="472" w:type="dxa"/>
            <w:tcBorders>
              <w:top w:val="nil"/>
              <w:left w:val="nil"/>
              <w:bottom w:val="nil"/>
              <w:right w:val="nil"/>
            </w:tcBorders>
            <w:noWrap/>
            <w:vAlign w:val="bottom"/>
          </w:tcPr>
          <w:p w:rsidR="006F4DDB" w:rsidRDefault="006F4DDB" w:rsidP="0006697A">
            <w:pPr>
              <w:rPr>
                <w:rFonts w:ascii="Calibri" w:hAnsi="Calibri"/>
              </w:rPr>
            </w:pPr>
          </w:p>
        </w:tc>
        <w:tc>
          <w:tcPr>
            <w:tcW w:w="540" w:type="dxa"/>
            <w:tcBorders>
              <w:top w:val="nil"/>
              <w:left w:val="nil"/>
              <w:bottom w:val="nil"/>
              <w:right w:val="nil"/>
            </w:tcBorders>
            <w:noWrap/>
            <w:vAlign w:val="bottom"/>
          </w:tcPr>
          <w:p w:rsidR="006F4DDB" w:rsidRDefault="006F4DDB" w:rsidP="0006697A">
            <w:pPr>
              <w:rPr>
                <w:rFonts w:ascii="Calibri" w:hAnsi="Calibri"/>
              </w:rPr>
            </w:pPr>
          </w:p>
        </w:tc>
        <w:tc>
          <w:tcPr>
            <w:tcW w:w="788" w:type="dxa"/>
            <w:tcBorders>
              <w:top w:val="nil"/>
              <w:left w:val="nil"/>
              <w:bottom w:val="nil"/>
              <w:right w:val="nil"/>
            </w:tcBorders>
            <w:noWrap/>
            <w:vAlign w:val="bottom"/>
          </w:tcPr>
          <w:p w:rsidR="006F4DDB" w:rsidRDefault="006F4DDB" w:rsidP="0006697A">
            <w:pPr>
              <w:rPr>
                <w:rFonts w:ascii="Calibri" w:hAnsi="Calibri"/>
              </w:rPr>
            </w:pPr>
          </w:p>
        </w:tc>
        <w:tc>
          <w:tcPr>
            <w:tcW w:w="832" w:type="dxa"/>
            <w:tcBorders>
              <w:top w:val="nil"/>
              <w:left w:val="nil"/>
              <w:bottom w:val="nil"/>
              <w:right w:val="nil"/>
            </w:tcBorders>
            <w:noWrap/>
            <w:vAlign w:val="bottom"/>
          </w:tcPr>
          <w:p w:rsidR="006F4DDB" w:rsidRDefault="006F4DDB" w:rsidP="0006697A">
            <w:pPr>
              <w:rPr>
                <w:rFonts w:ascii="Calibri" w:hAnsi="Calibri"/>
              </w:rPr>
            </w:pPr>
          </w:p>
        </w:tc>
        <w:tc>
          <w:tcPr>
            <w:tcW w:w="949" w:type="dxa"/>
            <w:tcBorders>
              <w:top w:val="nil"/>
              <w:left w:val="nil"/>
              <w:bottom w:val="nil"/>
              <w:right w:val="nil"/>
            </w:tcBorders>
            <w:noWrap/>
            <w:vAlign w:val="bottom"/>
          </w:tcPr>
          <w:p w:rsidR="006F4DDB" w:rsidRDefault="006F4DDB" w:rsidP="0006697A">
            <w:pPr>
              <w:rPr>
                <w:rFonts w:ascii="Calibri" w:hAnsi="Calibri"/>
              </w:rPr>
            </w:pPr>
          </w:p>
        </w:tc>
        <w:tc>
          <w:tcPr>
            <w:tcW w:w="671" w:type="dxa"/>
            <w:tcBorders>
              <w:top w:val="nil"/>
              <w:left w:val="nil"/>
              <w:bottom w:val="nil"/>
              <w:right w:val="nil"/>
            </w:tcBorders>
            <w:noWrap/>
            <w:vAlign w:val="bottom"/>
          </w:tcPr>
          <w:p w:rsidR="006F4DDB" w:rsidRDefault="006F4DDB" w:rsidP="0006697A">
            <w:pPr>
              <w:rPr>
                <w:rFonts w:ascii="Calibri" w:hAnsi="Calibri"/>
              </w:rPr>
            </w:pPr>
          </w:p>
        </w:tc>
        <w:tc>
          <w:tcPr>
            <w:tcW w:w="720" w:type="dxa"/>
            <w:tcBorders>
              <w:top w:val="nil"/>
              <w:left w:val="nil"/>
              <w:bottom w:val="nil"/>
              <w:right w:val="nil"/>
            </w:tcBorders>
            <w:noWrap/>
            <w:vAlign w:val="bottom"/>
          </w:tcPr>
          <w:p w:rsidR="006F4DDB" w:rsidRDefault="006F4DDB" w:rsidP="0006697A">
            <w:pPr>
              <w:rPr>
                <w:rFonts w:ascii="Calibri" w:hAnsi="Calibri"/>
              </w:rPr>
            </w:pPr>
          </w:p>
        </w:tc>
        <w:tc>
          <w:tcPr>
            <w:tcW w:w="720" w:type="dxa"/>
            <w:tcBorders>
              <w:top w:val="nil"/>
              <w:left w:val="nil"/>
              <w:bottom w:val="nil"/>
              <w:right w:val="nil"/>
            </w:tcBorders>
            <w:noWrap/>
            <w:vAlign w:val="bottom"/>
          </w:tcPr>
          <w:p w:rsidR="006F4DDB" w:rsidRDefault="006F4DDB" w:rsidP="0006697A">
            <w:pPr>
              <w:rPr>
                <w:rFonts w:ascii="Calibri" w:hAnsi="Calibri"/>
                <w:b/>
                <w:bCs/>
                <w:i/>
                <w:iCs/>
              </w:rPr>
            </w:pPr>
          </w:p>
        </w:tc>
        <w:tc>
          <w:tcPr>
            <w:tcW w:w="720" w:type="dxa"/>
            <w:tcBorders>
              <w:top w:val="nil"/>
              <w:left w:val="nil"/>
              <w:bottom w:val="nil"/>
              <w:right w:val="nil"/>
            </w:tcBorders>
            <w:noWrap/>
            <w:vAlign w:val="bottom"/>
          </w:tcPr>
          <w:p w:rsidR="006F4DDB" w:rsidRDefault="006F4DDB" w:rsidP="0006697A">
            <w:pPr>
              <w:jc w:val="center"/>
              <w:rPr>
                <w:rFonts w:ascii="Calibri" w:hAnsi="Calibri"/>
                <w:b/>
                <w:bCs/>
                <w:i/>
                <w:iCs/>
              </w:rPr>
            </w:pPr>
          </w:p>
        </w:tc>
        <w:tc>
          <w:tcPr>
            <w:tcW w:w="900" w:type="dxa"/>
            <w:tcBorders>
              <w:top w:val="nil"/>
              <w:left w:val="nil"/>
              <w:bottom w:val="nil"/>
              <w:right w:val="nil"/>
            </w:tcBorders>
            <w:noWrap/>
            <w:vAlign w:val="bottom"/>
          </w:tcPr>
          <w:p w:rsidR="006F4DDB" w:rsidRDefault="006F4DDB" w:rsidP="0006697A">
            <w:pPr>
              <w:rPr>
                <w:rFonts w:ascii="Calibri" w:hAnsi="Calibri"/>
              </w:rPr>
            </w:pPr>
          </w:p>
        </w:tc>
        <w:tc>
          <w:tcPr>
            <w:tcW w:w="900" w:type="dxa"/>
            <w:tcBorders>
              <w:top w:val="nil"/>
              <w:left w:val="nil"/>
              <w:bottom w:val="nil"/>
              <w:right w:val="nil"/>
            </w:tcBorders>
            <w:noWrap/>
            <w:vAlign w:val="bottom"/>
          </w:tcPr>
          <w:p w:rsidR="006F4DDB" w:rsidRDefault="006F4DDB" w:rsidP="0006697A">
            <w:pPr>
              <w:rPr>
                <w:rFonts w:ascii="Calibri" w:hAnsi="Calibri"/>
              </w:rPr>
            </w:pPr>
          </w:p>
        </w:tc>
        <w:tc>
          <w:tcPr>
            <w:tcW w:w="720" w:type="dxa"/>
            <w:tcBorders>
              <w:top w:val="nil"/>
              <w:left w:val="nil"/>
              <w:bottom w:val="nil"/>
              <w:right w:val="nil"/>
            </w:tcBorders>
            <w:noWrap/>
            <w:vAlign w:val="bottom"/>
          </w:tcPr>
          <w:p w:rsidR="006F4DDB" w:rsidRDefault="006F4DDB" w:rsidP="0006697A">
            <w:pPr>
              <w:rPr>
                <w:rFonts w:ascii="Calibri" w:hAnsi="Calibri"/>
              </w:rPr>
            </w:pPr>
          </w:p>
        </w:tc>
      </w:tr>
      <w:tr w:rsidR="006F4DDB" w:rsidTr="0006697A">
        <w:trPr>
          <w:trHeight w:val="300"/>
        </w:trPr>
        <w:tc>
          <w:tcPr>
            <w:tcW w:w="10620" w:type="dxa"/>
            <w:gridSpan w:val="13"/>
            <w:tcBorders>
              <w:top w:val="nil"/>
              <w:left w:val="nil"/>
              <w:bottom w:val="nil"/>
              <w:right w:val="nil"/>
            </w:tcBorders>
            <w:noWrap/>
            <w:vAlign w:val="bottom"/>
          </w:tcPr>
          <w:p w:rsidR="006F4DDB" w:rsidRDefault="006F4DDB" w:rsidP="0006697A">
            <w:pPr>
              <w:rPr>
                <w:rFonts w:ascii="Calibri" w:hAnsi="Calibri"/>
              </w:rPr>
            </w:pPr>
            <w:r>
              <w:rPr>
                <w:rFonts w:ascii="Calibri" w:hAnsi="Calibri"/>
                <w:szCs w:val="22"/>
              </w:rPr>
              <w:t>* Pokud je ve smlouvě dohodnutá skupinová fakturace, označte všechna OM jedné fakturační skupiny stejným číslem</w:t>
            </w:r>
          </w:p>
        </w:tc>
        <w:tc>
          <w:tcPr>
            <w:tcW w:w="720" w:type="dxa"/>
            <w:tcBorders>
              <w:top w:val="nil"/>
              <w:left w:val="nil"/>
              <w:bottom w:val="nil"/>
              <w:right w:val="nil"/>
            </w:tcBorders>
            <w:noWrap/>
            <w:vAlign w:val="bottom"/>
          </w:tcPr>
          <w:p w:rsidR="006F4DDB" w:rsidRDefault="006F4DDB" w:rsidP="0006697A">
            <w:pPr>
              <w:rPr>
                <w:rFonts w:ascii="Calibri" w:hAnsi="Calibri"/>
              </w:rPr>
            </w:pPr>
          </w:p>
        </w:tc>
      </w:tr>
    </w:tbl>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 w:val="28"/>
          <w:szCs w:val="28"/>
        </w:rPr>
      </w:pPr>
      <w:r>
        <w:rPr>
          <w:rFonts w:ascii="Calibri" w:hAnsi="Calibri"/>
          <w:b/>
          <w:color w:val="auto"/>
          <w:sz w:val="28"/>
          <w:szCs w:val="28"/>
        </w:rPr>
        <w:t>Dodatek</w:t>
      </w: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 w:val="28"/>
          <w:szCs w:val="28"/>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 w:val="28"/>
          <w:szCs w:val="28"/>
        </w:rPr>
      </w:pPr>
      <w:r>
        <w:rPr>
          <w:rFonts w:ascii="Calibri" w:hAnsi="Calibri"/>
          <w:b/>
          <w:color w:val="auto"/>
          <w:sz w:val="28"/>
          <w:szCs w:val="28"/>
        </w:rPr>
        <w:t>ke Smlouvě</w:t>
      </w:r>
      <w:r w:rsidRPr="00B37D8B">
        <w:rPr>
          <w:rFonts w:ascii="Calibri" w:hAnsi="Calibri"/>
          <w:b/>
          <w:color w:val="auto"/>
          <w:sz w:val="28"/>
          <w:szCs w:val="28"/>
        </w:rPr>
        <w:t xml:space="preserve"> o</w:t>
      </w:r>
      <w:r>
        <w:rPr>
          <w:rFonts w:ascii="Calibri" w:hAnsi="Calibri"/>
          <w:b/>
          <w:color w:val="auto"/>
          <w:sz w:val="28"/>
          <w:szCs w:val="28"/>
        </w:rPr>
        <w:t xml:space="preserve"> </w:t>
      </w:r>
      <w:r w:rsidRPr="00B37D8B">
        <w:rPr>
          <w:rFonts w:ascii="Calibri" w:hAnsi="Calibri"/>
          <w:b/>
          <w:color w:val="auto"/>
          <w:sz w:val="28"/>
          <w:szCs w:val="28"/>
        </w:rPr>
        <w:t xml:space="preserve">sdružených službách dodávky elektřiny pro hladinu </w:t>
      </w:r>
      <w:r>
        <w:rPr>
          <w:rFonts w:ascii="Calibri" w:hAnsi="Calibri"/>
          <w:b/>
          <w:color w:val="auto"/>
          <w:sz w:val="28"/>
          <w:szCs w:val="28"/>
        </w:rPr>
        <w:t>NN</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 w:val="28"/>
          <w:szCs w:val="28"/>
        </w:rPr>
      </w:pPr>
      <w:r>
        <w:rPr>
          <w:rFonts w:ascii="Calibri" w:hAnsi="Calibri"/>
          <w:b/>
          <w:color w:val="auto"/>
          <w:sz w:val="28"/>
          <w:szCs w:val="28"/>
        </w:rPr>
        <w:t>ze dne 11.12.2015</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 w:val="18"/>
          <w:szCs w:val="18"/>
        </w:rPr>
      </w:pPr>
      <w:r>
        <w:rPr>
          <w:rFonts w:ascii="Calibri" w:hAnsi="Calibri"/>
          <w:color w:val="auto"/>
          <w:sz w:val="18"/>
          <w:szCs w:val="18"/>
        </w:rPr>
        <w:t>uzavřené</w:t>
      </w:r>
      <w:r w:rsidRPr="00B37D8B">
        <w:rPr>
          <w:rFonts w:ascii="Calibri" w:hAnsi="Calibri"/>
          <w:color w:val="auto"/>
          <w:sz w:val="18"/>
          <w:szCs w:val="18"/>
        </w:rPr>
        <w:t xml:space="preserve"> dle ust. §</w:t>
      </w:r>
      <w:r>
        <w:rPr>
          <w:rFonts w:ascii="Calibri" w:hAnsi="Calibri"/>
          <w:color w:val="auto"/>
          <w:sz w:val="18"/>
          <w:szCs w:val="18"/>
        </w:rPr>
        <w:t xml:space="preserve"> 50 odst. 2 zákona č. 458/2000 S</w:t>
      </w:r>
      <w:r w:rsidRPr="00B37D8B">
        <w:rPr>
          <w:rFonts w:ascii="Calibri" w:hAnsi="Calibri"/>
          <w:color w:val="auto"/>
          <w:sz w:val="18"/>
          <w:szCs w:val="18"/>
        </w:rPr>
        <w:t>b., energetického zákona a ust. § 1746 odst. 2 zákona č. 89/2012 Sb., občanského zákoníku, v platném znění</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color w:val="auto"/>
          <w:szCs w:val="22"/>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r>
        <w:rPr>
          <w:rFonts w:ascii="Calibri" w:hAnsi="Calibri"/>
          <w:color w:val="auto"/>
          <w:szCs w:val="22"/>
        </w:rPr>
        <w:t>mezi</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rPr>
          <w:rFonts w:ascii="Calibri" w:hAnsi="Calibri"/>
          <w:color w:val="auto"/>
          <w:szCs w:val="22"/>
        </w:rPr>
      </w:pP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Calibri" w:hAnsi="Calibri"/>
          <w:color w:val="auto"/>
          <w:szCs w:val="22"/>
        </w:rPr>
      </w:pPr>
      <w:r w:rsidRPr="00B37D8B">
        <w:rPr>
          <w:rFonts w:ascii="Calibri" w:hAnsi="Calibri"/>
          <w:color w:val="auto"/>
          <w:szCs w:val="22"/>
        </w:rPr>
        <w:t>Obchodník</w:t>
      </w:r>
      <w:r>
        <w:rPr>
          <w:rFonts w:ascii="Calibri" w:hAnsi="Calibri"/>
          <w:color w:val="auto"/>
          <w:szCs w:val="22"/>
        </w:rPr>
        <w:t>em</w:t>
      </w:r>
      <w:r w:rsidRPr="00B37D8B">
        <w:rPr>
          <w:rFonts w:ascii="Calibri" w:hAnsi="Calibri"/>
          <w:color w:val="auto"/>
          <w:szCs w:val="22"/>
        </w:rPr>
        <w:t xml:space="preserve">: </w:t>
      </w:r>
      <w:r w:rsidRPr="00B37D8B">
        <w:rPr>
          <w:rFonts w:ascii="Calibri" w:hAnsi="Calibri"/>
          <w:color w:val="auto"/>
          <w:szCs w:val="22"/>
        </w:rPr>
        <w:tab/>
      </w:r>
      <w:r w:rsidRPr="00B37D8B">
        <w:rPr>
          <w:rFonts w:ascii="Calibri" w:hAnsi="Calibri"/>
          <w:b/>
          <w:color w:val="auto"/>
          <w:szCs w:val="22"/>
        </w:rPr>
        <w:t>Amper Market, a.s.</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ab/>
      </w:r>
      <w:r>
        <w:rPr>
          <w:rFonts w:ascii="Calibri" w:hAnsi="Calibri"/>
          <w:color w:val="auto"/>
          <w:szCs w:val="22"/>
        </w:rPr>
        <w:tab/>
        <w:t>s</w:t>
      </w:r>
      <w:r w:rsidRPr="00B37D8B">
        <w:rPr>
          <w:rFonts w:ascii="Calibri" w:hAnsi="Calibri"/>
          <w:color w:val="auto"/>
          <w:szCs w:val="22"/>
        </w:rPr>
        <w:t>e sídlem: Antala Staška 1076/33a, 140 00 Praha 4</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IČ: 241 28 376</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ab/>
      </w:r>
      <w:r w:rsidRPr="00B37D8B">
        <w:rPr>
          <w:rFonts w:ascii="Calibri" w:hAnsi="Calibri"/>
          <w:color w:val="auto"/>
          <w:szCs w:val="22"/>
        </w:rPr>
        <w:tab/>
        <w:t xml:space="preserve">DIČ: CZ 24128376 </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416"/>
        <w:jc w:val="both"/>
        <w:rPr>
          <w:rFonts w:ascii="Calibri" w:hAnsi="Calibri"/>
          <w:color w:val="auto"/>
          <w:szCs w:val="22"/>
        </w:rPr>
      </w:pPr>
      <w:r w:rsidRPr="00B37D8B">
        <w:rPr>
          <w:rFonts w:ascii="Calibri" w:hAnsi="Calibri"/>
          <w:color w:val="auto"/>
          <w:szCs w:val="22"/>
        </w:rPr>
        <w:t>zapsaná v obchodním rejstříku vedeném Městským soudem v Praze, oddíl B vložka 17267</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 xml:space="preserve">zastoupená </w:t>
      </w:r>
      <w:r>
        <w:rPr>
          <w:rFonts w:ascii="Calibri" w:hAnsi="Calibri"/>
          <w:color w:val="auto"/>
          <w:szCs w:val="22"/>
        </w:rPr>
        <w:t xml:space="preserve">xxxxx, </w:t>
      </w:r>
      <w:r w:rsidRPr="00B37D8B">
        <w:rPr>
          <w:rFonts w:ascii="Calibri" w:hAnsi="Calibri"/>
          <w:color w:val="auto"/>
          <w:szCs w:val="22"/>
        </w:rPr>
        <w:t xml:space="preserve"> předsedou představenstva</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Bankovní spojení: Raiffeisenbank, a.s.</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 xml:space="preserve">Číslo účtu: </w:t>
      </w:r>
      <w:r>
        <w:rPr>
          <w:rFonts w:ascii="Calibri" w:hAnsi="Calibri"/>
          <w:color w:val="auto"/>
          <w:szCs w:val="22"/>
        </w:rPr>
        <w:t>xxxxx</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Číslo licence: 141118584</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p>
    <w:p w:rsidR="006F4DDB" w:rsidRPr="00D25BB6"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D25BB6">
        <w:rPr>
          <w:rFonts w:ascii="Calibri" w:hAnsi="Calibri"/>
          <w:color w:val="auto"/>
          <w:szCs w:val="22"/>
        </w:rPr>
        <w:t>Kontaktní osoba:</w:t>
      </w:r>
      <w:r>
        <w:rPr>
          <w:rFonts w:ascii="Calibri" w:hAnsi="Calibri"/>
          <w:color w:val="auto"/>
          <w:szCs w:val="22"/>
        </w:rPr>
        <w:t xml:space="preserve"> xxxxx</w:t>
      </w:r>
    </w:p>
    <w:p w:rsidR="006F4DDB" w:rsidRPr="00D25BB6"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D25BB6">
        <w:rPr>
          <w:rFonts w:ascii="Calibri" w:hAnsi="Calibri"/>
          <w:color w:val="auto"/>
          <w:szCs w:val="22"/>
        </w:rPr>
        <w:t>Kontaktní email:</w:t>
      </w:r>
      <w:r>
        <w:rPr>
          <w:rFonts w:ascii="Calibri" w:hAnsi="Calibri"/>
          <w:color w:val="auto"/>
          <w:szCs w:val="22"/>
        </w:rPr>
        <w:t xml:space="preserve">  xxxxx</w:t>
      </w:r>
    </w:p>
    <w:p w:rsidR="006F4DDB" w:rsidRPr="00D25BB6"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D25BB6">
        <w:rPr>
          <w:rFonts w:ascii="Calibri" w:hAnsi="Calibri"/>
          <w:color w:val="auto"/>
          <w:szCs w:val="22"/>
        </w:rPr>
        <w:t>Kontaktní telefon:</w:t>
      </w:r>
      <w:r>
        <w:rPr>
          <w:rFonts w:ascii="Calibri" w:hAnsi="Calibri"/>
          <w:color w:val="auto"/>
          <w:szCs w:val="22"/>
        </w:rPr>
        <w:t xml:space="preserve"> xxxxx</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 xml:space="preserve">Zákaznická linka: </w:t>
      </w:r>
      <w:r>
        <w:rPr>
          <w:rFonts w:ascii="Calibri" w:hAnsi="Calibri"/>
          <w:color w:val="auto"/>
          <w:szCs w:val="22"/>
        </w:rPr>
        <w:t xml:space="preserve">xxxxx, </w:t>
      </w:r>
      <w:r w:rsidRPr="00B37D8B">
        <w:rPr>
          <w:rFonts w:ascii="Calibri" w:hAnsi="Calibri"/>
          <w:color w:val="auto"/>
          <w:szCs w:val="22"/>
        </w:rPr>
        <w:t xml:space="preserve">e-mail: </w:t>
      </w:r>
      <w:hyperlink r:id="rId9" w:history="1">
        <w:r w:rsidRPr="00B37D8B">
          <w:rPr>
            <w:rFonts w:ascii="Calibri" w:hAnsi="Calibri"/>
            <w:color w:val="auto"/>
            <w:szCs w:val="22"/>
          </w:rPr>
          <w:t>i</w:t>
        </w:r>
        <w:r>
          <w:rPr>
            <w:rFonts w:ascii="Calibri" w:hAnsi="Calibri"/>
            <w:color w:val="auto"/>
            <w:szCs w:val="22"/>
          </w:rPr>
          <w:t>xxxxx</w:t>
        </w:r>
      </w:hyperlink>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708" w:firstLine="708"/>
        <w:jc w:val="both"/>
        <w:rPr>
          <w:rFonts w:ascii="Calibri" w:hAnsi="Calibri"/>
          <w:color w:val="auto"/>
          <w:szCs w:val="22"/>
        </w:rPr>
      </w:pPr>
      <w:r w:rsidRPr="00B37D8B">
        <w:rPr>
          <w:rFonts w:ascii="Calibri" w:hAnsi="Calibri"/>
          <w:color w:val="auto"/>
          <w:szCs w:val="22"/>
        </w:rPr>
        <w:t xml:space="preserve">Fakturační oddělení: </w:t>
      </w:r>
      <w:r>
        <w:rPr>
          <w:rFonts w:ascii="Calibri" w:hAnsi="Calibri"/>
          <w:color w:val="auto"/>
          <w:szCs w:val="22"/>
        </w:rPr>
        <w:t>xxxxx, emai</w:t>
      </w:r>
      <w:r w:rsidRPr="00B37D8B">
        <w:rPr>
          <w:rFonts w:ascii="Calibri" w:hAnsi="Calibri"/>
          <w:color w:val="auto"/>
          <w:szCs w:val="22"/>
        </w:rPr>
        <w:t xml:space="preserve">l: </w:t>
      </w:r>
      <w:r>
        <w:rPr>
          <w:rFonts w:ascii="Calibri" w:hAnsi="Calibri"/>
          <w:color w:val="auto"/>
          <w:szCs w:val="22"/>
        </w:rPr>
        <w:t>xxxxx</w:t>
      </w: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a</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51258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outlineLvl w:val="0"/>
        <w:rPr>
          <w:rFonts w:ascii="Calibri" w:hAnsi="Calibri"/>
          <w:color w:val="auto"/>
          <w:szCs w:val="22"/>
        </w:rPr>
      </w:pPr>
      <w:r w:rsidRPr="0092136B">
        <w:rPr>
          <w:rFonts w:ascii="Calibri" w:hAnsi="Calibri"/>
          <w:color w:val="auto"/>
          <w:szCs w:val="22"/>
        </w:rPr>
        <w:t>Zákazníkem:</w:t>
      </w:r>
      <w:r w:rsidRPr="0092136B">
        <w:rPr>
          <w:rFonts w:ascii="Calibri" w:hAnsi="Calibri"/>
          <w:color w:val="auto"/>
          <w:szCs w:val="22"/>
        </w:rPr>
        <w:tab/>
      </w:r>
      <w:r w:rsidRPr="00664C83">
        <w:rPr>
          <w:rFonts w:ascii="Calibri" w:hAnsi="Calibri"/>
          <w:b/>
          <w:color w:val="auto"/>
          <w:szCs w:val="22"/>
        </w:rPr>
        <w:t>Dům dětí a mládeže Neratovice, Mládežnická 984, okres Mělník</w:t>
      </w:r>
    </w:p>
    <w:p w:rsidR="006F4DDB" w:rsidRPr="0051258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se sídlem: </w:t>
      </w:r>
      <w:r w:rsidRPr="00664C83">
        <w:rPr>
          <w:rFonts w:ascii="Calibri" w:hAnsi="Calibri"/>
          <w:color w:val="auto"/>
          <w:szCs w:val="22"/>
        </w:rPr>
        <w:t>Mládežnická 984, 27711 Neratovice</w:t>
      </w:r>
    </w:p>
    <w:p w:rsidR="006F4DDB" w:rsidRPr="0051258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IČ: </w:t>
      </w:r>
      <w:r w:rsidRPr="00664C83">
        <w:rPr>
          <w:rFonts w:ascii="Calibri" w:hAnsi="Calibri"/>
          <w:color w:val="auto"/>
          <w:szCs w:val="22"/>
        </w:rPr>
        <w:t>49518968</w:t>
      </w:r>
    </w:p>
    <w:p w:rsidR="006F4DDB" w:rsidRPr="0051258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Zastoupený: </w:t>
      </w:r>
      <w:r w:rsidRPr="00664C83">
        <w:rPr>
          <w:rFonts w:ascii="Calibri" w:hAnsi="Calibri"/>
          <w:color w:val="auto"/>
          <w:szCs w:val="22"/>
        </w:rPr>
        <w:t>Miloslava Hainová</w:t>
      </w:r>
      <w:r>
        <w:rPr>
          <w:rFonts w:ascii="Calibri" w:hAnsi="Calibri"/>
          <w:color w:val="auto"/>
          <w:szCs w:val="22"/>
        </w:rPr>
        <w:t>, ředitelka</w:t>
      </w:r>
    </w:p>
    <w:p w:rsidR="006F4DDB" w:rsidRPr="0051258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Bankovní spojení: </w:t>
      </w:r>
      <w:r>
        <w:rPr>
          <w:rFonts w:ascii="Calibri" w:hAnsi="Calibri"/>
          <w:color w:val="auto"/>
          <w:szCs w:val="22"/>
        </w:rPr>
        <w:t>Česká spořitelna</w:t>
      </w:r>
    </w:p>
    <w:p w:rsidR="006F4DDB" w:rsidRPr="0051258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Číslo účtu: </w:t>
      </w:r>
      <w:r>
        <w:rPr>
          <w:rFonts w:ascii="Calibri" w:hAnsi="Calibri"/>
          <w:color w:val="auto"/>
          <w:szCs w:val="22"/>
        </w:rPr>
        <w:t>xxxxx</w:t>
      </w:r>
    </w:p>
    <w:p w:rsidR="006F4DDB" w:rsidRPr="0051258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r>
    </w:p>
    <w:p w:rsidR="006F4DDB" w:rsidRPr="0051258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Kontaktní osoba:</w:t>
      </w:r>
      <w:r>
        <w:rPr>
          <w:rFonts w:ascii="Calibri" w:hAnsi="Calibri"/>
          <w:color w:val="auto"/>
          <w:szCs w:val="22"/>
        </w:rPr>
        <w:t xml:space="preserve"> xxxxx</w:t>
      </w:r>
    </w:p>
    <w:p w:rsidR="006F4DDB" w:rsidRPr="0051258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Kontaktní email: </w:t>
      </w:r>
      <w:r>
        <w:rPr>
          <w:rFonts w:ascii="Calibri" w:hAnsi="Calibri"/>
          <w:color w:val="auto"/>
          <w:szCs w:val="22"/>
        </w:rPr>
        <w:t>xxxxx</w:t>
      </w:r>
    </w:p>
    <w:p w:rsidR="006F4DDB" w:rsidRPr="0051258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ab/>
      </w:r>
      <w:r w:rsidRPr="0051258A">
        <w:rPr>
          <w:rFonts w:ascii="Calibri" w:hAnsi="Calibri"/>
          <w:color w:val="auto"/>
          <w:szCs w:val="22"/>
        </w:rPr>
        <w:tab/>
        <w:t xml:space="preserve">Kontaktní telefon: </w:t>
      </w:r>
      <w:r>
        <w:rPr>
          <w:rFonts w:ascii="Calibri" w:hAnsi="Calibri"/>
          <w:color w:val="auto"/>
          <w:szCs w:val="22"/>
        </w:rPr>
        <w:t>xxxxx</w:t>
      </w:r>
    </w:p>
    <w:p w:rsidR="006F4DDB" w:rsidRPr="0092136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lang w:eastAsia="cs-CZ"/>
        </w:rPr>
      </w:pPr>
      <w:r w:rsidRPr="0092136B">
        <w:rPr>
          <w:rFonts w:ascii="Calibri" w:hAnsi="Calibri"/>
          <w:color w:val="auto"/>
          <w:szCs w:val="22"/>
          <w:lang w:eastAsia="cs-CZ"/>
        </w:rPr>
        <w:tab/>
      </w:r>
      <w:r w:rsidRPr="0092136B">
        <w:rPr>
          <w:rFonts w:ascii="Calibri" w:hAnsi="Calibri"/>
          <w:color w:val="auto"/>
          <w:szCs w:val="22"/>
          <w:lang w:eastAsia="cs-CZ"/>
        </w:rPr>
        <w:tab/>
      </w:r>
    </w:p>
    <w:p w:rsidR="006F4DDB" w:rsidRPr="0092136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92136B">
        <w:rPr>
          <w:rFonts w:ascii="Calibri" w:hAnsi="Calibri"/>
          <w:color w:val="auto"/>
          <w:szCs w:val="22"/>
          <w:lang w:eastAsia="cs-CZ"/>
        </w:rPr>
        <w:tab/>
      </w:r>
      <w:r w:rsidRPr="0092136B">
        <w:rPr>
          <w:rFonts w:ascii="Calibri" w:hAnsi="Calibri"/>
          <w:color w:val="auto"/>
          <w:szCs w:val="22"/>
          <w:lang w:eastAsia="cs-CZ"/>
        </w:rPr>
        <w:tab/>
      </w:r>
      <w:r w:rsidRPr="0092136B">
        <w:rPr>
          <w:rFonts w:ascii="Calibri" w:hAnsi="Calibri"/>
          <w:color w:val="auto"/>
          <w:szCs w:val="22"/>
        </w:rPr>
        <w:t>(dále jen jako „zákazník“)</w:t>
      </w:r>
    </w:p>
    <w:p w:rsidR="006F4DDB" w:rsidRPr="0092136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92136B">
        <w:rPr>
          <w:rFonts w:ascii="Calibri" w:hAnsi="Calibri"/>
          <w:color w:val="auto"/>
          <w:szCs w:val="22"/>
        </w:rPr>
        <w:tab/>
      </w:r>
      <w:r w:rsidRPr="0092136B">
        <w:rPr>
          <w:rFonts w:ascii="Calibri" w:hAnsi="Calibri"/>
          <w:color w:val="auto"/>
          <w:szCs w:val="22"/>
        </w:rPr>
        <w:tab/>
        <w:t>(společně jako „smluvní strany“)</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Default="006F4DDB" w:rsidP="007108C7">
      <w:pPr>
        <w:spacing w:after="160" w:line="259" w:lineRule="auto"/>
        <w:jc w:val="center"/>
        <w:rPr>
          <w:rFonts w:ascii="Calibri" w:hAnsi="Calibri"/>
          <w:b/>
          <w:color w:val="auto"/>
          <w:szCs w:val="22"/>
        </w:rPr>
      </w:pPr>
      <w:r>
        <w:rPr>
          <w:rFonts w:ascii="Calibri" w:hAnsi="Calibri"/>
          <w:b/>
          <w:color w:val="auto"/>
          <w:szCs w:val="22"/>
        </w:rPr>
        <w:br w:type="page"/>
      </w:r>
      <w:r w:rsidRPr="007D6EEB">
        <w:rPr>
          <w:rFonts w:ascii="Calibri" w:hAnsi="Calibri"/>
          <w:b/>
          <w:color w:val="auto"/>
          <w:szCs w:val="22"/>
        </w:rPr>
        <w:t>I.</w:t>
      </w:r>
    </w:p>
    <w:p w:rsidR="006F4DDB" w:rsidRPr="007D6EE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F4DDB" w:rsidRDefault="006F4DDB" w:rsidP="007108C7">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7D6EEB">
        <w:rPr>
          <w:rFonts w:ascii="Calibri" w:hAnsi="Calibri"/>
          <w:color w:val="auto"/>
          <w:szCs w:val="22"/>
        </w:rPr>
        <w:t>Smluvní</w:t>
      </w:r>
      <w:r>
        <w:rPr>
          <w:rFonts w:ascii="Calibri" w:hAnsi="Calibri"/>
          <w:color w:val="auto"/>
          <w:szCs w:val="22"/>
        </w:rPr>
        <w:t xml:space="preserve"> strany uzavřely shora označenou Smlouvu o sdružených službách dodávky elektřiny pro hladinu NN, jejímž předmětem je závazek obchodníka dodávat elektřinu zákazníkovi a poskytovat související služby.</w:t>
      </w:r>
    </w:p>
    <w:p w:rsidR="006F4DDB" w:rsidRPr="007D6EE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Default="006F4DDB" w:rsidP="007108C7">
      <w:pPr>
        <w:pStyle w:val="ListParagraph"/>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Smlouva byla sjednána na dobu určitou do 31.12.2016 s požadovaným termínem zahájení dodávky k 1.1.2016.</w:t>
      </w: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Cs w:val="22"/>
        </w:rPr>
      </w:pPr>
      <w:r w:rsidRPr="007D6EEB">
        <w:rPr>
          <w:rFonts w:ascii="Calibri" w:hAnsi="Calibri"/>
          <w:b/>
          <w:color w:val="auto"/>
          <w:szCs w:val="22"/>
        </w:rPr>
        <w:t>II.</w:t>
      </w:r>
    </w:p>
    <w:p w:rsidR="006F4DDB" w:rsidRPr="007D6EE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F4DDB" w:rsidRDefault="006F4DDB" w:rsidP="007108C7">
      <w:pPr>
        <w:pStyle w:val="ListParagraph"/>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Smluvní strany se tímto dohodly na změně časové specifikace dodávky elektřiny dle čl. III. odst. 1 smlouvy, kdy požadovaný termín zahájení dodávky nově zní: 1.1.2017.</w:t>
      </w:r>
    </w:p>
    <w:p w:rsidR="006F4DDB" w:rsidRDefault="006F4DDB" w:rsidP="007108C7">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Default="006F4DDB" w:rsidP="007108C7">
      <w:pPr>
        <w:pStyle w:val="ListParagraph"/>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 xml:space="preserve">Smluvní strany se dohodly na změně čl. VII. odst. 2 smlouvy, kdy tento článek se nahrazuje textem následující znění a nově zní: </w:t>
      </w:r>
    </w:p>
    <w:p w:rsidR="006F4DDB" w:rsidRDefault="006F4DDB" w:rsidP="007108C7">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F26FA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276"/>
        <w:jc w:val="center"/>
        <w:outlineLvl w:val="0"/>
        <w:rPr>
          <w:rFonts w:ascii="Calibri" w:hAnsi="Calibri"/>
          <w:b/>
          <w:i/>
          <w:color w:val="auto"/>
          <w:szCs w:val="22"/>
        </w:rPr>
      </w:pPr>
      <w:r w:rsidRPr="00F26FAA">
        <w:rPr>
          <w:rFonts w:ascii="Calibri" w:hAnsi="Calibri"/>
          <w:b/>
          <w:i/>
          <w:color w:val="auto"/>
          <w:szCs w:val="22"/>
        </w:rPr>
        <w:t>VII.</w:t>
      </w:r>
    </w:p>
    <w:p w:rsidR="006F4DDB" w:rsidRPr="00F26FAA"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276"/>
        <w:jc w:val="center"/>
        <w:rPr>
          <w:rFonts w:ascii="Calibri" w:hAnsi="Calibri"/>
          <w:b/>
          <w:i/>
          <w:color w:val="auto"/>
          <w:szCs w:val="22"/>
        </w:rPr>
      </w:pPr>
      <w:r w:rsidRPr="00F26FAA">
        <w:rPr>
          <w:rFonts w:ascii="Calibri" w:hAnsi="Calibri"/>
          <w:b/>
          <w:i/>
          <w:color w:val="auto"/>
          <w:szCs w:val="22"/>
        </w:rPr>
        <w:t>Platnost a trvání smlouvy</w:t>
      </w:r>
    </w:p>
    <w:p w:rsidR="006F4DDB" w:rsidRPr="00F26FAA" w:rsidRDefault="006F4DDB" w:rsidP="007108C7">
      <w:pPr>
        <w:pStyle w:val="ListParagraph2"/>
        <w:numPr>
          <w:ilvl w:val="0"/>
          <w:numId w:val="6"/>
        </w:numPr>
        <w:tabs>
          <w:tab w:val="clear" w:pos="359"/>
          <w:tab w:val="num" w:pos="71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276" w:hanging="360"/>
        <w:jc w:val="both"/>
        <w:rPr>
          <w:rFonts w:ascii="Calibri" w:hAnsi="Calibri"/>
          <w:i/>
          <w:color w:val="auto"/>
          <w:szCs w:val="22"/>
        </w:rPr>
      </w:pPr>
      <w:r w:rsidRPr="00F26FAA">
        <w:rPr>
          <w:rFonts w:ascii="Calibri" w:hAnsi="Calibri"/>
          <w:i/>
          <w:color w:val="auto"/>
          <w:szCs w:val="22"/>
        </w:rPr>
        <w:t>Smlouva nabývá platnosti</w:t>
      </w:r>
      <w:r>
        <w:rPr>
          <w:rFonts w:ascii="Calibri" w:hAnsi="Calibri"/>
          <w:i/>
          <w:color w:val="auto"/>
          <w:szCs w:val="22"/>
        </w:rPr>
        <w:t xml:space="preserve"> a účinnosti</w:t>
      </w:r>
      <w:r w:rsidRPr="00F26FAA">
        <w:rPr>
          <w:rFonts w:ascii="Calibri" w:hAnsi="Calibri"/>
          <w:i/>
          <w:color w:val="auto"/>
          <w:szCs w:val="22"/>
        </w:rPr>
        <w:t xml:space="preserve"> dnem p</w:t>
      </w:r>
      <w:r>
        <w:rPr>
          <w:rFonts w:ascii="Calibri" w:hAnsi="Calibri"/>
          <w:i/>
          <w:color w:val="auto"/>
          <w:szCs w:val="22"/>
        </w:rPr>
        <w:t>odpisu oběma smluvními stranami.</w:t>
      </w:r>
    </w:p>
    <w:p w:rsidR="006F4DDB" w:rsidRPr="00F26FAA" w:rsidRDefault="006F4DDB" w:rsidP="007108C7">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276" w:hanging="360"/>
        <w:jc w:val="both"/>
        <w:rPr>
          <w:rFonts w:ascii="Calibri" w:hAnsi="Calibri"/>
          <w:i/>
          <w:color w:val="auto"/>
          <w:szCs w:val="22"/>
        </w:rPr>
      </w:pPr>
      <w:r w:rsidRPr="00F26FAA">
        <w:rPr>
          <w:rFonts w:ascii="Calibri" w:hAnsi="Calibri"/>
          <w:i/>
          <w:color w:val="auto"/>
          <w:szCs w:val="22"/>
        </w:rPr>
        <w:t xml:space="preserve">Smlouva je uzavírána na dobu určitou </w:t>
      </w:r>
      <w:r>
        <w:rPr>
          <w:rFonts w:ascii="Calibri" w:hAnsi="Calibri"/>
          <w:i/>
          <w:color w:val="auto"/>
          <w:szCs w:val="22"/>
        </w:rPr>
        <w:t>do 31.12.2017</w:t>
      </w:r>
      <w:r w:rsidRPr="00F26FAA">
        <w:rPr>
          <w:rFonts w:ascii="Calibri" w:hAnsi="Calibri"/>
          <w:i/>
          <w:color w:val="auto"/>
          <w:szCs w:val="22"/>
        </w:rPr>
        <w:t xml:space="preserve"> bez možnosti automatického prodlužování.  </w:t>
      </w:r>
    </w:p>
    <w:p w:rsidR="006F4DDB" w:rsidRPr="00F26FAA" w:rsidRDefault="006F4DDB" w:rsidP="007108C7">
      <w:pPr>
        <w:pStyle w:val="ListParagraph1"/>
        <w:numPr>
          <w:ilvl w:val="0"/>
          <w:numId w:val="6"/>
        </w:numPr>
        <w:tabs>
          <w:tab w:val="clear" w:pos="359"/>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1276" w:hanging="360"/>
        <w:jc w:val="both"/>
        <w:rPr>
          <w:rFonts w:ascii="Calibri" w:hAnsi="Calibri"/>
          <w:i/>
          <w:color w:val="auto"/>
          <w:szCs w:val="22"/>
        </w:rPr>
      </w:pPr>
      <w:r w:rsidRPr="00F26FAA">
        <w:rPr>
          <w:rFonts w:ascii="Calibri" w:hAnsi="Calibri" w:cs="Arial"/>
          <w:bCs/>
          <w:i/>
          <w:iCs/>
          <w:color w:val="auto"/>
          <w:szCs w:val="22"/>
        </w:rPr>
        <w:t>V případech zrušení odběrného místa, zejména z důvodu převodu vlastnických práv k odběrnému místu, odstranění odběrného místa, demolice, zničení živelnou pohromou, je zákazník oprávněn ukončit smluvní vztah k danému odběrnému místu nejpozději do 30 dnů ode dne oznámení obchodníkovi o zrušení odběrného místa, a to bez finančního nároku obchodníka.</w:t>
      </w:r>
    </w:p>
    <w:p w:rsidR="006F4DDB" w:rsidRDefault="006F4DDB" w:rsidP="007108C7">
      <w:pPr>
        <w:pStyle w:val="ListParagraph1"/>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51258A">
        <w:rPr>
          <w:rFonts w:ascii="Calibri" w:hAnsi="Calibri"/>
          <w:color w:val="auto"/>
          <w:szCs w:val="22"/>
        </w:rPr>
        <w:t xml:space="preserve"> </w:t>
      </w: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outlineLvl w:val="0"/>
        <w:rPr>
          <w:rFonts w:ascii="Calibri" w:hAnsi="Calibri"/>
          <w:b/>
          <w:color w:val="auto"/>
          <w:szCs w:val="22"/>
        </w:rPr>
      </w:pPr>
      <w:r w:rsidRPr="007D6EEB">
        <w:rPr>
          <w:rFonts w:ascii="Calibri" w:hAnsi="Calibri"/>
          <w:b/>
          <w:color w:val="auto"/>
          <w:szCs w:val="22"/>
        </w:rPr>
        <w:t>III.</w:t>
      </w:r>
    </w:p>
    <w:p w:rsidR="006F4DDB" w:rsidRPr="007D6EE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center"/>
        <w:rPr>
          <w:rFonts w:ascii="Calibri" w:hAnsi="Calibri"/>
          <w:b/>
          <w:color w:val="auto"/>
          <w:szCs w:val="22"/>
        </w:rPr>
      </w:pPr>
    </w:p>
    <w:p w:rsidR="006F4DDB" w:rsidRDefault="006F4DDB" w:rsidP="007108C7">
      <w:pPr>
        <w:pStyle w:val="ListParagraph"/>
        <w:numPr>
          <w:ilvl w:val="0"/>
          <w:numId w:val="18"/>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Ostatní ujednání smlouvy zůstávají tímto dodatkem nedotčena.</w:t>
      </w:r>
    </w:p>
    <w:p w:rsidR="006F4DDB" w:rsidRDefault="006F4DDB" w:rsidP="007108C7">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B37D8B" w:rsidRDefault="006F4DDB" w:rsidP="007108C7">
      <w:pPr>
        <w:pStyle w:val="ListParagraph1"/>
        <w:numPr>
          <w:ilvl w:val="0"/>
          <w:numId w:val="1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Pr>
          <w:rFonts w:ascii="Calibri" w:hAnsi="Calibri"/>
          <w:color w:val="auto"/>
          <w:szCs w:val="22"/>
        </w:rPr>
        <w:t>Smluvní strany prohlašují, že toto ujednání</w:t>
      </w:r>
      <w:r w:rsidRPr="00B37D8B">
        <w:rPr>
          <w:rFonts w:ascii="Calibri" w:hAnsi="Calibri"/>
          <w:color w:val="auto"/>
          <w:szCs w:val="22"/>
        </w:rPr>
        <w:t xml:space="preserve"> vyjadřuje jejich svobodnou a skutečnou vůli, a na d</w:t>
      </w:r>
      <w:r>
        <w:rPr>
          <w:rFonts w:ascii="Calibri" w:hAnsi="Calibri"/>
          <w:color w:val="auto"/>
          <w:szCs w:val="22"/>
        </w:rPr>
        <w:t>ůkaz tohoto připojují k dodatku</w:t>
      </w:r>
      <w:r w:rsidRPr="00B37D8B">
        <w:rPr>
          <w:rFonts w:ascii="Calibri" w:hAnsi="Calibri"/>
          <w:color w:val="auto"/>
          <w:szCs w:val="22"/>
        </w:rPr>
        <w:t xml:space="preserve"> své podpisy.</w:t>
      </w:r>
    </w:p>
    <w:p w:rsidR="006F4DDB" w:rsidRPr="007D6EEB" w:rsidRDefault="006F4DDB" w:rsidP="007108C7">
      <w:pPr>
        <w:pStyle w:val="ListParagraph"/>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Default="006F4DDB" w:rsidP="007108C7">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B37D8B" w:rsidRDefault="006F4DDB" w:rsidP="007108C7">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B37D8B" w:rsidRDefault="006F4DDB" w:rsidP="007108C7">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V</w:t>
      </w:r>
      <w:r>
        <w:rPr>
          <w:rFonts w:ascii="Calibri" w:hAnsi="Calibri"/>
          <w:color w:val="auto"/>
          <w:szCs w:val="22"/>
        </w:rPr>
        <w:t xml:space="preserve"> </w:t>
      </w:r>
      <w:r w:rsidRPr="00B37D8B">
        <w:rPr>
          <w:rFonts w:ascii="Calibri" w:hAnsi="Calibri"/>
          <w:color w:val="auto"/>
          <w:szCs w:val="22"/>
        </w:rPr>
        <w:t>……………….</w:t>
      </w:r>
      <w:r>
        <w:rPr>
          <w:rFonts w:ascii="Calibri" w:hAnsi="Calibri"/>
          <w:color w:val="auto"/>
          <w:szCs w:val="22"/>
        </w:rPr>
        <w:t>.</w:t>
      </w:r>
      <w:r w:rsidRPr="00B37D8B">
        <w:rPr>
          <w:rFonts w:ascii="Calibri" w:hAnsi="Calibri"/>
          <w:color w:val="auto"/>
          <w:szCs w:val="22"/>
        </w:rPr>
        <w:t xml:space="preserve"> dne</w:t>
      </w:r>
      <w:r>
        <w:rPr>
          <w:rFonts w:ascii="Calibri" w:hAnsi="Calibri"/>
          <w:color w:val="auto"/>
          <w:szCs w:val="22"/>
        </w:rPr>
        <w:t xml:space="preserve"> </w:t>
      </w:r>
      <w:r w:rsidRPr="00B37D8B">
        <w:rPr>
          <w:rFonts w:ascii="Calibri" w:hAnsi="Calibri"/>
          <w:color w:val="auto"/>
          <w:szCs w:val="22"/>
        </w:rPr>
        <w:t>………………</w:t>
      </w:r>
      <w:r>
        <w:rPr>
          <w:rFonts w:ascii="Calibri" w:hAnsi="Calibri"/>
          <w:color w:val="auto"/>
          <w:szCs w:val="22"/>
        </w:rPr>
        <w:t>..</w:t>
      </w:r>
      <w:r>
        <w:rPr>
          <w:rFonts w:ascii="Calibri" w:hAnsi="Calibri"/>
          <w:color w:val="auto"/>
          <w:szCs w:val="22"/>
        </w:rPr>
        <w:tab/>
      </w:r>
      <w:r>
        <w:rPr>
          <w:rFonts w:ascii="Calibri" w:hAnsi="Calibri"/>
          <w:color w:val="auto"/>
          <w:szCs w:val="22"/>
        </w:rPr>
        <w:tab/>
        <w:t xml:space="preserve">             </w:t>
      </w:r>
      <w:r w:rsidRPr="00B37D8B">
        <w:rPr>
          <w:rFonts w:ascii="Calibri" w:hAnsi="Calibri"/>
          <w:color w:val="auto"/>
          <w:szCs w:val="22"/>
        </w:rPr>
        <w:t>V</w:t>
      </w:r>
      <w:r>
        <w:rPr>
          <w:rFonts w:ascii="Calibri" w:hAnsi="Calibri"/>
          <w:color w:val="auto"/>
          <w:szCs w:val="22"/>
        </w:rPr>
        <w:t xml:space="preserve"> </w:t>
      </w:r>
      <w:r w:rsidRPr="00B37D8B">
        <w:rPr>
          <w:rFonts w:ascii="Calibri" w:hAnsi="Calibri"/>
          <w:color w:val="auto"/>
          <w:szCs w:val="22"/>
        </w:rPr>
        <w:t>……………</w:t>
      </w:r>
      <w:r>
        <w:rPr>
          <w:rFonts w:ascii="Calibri" w:hAnsi="Calibri"/>
          <w:color w:val="auto"/>
          <w:szCs w:val="22"/>
        </w:rPr>
        <w:t>……..</w:t>
      </w:r>
      <w:r w:rsidRPr="00B37D8B">
        <w:rPr>
          <w:rFonts w:ascii="Calibri" w:hAnsi="Calibri"/>
          <w:color w:val="auto"/>
          <w:szCs w:val="22"/>
        </w:rPr>
        <w:t xml:space="preserve"> dne</w:t>
      </w:r>
      <w:r>
        <w:rPr>
          <w:rFonts w:ascii="Calibri" w:hAnsi="Calibri"/>
          <w:color w:val="auto"/>
          <w:szCs w:val="22"/>
        </w:rPr>
        <w:t xml:space="preserve"> </w:t>
      </w:r>
      <w:r w:rsidRPr="00B37D8B">
        <w:rPr>
          <w:rFonts w:ascii="Calibri" w:hAnsi="Calibri"/>
          <w:color w:val="auto"/>
          <w:szCs w:val="22"/>
        </w:rPr>
        <w:t>…………………..</w:t>
      </w:r>
    </w:p>
    <w:p w:rsidR="006F4DDB" w:rsidRPr="00B37D8B" w:rsidRDefault="006F4DDB" w:rsidP="007108C7">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B37D8B" w:rsidRDefault="006F4DDB" w:rsidP="007108C7">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left="0"/>
        <w:jc w:val="both"/>
        <w:rPr>
          <w:rFonts w:ascii="Calibri" w:hAnsi="Calibri"/>
          <w:color w:val="auto"/>
          <w:szCs w:val="22"/>
        </w:rPr>
      </w:pPr>
    </w:p>
    <w:p w:rsidR="006F4DDB" w:rsidRPr="00B37D8B" w:rsidRDefault="006F4DDB" w:rsidP="007108C7">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B37D8B" w:rsidRDefault="006F4DDB" w:rsidP="007108C7">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p>
    <w:p w:rsidR="006F4DDB" w:rsidRPr="00B37D8B" w:rsidRDefault="006F4DDB" w:rsidP="007108C7">
      <w:pPr>
        <w:pStyle w:val="ListParagraph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rPr>
      </w:pPr>
      <w:r w:rsidRPr="00B37D8B">
        <w:rPr>
          <w:rFonts w:ascii="Calibri" w:hAnsi="Calibri"/>
          <w:color w:val="auto"/>
          <w:szCs w:val="22"/>
        </w:rPr>
        <w:t>..............................................</w:t>
      </w:r>
      <w:r w:rsidRPr="00B37D8B">
        <w:rPr>
          <w:rFonts w:ascii="Calibri" w:hAnsi="Calibri"/>
          <w:color w:val="auto"/>
          <w:szCs w:val="22"/>
        </w:rPr>
        <w:tab/>
      </w:r>
      <w:r w:rsidRPr="00B37D8B">
        <w:rPr>
          <w:rFonts w:ascii="Calibri" w:hAnsi="Calibri"/>
          <w:color w:val="auto"/>
          <w:szCs w:val="22"/>
        </w:rPr>
        <w:tab/>
      </w:r>
      <w:r w:rsidRPr="00B37D8B">
        <w:rPr>
          <w:rFonts w:ascii="Calibri" w:hAnsi="Calibri"/>
          <w:color w:val="auto"/>
          <w:szCs w:val="22"/>
        </w:rPr>
        <w:tab/>
        <w:t>...................................................</w:t>
      </w:r>
    </w:p>
    <w:p w:rsidR="006F4DDB" w:rsidRPr="00B37D8B" w:rsidRDefault="006F4DDB" w:rsidP="007108C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Calibri" w:hAnsi="Calibri"/>
          <w:color w:val="auto"/>
          <w:szCs w:val="22"/>
          <w:lang w:eastAsia="cs-CZ"/>
        </w:rPr>
      </w:pPr>
      <w:r w:rsidRPr="00B37D8B">
        <w:rPr>
          <w:rFonts w:ascii="Calibri" w:hAnsi="Calibri"/>
          <w:color w:val="auto"/>
          <w:szCs w:val="22"/>
        </w:rPr>
        <w:tab/>
        <w:t xml:space="preserve">        </w:t>
      </w:r>
      <w:r w:rsidRPr="00F418DC">
        <w:rPr>
          <w:rFonts w:ascii="Calibri" w:hAnsi="Calibri"/>
          <w:b/>
          <w:color w:val="auto"/>
          <w:szCs w:val="22"/>
        </w:rPr>
        <w:t>Amper Market, a.s.</w:t>
      </w:r>
      <w:r w:rsidRPr="00F418DC">
        <w:rPr>
          <w:rFonts w:ascii="Calibri" w:hAnsi="Calibri"/>
          <w:b/>
          <w:color w:val="auto"/>
          <w:szCs w:val="22"/>
        </w:rPr>
        <w:tab/>
      </w:r>
      <w:r w:rsidRPr="00F418DC">
        <w:rPr>
          <w:rFonts w:ascii="Calibri" w:hAnsi="Calibri"/>
          <w:b/>
          <w:color w:val="auto"/>
          <w:szCs w:val="22"/>
        </w:rPr>
        <w:tab/>
      </w:r>
      <w:r>
        <w:rPr>
          <w:rFonts w:ascii="Calibri" w:hAnsi="Calibri"/>
          <w:color w:val="auto"/>
          <w:szCs w:val="22"/>
        </w:rPr>
        <w:tab/>
      </w:r>
      <w:r>
        <w:rPr>
          <w:rFonts w:ascii="Calibri" w:hAnsi="Calibri"/>
          <w:color w:val="auto"/>
          <w:szCs w:val="22"/>
        </w:rPr>
        <w:tab/>
        <w:t xml:space="preserve">       </w:t>
      </w:r>
      <w:r w:rsidRPr="00B37D8B">
        <w:rPr>
          <w:rFonts w:ascii="Calibri" w:hAnsi="Calibri"/>
          <w:color w:val="auto"/>
          <w:szCs w:val="22"/>
        </w:rPr>
        <w:t>zákazník</w:t>
      </w:r>
    </w:p>
    <w:p w:rsidR="006F4DDB" w:rsidRPr="00B37D8B" w:rsidRDefault="006F4DDB" w:rsidP="007108C7">
      <w:pPr>
        <w:spacing w:after="0" w:line="240" w:lineRule="auto"/>
        <w:rPr>
          <w:rFonts w:ascii="Calibri" w:hAnsi="Calibri"/>
          <w:color w:val="auto"/>
          <w:szCs w:val="22"/>
        </w:rPr>
      </w:pPr>
      <w:r>
        <w:rPr>
          <w:rFonts w:ascii="Calibri" w:hAnsi="Calibri"/>
          <w:color w:val="auto"/>
          <w:szCs w:val="22"/>
        </w:rPr>
        <w:t>Ing. xxxxx, předseda představenstva</w:t>
      </w:r>
    </w:p>
    <w:p w:rsidR="006F4DDB" w:rsidRPr="0051258A" w:rsidRDefault="006F4DDB" w:rsidP="00FB7A21">
      <w:pPr>
        <w:spacing w:after="0" w:line="240" w:lineRule="auto"/>
        <w:ind w:left="346"/>
        <w:jc w:val="both"/>
        <w:rPr>
          <w:rFonts w:ascii="Calibri" w:hAnsi="Calibri"/>
          <w:color w:val="auto"/>
          <w:szCs w:val="22"/>
        </w:rPr>
      </w:pPr>
    </w:p>
    <w:sectPr w:rsidR="006F4DDB" w:rsidRPr="0051258A" w:rsidSect="009E280E">
      <w:headerReference w:type="default" r:id="rId10"/>
      <w:footerReference w:type="default" r:id="rId11"/>
      <w:headerReference w:type="first" r:id="rId12"/>
      <w:footerReference w:type="first" r:id="rId13"/>
      <w:pgSz w:w="11906" w:h="16838" w:code="9"/>
      <w:pgMar w:top="2155" w:right="851" w:bottom="1418" w:left="187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DDB" w:rsidRDefault="006F4DDB" w:rsidP="00CA7FC0">
      <w:pPr>
        <w:spacing w:line="240" w:lineRule="auto"/>
      </w:pPr>
      <w:r>
        <w:separator/>
      </w:r>
    </w:p>
  </w:endnote>
  <w:endnote w:type="continuationSeparator" w:id="0">
    <w:p w:rsidR="006F4DDB" w:rsidRDefault="006F4DDB" w:rsidP="00CA7F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 Pro W3">
    <w:altName w:val="MS Mincho"/>
    <w:panose1 w:val="00000000000000000000"/>
    <w:charset w:val="80"/>
    <w:family w:val="auto"/>
    <w:notTrueType/>
    <w:pitch w:val="variable"/>
    <w:sig w:usb0="00000001" w:usb1="08070000" w:usb2="00000010" w:usb3="00000000" w:csb0="00020000" w:csb1="00000000"/>
  </w:font>
  <w:font w:name="MS Gothic">
    <w:altName w:val="?l?r SVbN"/>
    <w:panose1 w:val="020B0609070205080204"/>
    <w:charset w:val="80"/>
    <w:family w:val="modern"/>
    <w:pitch w:val="fixed"/>
    <w:sig w:usb0="E00002FF" w:usb1="6AC7FDFB" w:usb2="00000012" w:usb3="00000000" w:csb0="0002009F" w:csb1="00000000"/>
  </w:font>
  <w:font w:name="Lucida Grande CE">
    <w:altName w:val="Arial"/>
    <w:panose1 w:val="00000000000000000000"/>
    <w:charset w:val="58"/>
    <w:family w:val="auto"/>
    <w:notTrueType/>
    <w:pitch w:val="variable"/>
    <w:sig w:usb0="00000001" w:usb1="00000000" w:usb2="00000000" w:usb3="00000000" w:csb0="00000000"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DB" w:rsidRDefault="006F4DDB">
    <w:pPr>
      <w:pStyle w:val="Footer"/>
    </w:pPr>
    <w:fldSimple w:instr="PAGE   \* MERGEFORMAT">
      <w:r>
        <w:rPr>
          <w:noProof/>
        </w:rPr>
        <w:t>10</w:t>
      </w:r>
    </w:fldSimple>
  </w:p>
  <w:p w:rsidR="006F4DDB" w:rsidRDefault="006F4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DB" w:rsidRDefault="006F4DDB">
    <w:pPr>
      <w:pStyle w:val="Foot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2053" type="#_x0000_t75" style="position:absolute;left:0;text-align:left;margin-left:95.05pt;margin-top:775.9pt;width:456.15pt;height:28.4pt;z-index:-251658752;visibility:visible;mso-position-horizontal-relative:page;mso-position-vertical-relative:page">
          <v:imagedata r:id="rId1" o:title=""/>
          <w10:wrap anchorx="page" anchory="page"/>
          <w10:anchorlock/>
        </v:shape>
      </w:pict>
    </w: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DDB" w:rsidRDefault="006F4DDB" w:rsidP="00CA7FC0">
      <w:pPr>
        <w:spacing w:line="240" w:lineRule="auto"/>
      </w:pPr>
      <w:r>
        <w:separator/>
      </w:r>
    </w:p>
  </w:footnote>
  <w:footnote w:type="continuationSeparator" w:id="0">
    <w:p w:rsidR="006F4DDB" w:rsidRDefault="006F4DDB" w:rsidP="00CA7F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DB" w:rsidRDefault="006F4DDB">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6" o:spid="_x0000_s2049" type="#_x0000_t75" style="position:absolute;margin-left:25.5pt;margin-top:396.85pt;width:60.65pt;height:380.95pt;z-index:-251656704;visibility:visible;mso-position-horizontal-relative:page;mso-position-vertical-relative:page">
          <v:imagedata r:id="rId1" o:title=""/>
          <w10:wrap anchorx="page" anchory="page"/>
          <w10:anchorlock/>
        </v:shape>
      </w:pict>
    </w:r>
    <w:r>
      <w:rPr>
        <w:noProof/>
        <w:lang w:eastAsia="cs-CZ"/>
      </w:rPr>
      <w:pict>
        <v:shape id="Obrázek 7" o:spid="_x0000_s2050" type="#_x0000_t75" style="position:absolute;margin-left:36.85pt;margin-top:28.35pt;width:195.6pt;height:38.25pt;z-index:251656704;visibility:visible;mso-position-horizontal-relative:page;mso-position-vertical-relative:page">
          <v:imagedata r:id="rId2" o:title=""/>
          <w10:wrap anchorx="page" anchory="page"/>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DB" w:rsidRDefault="006F4DDB">
    <w:pPr>
      <w:pStyle w:val="Header"/>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0" o:spid="_x0000_s2051" type="#_x0000_t75" style="position:absolute;margin-left:21.55pt;margin-top:401.65pt;width:49.55pt;height:398.25pt;z-index:-251657728;visibility:visible;mso-position-horizontal-relative:page;mso-position-vertical-relative:page">
          <v:imagedata r:id="rId1" o:title=""/>
          <w10:wrap anchorx="page" anchory="page"/>
          <w10:anchorlock/>
        </v:shape>
      </w:pict>
    </w:r>
    <w:r>
      <w:rPr>
        <w:noProof/>
        <w:lang w:eastAsia="cs-CZ"/>
      </w:rPr>
      <w:pict>
        <v:shape id="Obrázek 11" o:spid="_x0000_s2052" type="#_x0000_t75" style="position:absolute;margin-left:36.85pt;margin-top:28.35pt;width:195.6pt;height:38.25pt;z-index:251655680;visibility:visible;mso-position-horizontal-relative:page;mso-position-vertical-relative:page">
          <v:imagedata r:id="rId2" o:title=""/>
          <w10:wrap anchorx="page" anchory="page"/>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1">
    <w:nsid w:val="00000002"/>
    <w:multiLevelType w:val="multilevel"/>
    <w:tmpl w:val="894EE874"/>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48"/>
        </w:tabs>
        <w:ind w:left="348"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2">
    <w:nsid w:val="00000003"/>
    <w:multiLevelType w:val="multilevel"/>
    <w:tmpl w:val="894EE875"/>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3">
    <w:nsid w:val="00000004"/>
    <w:multiLevelType w:val="multilevel"/>
    <w:tmpl w:val="894EE876"/>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4">
    <w:nsid w:val="00000005"/>
    <w:multiLevelType w:val="multilevel"/>
    <w:tmpl w:val="894EE877"/>
    <w:lvl w:ilvl="0">
      <w:start w:val="1"/>
      <w:numFmt w:val="decimal"/>
      <w:isLgl/>
      <w:lvlText w:val="%1."/>
      <w:lvlJc w:val="left"/>
      <w:pPr>
        <w:tabs>
          <w:tab w:val="num" w:pos="359"/>
        </w:tabs>
        <w:ind w:left="359" w:firstLine="349"/>
      </w:pPr>
      <w:rPr>
        <w:rFonts w:cs="Times New Roman" w:hint="default"/>
        <w:color w:val="000000"/>
        <w:position w:val="0"/>
      </w:rPr>
    </w:lvl>
    <w:lvl w:ilvl="1">
      <w:start w:val="1"/>
      <w:numFmt w:val="lowerLetter"/>
      <w:lvlText w:val="%2."/>
      <w:lvlJc w:val="left"/>
      <w:pPr>
        <w:tabs>
          <w:tab w:val="num" w:pos="360"/>
        </w:tabs>
        <w:ind w:left="360" w:firstLine="1800"/>
      </w:pPr>
      <w:rPr>
        <w:rFonts w:cs="Times New Roman" w:hint="default"/>
        <w:color w:val="000000"/>
        <w:position w:val="0"/>
      </w:rPr>
    </w:lvl>
    <w:lvl w:ilvl="2">
      <w:start w:val="1"/>
      <w:numFmt w:val="lowerRoman"/>
      <w:lvlText w:val="%3."/>
      <w:lvlJc w:val="left"/>
      <w:pPr>
        <w:tabs>
          <w:tab w:val="num" w:pos="340"/>
        </w:tabs>
        <w:ind w:left="340" w:firstLine="2540"/>
      </w:pPr>
      <w:rPr>
        <w:rFonts w:cs="Times New Roman" w:hint="default"/>
        <w:color w:val="000000"/>
        <w:position w:val="0"/>
      </w:rPr>
    </w:lvl>
    <w:lvl w:ilvl="3">
      <w:start w:val="1"/>
      <w:numFmt w:val="decimal"/>
      <w:isLgl/>
      <w:lvlText w:val="%4."/>
      <w:lvlJc w:val="left"/>
      <w:pPr>
        <w:tabs>
          <w:tab w:val="num" w:pos="360"/>
        </w:tabs>
        <w:ind w:left="360" w:firstLine="3240"/>
      </w:pPr>
      <w:rPr>
        <w:rFonts w:cs="Times New Roman" w:hint="default"/>
        <w:color w:val="000000"/>
        <w:position w:val="0"/>
      </w:rPr>
    </w:lvl>
    <w:lvl w:ilvl="4">
      <w:start w:val="1"/>
      <w:numFmt w:val="lowerLetter"/>
      <w:lvlText w:val="%5."/>
      <w:lvlJc w:val="left"/>
      <w:pPr>
        <w:tabs>
          <w:tab w:val="num" w:pos="360"/>
        </w:tabs>
        <w:ind w:left="360" w:firstLine="3960"/>
      </w:pPr>
      <w:rPr>
        <w:rFonts w:cs="Times New Roman" w:hint="default"/>
        <w:color w:val="000000"/>
        <w:position w:val="0"/>
      </w:rPr>
    </w:lvl>
    <w:lvl w:ilvl="5">
      <w:start w:val="1"/>
      <w:numFmt w:val="lowerRoman"/>
      <w:lvlText w:val="%6."/>
      <w:lvlJc w:val="left"/>
      <w:pPr>
        <w:tabs>
          <w:tab w:val="num" w:pos="340"/>
        </w:tabs>
        <w:ind w:left="340" w:firstLine="4700"/>
      </w:pPr>
      <w:rPr>
        <w:rFonts w:cs="Times New Roman" w:hint="default"/>
        <w:color w:val="000000"/>
        <w:position w:val="0"/>
      </w:rPr>
    </w:lvl>
    <w:lvl w:ilvl="6">
      <w:start w:val="1"/>
      <w:numFmt w:val="decimal"/>
      <w:isLgl/>
      <w:lvlText w:val="%7."/>
      <w:lvlJc w:val="left"/>
      <w:pPr>
        <w:tabs>
          <w:tab w:val="num" w:pos="360"/>
        </w:tabs>
        <w:ind w:left="360" w:firstLine="5400"/>
      </w:pPr>
      <w:rPr>
        <w:rFonts w:cs="Times New Roman" w:hint="default"/>
        <w:color w:val="000000"/>
        <w:position w:val="0"/>
      </w:rPr>
    </w:lvl>
    <w:lvl w:ilvl="7">
      <w:start w:val="1"/>
      <w:numFmt w:val="lowerLetter"/>
      <w:lvlText w:val="%8."/>
      <w:lvlJc w:val="left"/>
      <w:pPr>
        <w:tabs>
          <w:tab w:val="num" w:pos="360"/>
        </w:tabs>
        <w:ind w:left="360" w:firstLine="6120"/>
      </w:pPr>
      <w:rPr>
        <w:rFonts w:cs="Times New Roman" w:hint="default"/>
        <w:color w:val="000000"/>
        <w:position w:val="0"/>
      </w:rPr>
    </w:lvl>
    <w:lvl w:ilvl="8">
      <w:start w:val="1"/>
      <w:numFmt w:val="lowerRoman"/>
      <w:lvlText w:val="%9."/>
      <w:lvlJc w:val="left"/>
      <w:pPr>
        <w:tabs>
          <w:tab w:val="num" w:pos="340"/>
        </w:tabs>
        <w:ind w:left="340" w:firstLine="6860"/>
      </w:pPr>
      <w:rPr>
        <w:rFonts w:cs="Times New Roman" w:hint="default"/>
        <w:color w:val="000000"/>
        <w:position w:val="0"/>
      </w:rPr>
    </w:lvl>
  </w:abstractNum>
  <w:abstractNum w:abstractNumId="5">
    <w:nsid w:val="00000006"/>
    <w:multiLevelType w:val="multilevel"/>
    <w:tmpl w:val="894EE878"/>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6">
    <w:nsid w:val="00000007"/>
    <w:multiLevelType w:val="multilevel"/>
    <w:tmpl w:val="894EE879"/>
    <w:lvl w:ilvl="0">
      <w:start w:val="1"/>
      <w:numFmt w:val="decimal"/>
      <w:isLgl/>
      <w:lvlText w:val="%1."/>
      <w:lvlJc w:val="left"/>
      <w:pPr>
        <w:tabs>
          <w:tab w:val="num" w:pos="359"/>
        </w:tabs>
        <w:ind w:left="359" w:firstLine="357"/>
      </w:pPr>
      <w:rPr>
        <w:rFonts w:cs="Times New Roman" w:hint="default"/>
        <w:color w:val="000000"/>
        <w:position w:val="0"/>
      </w:rPr>
    </w:lvl>
    <w:lvl w:ilvl="1">
      <w:start w:val="1"/>
      <w:numFmt w:val="lowerLetter"/>
      <w:lvlText w:val="%2."/>
      <w:lvlJc w:val="left"/>
      <w:pPr>
        <w:tabs>
          <w:tab w:val="num" w:pos="359"/>
        </w:tabs>
        <w:ind w:left="359" w:firstLine="1800"/>
      </w:pPr>
      <w:rPr>
        <w:rFonts w:cs="Times New Roman" w:hint="default"/>
        <w:color w:val="000000"/>
        <w:position w:val="0"/>
      </w:rPr>
    </w:lvl>
    <w:lvl w:ilvl="2">
      <w:start w:val="1"/>
      <w:numFmt w:val="lowerRoman"/>
      <w:lvlText w:val="%3."/>
      <w:lvlJc w:val="left"/>
      <w:pPr>
        <w:tabs>
          <w:tab w:val="num" w:pos="340"/>
        </w:tabs>
        <w:ind w:left="340" w:firstLine="2540"/>
      </w:pPr>
      <w:rPr>
        <w:rFonts w:cs="Times New Roman" w:hint="default"/>
        <w:color w:val="000000"/>
        <w:position w:val="0"/>
      </w:rPr>
    </w:lvl>
    <w:lvl w:ilvl="3">
      <w:start w:val="1"/>
      <w:numFmt w:val="decimal"/>
      <w:isLgl/>
      <w:lvlText w:val="%4."/>
      <w:lvlJc w:val="left"/>
      <w:pPr>
        <w:tabs>
          <w:tab w:val="num" w:pos="360"/>
        </w:tabs>
        <w:ind w:left="360" w:firstLine="3240"/>
      </w:pPr>
      <w:rPr>
        <w:rFonts w:cs="Times New Roman" w:hint="default"/>
        <w:color w:val="000000"/>
        <w:position w:val="0"/>
      </w:rPr>
    </w:lvl>
    <w:lvl w:ilvl="4">
      <w:start w:val="1"/>
      <w:numFmt w:val="lowerLetter"/>
      <w:lvlText w:val="%5."/>
      <w:lvlJc w:val="left"/>
      <w:pPr>
        <w:tabs>
          <w:tab w:val="num" w:pos="360"/>
        </w:tabs>
        <w:ind w:left="360" w:firstLine="3960"/>
      </w:pPr>
      <w:rPr>
        <w:rFonts w:cs="Times New Roman" w:hint="default"/>
        <w:color w:val="000000"/>
        <w:position w:val="0"/>
      </w:rPr>
    </w:lvl>
    <w:lvl w:ilvl="5">
      <w:start w:val="1"/>
      <w:numFmt w:val="lowerRoman"/>
      <w:lvlText w:val="%6."/>
      <w:lvlJc w:val="left"/>
      <w:pPr>
        <w:tabs>
          <w:tab w:val="num" w:pos="340"/>
        </w:tabs>
        <w:ind w:left="340" w:firstLine="4700"/>
      </w:pPr>
      <w:rPr>
        <w:rFonts w:cs="Times New Roman" w:hint="default"/>
        <w:color w:val="000000"/>
        <w:position w:val="0"/>
      </w:rPr>
    </w:lvl>
    <w:lvl w:ilvl="6">
      <w:start w:val="1"/>
      <w:numFmt w:val="decimal"/>
      <w:isLgl/>
      <w:lvlText w:val="%7."/>
      <w:lvlJc w:val="left"/>
      <w:pPr>
        <w:tabs>
          <w:tab w:val="num" w:pos="360"/>
        </w:tabs>
        <w:ind w:left="360" w:firstLine="5400"/>
      </w:pPr>
      <w:rPr>
        <w:rFonts w:cs="Times New Roman" w:hint="default"/>
        <w:color w:val="000000"/>
        <w:position w:val="0"/>
      </w:rPr>
    </w:lvl>
    <w:lvl w:ilvl="7">
      <w:start w:val="1"/>
      <w:numFmt w:val="lowerLetter"/>
      <w:lvlText w:val="%8."/>
      <w:lvlJc w:val="left"/>
      <w:pPr>
        <w:tabs>
          <w:tab w:val="num" w:pos="360"/>
        </w:tabs>
        <w:ind w:left="360" w:firstLine="6120"/>
      </w:pPr>
      <w:rPr>
        <w:rFonts w:cs="Times New Roman" w:hint="default"/>
        <w:color w:val="000000"/>
        <w:position w:val="0"/>
      </w:rPr>
    </w:lvl>
    <w:lvl w:ilvl="8">
      <w:start w:val="1"/>
      <w:numFmt w:val="lowerRoman"/>
      <w:lvlText w:val="%9."/>
      <w:lvlJc w:val="left"/>
      <w:pPr>
        <w:tabs>
          <w:tab w:val="num" w:pos="340"/>
        </w:tabs>
        <w:ind w:left="340" w:firstLine="6860"/>
      </w:pPr>
      <w:rPr>
        <w:rFonts w:cs="Times New Roman" w:hint="default"/>
        <w:color w:val="000000"/>
        <w:position w:val="0"/>
      </w:rPr>
    </w:lvl>
  </w:abstractNum>
  <w:abstractNum w:abstractNumId="7">
    <w:nsid w:val="00000008"/>
    <w:multiLevelType w:val="multilevel"/>
    <w:tmpl w:val="894EE87A"/>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8">
    <w:nsid w:val="0C39221C"/>
    <w:multiLevelType w:val="hybridMultilevel"/>
    <w:tmpl w:val="0B0889D4"/>
    <w:lvl w:ilvl="0" w:tplc="B4E8B3A0">
      <w:start w:val="1"/>
      <w:numFmt w:val="lowerRoman"/>
      <w:lvlText w:val="(%1)"/>
      <w:lvlJc w:val="left"/>
      <w:pPr>
        <w:ind w:left="1440" w:hanging="72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123F2E0A"/>
    <w:multiLevelType w:val="hybridMultilevel"/>
    <w:tmpl w:val="D302AB3E"/>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0">
    <w:nsid w:val="1496020F"/>
    <w:multiLevelType w:val="hybridMultilevel"/>
    <w:tmpl w:val="BD64256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nsid w:val="2A716630"/>
    <w:multiLevelType w:val="hybridMultilevel"/>
    <w:tmpl w:val="F93C31F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43B071CB"/>
    <w:multiLevelType w:val="hybridMultilevel"/>
    <w:tmpl w:val="741499B8"/>
    <w:lvl w:ilvl="0" w:tplc="B4E8B3A0">
      <w:start w:val="1"/>
      <w:numFmt w:val="lowerRoman"/>
      <w:lvlText w:val="(%1)"/>
      <w:lvlJc w:val="left"/>
      <w:pPr>
        <w:ind w:left="3606" w:hanging="720"/>
      </w:pPr>
      <w:rPr>
        <w:rFonts w:cs="Times New Roman" w:hint="default"/>
      </w:rPr>
    </w:lvl>
    <w:lvl w:ilvl="1" w:tplc="04050019">
      <w:start w:val="1"/>
      <w:numFmt w:val="lowerLetter"/>
      <w:lvlText w:val="%2."/>
      <w:lvlJc w:val="left"/>
      <w:pPr>
        <w:ind w:left="3966" w:hanging="360"/>
      </w:pPr>
      <w:rPr>
        <w:rFonts w:cs="Times New Roman"/>
      </w:rPr>
    </w:lvl>
    <w:lvl w:ilvl="2" w:tplc="0405001B" w:tentative="1">
      <w:start w:val="1"/>
      <w:numFmt w:val="lowerRoman"/>
      <w:lvlText w:val="%3."/>
      <w:lvlJc w:val="right"/>
      <w:pPr>
        <w:ind w:left="4686" w:hanging="180"/>
      </w:pPr>
      <w:rPr>
        <w:rFonts w:cs="Times New Roman"/>
      </w:rPr>
    </w:lvl>
    <w:lvl w:ilvl="3" w:tplc="0405000F" w:tentative="1">
      <w:start w:val="1"/>
      <w:numFmt w:val="decimal"/>
      <w:lvlText w:val="%4."/>
      <w:lvlJc w:val="left"/>
      <w:pPr>
        <w:ind w:left="5406" w:hanging="360"/>
      </w:pPr>
      <w:rPr>
        <w:rFonts w:cs="Times New Roman"/>
      </w:rPr>
    </w:lvl>
    <w:lvl w:ilvl="4" w:tplc="04050019" w:tentative="1">
      <w:start w:val="1"/>
      <w:numFmt w:val="lowerLetter"/>
      <w:lvlText w:val="%5."/>
      <w:lvlJc w:val="left"/>
      <w:pPr>
        <w:ind w:left="6126" w:hanging="360"/>
      </w:pPr>
      <w:rPr>
        <w:rFonts w:cs="Times New Roman"/>
      </w:rPr>
    </w:lvl>
    <w:lvl w:ilvl="5" w:tplc="0405001B" w:tentative="1">
      <w:start w:val="1"/>
      <w:numFmt w:val="lowerRoman"/>
      <w:lvlText w:val="%6."/>
      <w:lvlJc w:val="right"/>
      <w:pPr>
        <w:ind w:left="6846" w:hanging="180"/>
      </w:pPr>
      <w:rPr>
        <w:rFonts w:cs="Times New Roman"/>
      </w:rPr>
    </w:lvl>
    <w:lvl w:ilvl="6" w:tplc="0405000F" w:tentative="1">
      <w:start w:val="1"/>
      <w:numFmt w:val="decimal"/>
      <w:lvlText w:val="%7."/>
      <w:lvlJc w:val="left"/>
      <w:pPr>
        <w:ind w:left="7566" w:hanging="360"/>
      </w:pPr>
      <w:rPr>
        <w:rFonts w:cs="Times New Roman"/>
      </w:rPr>
    </w:lvl>
    <w:lvl w:ilvl="7" w:tplc="04050019" w:tentative="1">
      <w:start w:val="1"/>
      <w:numFmt w:val="lowerLetter"/>
      <w:lvlText w:val="%8."/>
      <w:lvlJc w:val="left"/>
      <w:pPr>
        <w:ind w:left="8286" w:hanging="360"/>
      </w:pPr>
      <w:rPr>
        <w:rFonts w:cs="Times New Roman"/>
      </w:rPr>
    </w:lvl>
    <w:lvl w:ilvl="8" w:tplc="0405001B" w:tentative="1">
      <w:start w:val="1"/>
      <w:numFmt w:val="lowerRoman"/>
      <w:lvlText w:val="%9."/>
      <w:lvlJc w:val="right"/>
      <w:pPr>
        <w:ind w:left="9006" w:hanging="180"/>
      </w:pPr>
      <w:rPr>
        <w:rFonts w:cs="Times New Roman"/>
      </w:rPr>
    </w:lvl>
  </w:abstractNum>
  <w:abstractNum w:abstractNumId="13">
    <w:nsid w:val="46377971"/>
    <w:multiLevelType w:val="multilevel"/>
    <w:tmpl w:val="894EE87A"/>
    <w:lvl w:ilvl="0">
      <w:start w:val="1"/>
      <w:numFmt w:val="decimal"/>
      <w:isLgl/>
      <w:lvlText w:val="%1."/>
      <w:lvlJc w:val="left"/>
      <w:pPr>
        <w:tabs>
          <w:tab w:val="num" w:pos="348"/>
        </w:tabs>
        <w:ind w:left="348" w:firstLine="360"/>
      </w:pPr>
      <w:rPr>
        <w:rFonts w:cs="Times New Roman" w:hint="default"/>
        <w:color w:val="000000"/>
        <w:position w:val="0"/>
      </w:rPr>
    </w:lvl>
    <w:lvl w:ilvl="1">
      <w:start w:val="1"/>
      <w:numFmt w:val="lowerLetter"/>
      <w:lvlText w:val="%2."/>
      <w:lvlJc w:val="left"/>
      <w:pPr>
        <w:tabs>
          <w:tab w:val="num" w:pos="360"/>
        </w:tabs>
        <w:ind w:left="360" w:firstLine="1080"/>
      </w:pPr>
      <w:rPr>
        <w:rFonts w:cs="Times New Roman" w:hint="default"/>
        <w:color w:val="000000"/>
        <w:position w:val="0"/>
      </w:rPr>
    </w:lvl>
    <w:lvl w:ilvl="2">
      <w:start w:val="1"/>
      <w:numFmt w:val="lowerRoman"/>
      <w:lvlText w:val="%3."/>
      <w:lvlJc w:val="left"/>
      <w:pPr>
        <w:tabs>
          <w:tab w:val="num" w:pos="340"/>
        </w:tabs>
        <w:ind w:left="340" w:firstLine="1820"/>
      </w:pPr>
      <w:rPr>
        <w:rFonts w:cs="Times New Roman" w:hint="default"/>
        <w:color w:val="000000"/>
        <w:position w:val="0"/>
      </w:rPr>
    </w:lvl>
    <w:lvl w:ilvl="3">
      <w:start w:val="1"/>
      <w:numFmt w:val="decimal"/>
      <w:isLgl/>
      <w:lvlText w:val="%4."/>
      <w:lvlJc w:val="left"/>
      <w:pPr>
        <w:tabs>
          <w:tab w:val="num" w:pos="360"/>
        </w:tabs>
        <w:ind w:left="360" w:firstLine="2520"/>
      </w:pPr>
      <w:rPr>
        <w:rFonts w:cs="Times New Roman" w:hint="default"/>
        <w:color w:val="000000"/>
        <w:position w:val="0"/>
      </w:rPr>
    </w:lvl>
    <w:lvl w:ilvl="4">
      <w:start w:val="1"/>
      <w:numFmt w:val="lowerLetter"/>
      <w:lvlText w:val="%5."/>
      <w:lvlJc w:val="left"/>
      <w:pPr>
        <w:tabs>
          <w:tab w:val="num" w:pos="360"/>
        </w:tabs>
        <w:ind w:left="360" w:firstLine="3240"/>
      </w:pPr>
      <w:rPr>
        <w:rFonts w:cs="Times New Roman" w:hint="default"/>
        <w:color w:val="000000"/>
        <w:position w:val="0"/>
      </w:rPr>
    </w:lvl>
    <w:lvl w:ilvl="5">
      <w:start w:val="1"/>
      <w:numFmt w:val="lowerRoman"/>
      <w:lvlText w:val="%6."/>
      <w:lvlJc w:val="left"/>
      <w:pPr>
        <w:tabs>
          <w:tab w:val="num" w:pos="340"/>
        </w:tabs>
        <w:ind w:left="340" w:firstLine="3980"/>
      </w:pPr>
      <w:rPr>
        <w:rFonts w:cs="Times New Roman" w:hint="default"/>
        <w:color w:val="000000"/>
        <w:position w:val="0"/>
      </w:rPr>
    </w:lvl>
    <w:lvl w:ilvl="6">
      <w:start w:val="1"/>
      <w:numFmt w:val="decimal"/>
      <w:isLgl/>
      <w:lvlText w:val="%7."/>
      <w:lvlJc w:val="left"/>
      <w:pPr>
        <w:tabs>
          <w:tab w:val="num" w:pos="360"/>
        </w:tabs>
        <w:ind w:left="360" w:firstLine="4680"/>
      </w:pPr>
      <w:rPr>
        <w:rFonts w:cs="Times New Roman" w:hint="default"/>
        <w:color w:val="000000"/>
        <w:position w:val="0"/>
      </w:rPr>
    </w:lvl>
    <w:lvl w:ilvl="7">
      <w:start w:val="1"/>
      <w:numFmt w:val="lowerLetter"/>
      <w:lvlText w:val="%8."/>
      <w:lvlJc w:val="left"/>
      <w:pPr>
        <w:tabs>
          <w:tab w:val="num" w:pos="360"/>
        </w:tabs>
        <w:ind w:left="360" w:firstLine="5400"/>
      </w:pPr>
      <w:rPr>
        <w:rFonts w:cs="Times New Roman" w:hint="default"/>
        <w:color w:val="000000"/>
        <w:position w:val="0"/>
      </w:rPr>
    </w:lvl>
    <w:lvl w:ilvl="8">
      <w:start w:val="1"/>
      <w:numFmt w:val="lowerRoman"/>
      <w:lvlText w:val="%9."/>
      <w:lvlJc w:val="left"/>
      <w:pPr>
        <w:tabs>
          <w:tab w:val="num" w:pos="340"/>
        </w:tabs>
        <w:ind w:left="340" w:firstLine="6140"/>
      </w:pPr>
      <w:rPr>
        <w:rFonts w:cs="Times New Roman" w:hint="default"/>
        <w:color w:val="000000"/>
        <w:position w:val="0"/>
      </w:rPr>
    </w:lvl>
  </w:abstractNum>
  <w:abstractNum w:abstractNumId="14">
    <w:nsid w:val="4B647346"/>
    <w:multiLevelType w:val="hybridMultilevel"/>
    <w:tmpl w:val="E8B05442"/>
    <w:lvl w:ilvl="0" w:tplc="B4E8B3A0">
      <w:start w:val="1"/>
      <w:numFmt w:val="lowerRoman"/>
      <w:lvlText w:val="(%1)"/>
      <w:lvlJc w:val="left"/>
      <w:pPr>
        <w:ind w:left="1440" w:hanging="72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6A06422A"/>
    <w:multiLevelType w:val="hybridMultilevel"/>
    <w:tmpl w:val="22B82E1A"/>
    <w:lvl w:ilvl="0" w:tplc="CA583D20">
      <w:start w:val="1"/>
      <w:numFmt w:val="bullet"/>
      <w:lvlText w:val=""/>
      <w:lvlJc w:val="left"/>
      <w:pPr>
        <w:ind w:left="1066" w:hanging="360"/>
      </w:pPr>
      <w:rPr>
        <w:rFonts w:ascii="Wingdings" w:hAnsi="Wingdings" w:hint="default"/>
      </w:rPr>
    </w:lvl>
    <w:lvl w:ilvl="1" w:tplc="04050003" w:tentative="1">
      <w:start w:val="1"/>
      <w:numFmt w:val="bullet"/>
      <w:lvlText w:val="o"/>
      <w:lvlJc w:val="left"/>
      <w:pPr>
        <w:ind w:left="1786" w:hanging="360"/>
      </w:pPr>
      <w:rPr>
        <w:rFonts w:ascii="Courier New" w:hAnsi="Courier New" w:hint="default"/>
      </w:rPr>
    </w:lvl>
    <w:lvl w:ilvl="2" w:tplc="04050005" w:tentative="1">
      <w:start w:val="1"/>
      <w:numFmt w:val="bullet"/>
      <w:lvlText w:val=""/>
      <w:lvlJc w:val="left"/>
      <w:pPr>
        <w:ind w:left="2506" w:hanging="360"/>
      </w:pPr>
      <w:rPr>
        <w:rFonts w:ascii="Wingdings" w:hAnsi="Wingdings" w:hint="default"/>
      </w:rPr>
    </w:lvl>
    <w:lvl w:ilvl="3" w:tplc="04050001" w:tentative="1">
      <w:start w:val="1"/>
      <w:numFmt w:val="bullet"/>
      <w:lvlText w:val=""/>
      <w:lvlJc w:val="left"/>
      <w:pPr>
        <w:ind w:left="3226" w:hanging="360"/>
      </w:pPr>
      <w:rPr>
        <w:rFonts w:ascii="Symbol" w:hAnsi="Symbol" w:hint="default"/>
      </w:rPr>
    </w:lvl>
    <w:lvl w:ilvl="4" w:tplc="04050003" w:tentative="1">
      <w:start w:val="1"/>
      <w:numFmt w:val="bullet"/>
      <w:lvlText w:val="o"/>
      <w:lvlJc w:val="left"/>
      <w:pPr>
        <w:ind w:left="3946" w:hanging="360"/>
      </w:pPr>
      <w:rPr>
        <w:rFonts w:ascii="Courier New" w:hAnsi="Courier New" w:hint="default"/>
      </w:rPr>
    </w:lvl>
    <w:lvl w:ilvl="5" w:tplc="04050005" w:tentative="1">
      <w:start w:val="1"/>
      <w:numFmt w:val="bullet"/>
      <w:lvlText w:val=""/>
      <w:lvlJc w:val="left"/>
      <w:pPr>
        <w:ind w:left="4666" w:hanging="360"/>
      </w:pPr>
      <w:rPr>
        <w:rFonts w:ascii="Wingdings" w:hAnsi="Wingdings" w:hint="default"/>
      </w:rPr>
    </w:lvl>
    <w:lvl w:ilvl="6" w:tplc="04050001" w:tentative="1">
      <w:start w:val="1"/>
      <w:numFmt w:val="bullet"/>
      <w:lvlText w:val=""/>
      <w:lvlJc w:val="left"/>
      <w:pPr>
        <w:ind w:left="5386" w:hanging="360"/>
      </w:pPr>
      <w:rPr>
        <w:rFonts w:ascii="Symbol" w:hAnsi="Symbol" w:hint="default"/>
      </w:rPr>
    </w:lvl>
    <w:lvl w:ilvl="7" w:tplc="04050003" w:tentative="1">
      <w:start w:val="1"/>
      <w:numFmt w:val="bullet"/>
      <w:lvlText w:val="o"/>
      <w:lvlJc w:val="left"/>
      <w:pPr>
        <w:ind w:left="6106" w:hanging="360"/>
      </w:pPr>
      <w:rPr>
        <w:rFonts w:ascii="Courier New" w:hAnsi="Courier New" w:hint="default"/>
      </w:rPr>
    </w:lvl>
    <w:lvl w:ilvl="8" w:tplc="04050005" w:tentative="1">
      <w:start w:val="1"/>
      <w:numFmt w:val="bullet"/>
      <w:lvlText w:val=""/>
      <w:lvlJc w:val="left"/>
      <w:pPr>
        <w:ind w:left="6826" w:hanging="360"/>
      </w:pPr>
      <w:rPr>
        <w:rFonts w:ascii="Wingdings" w:hAnsi="Wingdings" w:hint="default"/>
      </w:rPr>
    </w:lvl>
  </w:abstractNum>
  <w:abstractNum w:abstractNumId="16">
    <w:nsid w:val="6D8E38C9"/>
    <w:multiLevelType w:val="hybridMultilevel"/>
    <w:tmpl w:val="02C0CFF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6F7D5283"/>
    <w:multiLevelType w:val="multilevel"/>
    <w:tmpl w:val="4C0CEF38"/>
    <w:lvl w:ilvl="0">
      <w:start w:val="3"/>
      <w:numFmt w:val="decimal"/>
      <w:isLgl/>
      <w:lvlText w:val="%1."/>
      <w:lvlJc w:val="left"/>
      <w:pPr>
        <w:tabs>
          <w:tab w:val="num" w:pos="359"/>
        </w:tabs>
        <w:ind w:left="359" w:firstLine="357"/>
      </w:pPr>
      <w:rPr>
        <w:rFonts w:cs="Times New Roman" w:hint="default"/>
        <w:color w:val="000000"/>
        <w:position w:val="0"/>
      </w:rPr>
    </w:lvl>
    <w:lvl w:ilvl="1">
      <w:start w:val="1"/>
      <w:numFmt w:val="lowerLetter"/>
      <w:lvlText w:val="%2."/>
      <w:lvlJc w:val="left"/>
      <w:pPr>
        <w:tabs>
          <w:tab w:val="num" w:pos="359"/>
        </w:tabs>
        <w:ind w:left="359" w:firstLine="1800"/>
      </w:pPr>
      <w:rPr>
        <w:rFonts w:cs="Times New Roman" w:hint="default"/>
        <w:color w:val="000000"/>
        <w:position w:val="0"/>
      </w:rPr>
    </w:lvl>
    <w:lvl w:ilvl="2">
      <w:start w:val="1"/>
      <w:numFmt w:val="lowerRoman"/>
      <w:lvlText w:val="%3."/>
      <w:lvlJc w:val="left"/>
      <w:pPr>
        <w:tabs>
          <w:tab w:val="num" w:pos="340"/>
        </w:tabs>
        <w:ind w:left="340" w:firstLine="2540"/>
      </w:pPr>
      <w:rPr>
        <w:rFonts w:cs="Times New Roman" w:hint="default"/>
        <w:color w:val="000000"/>
        <w:position w:val="0"/>
      </w:rPr>
    </w:lvl>
    <w:lvl w:ilvl="3">
      <w:start w:val="1"/>
      <w:numFmt w:val="decimal"/>
      <w:isLgl/>
      <w:lvlText w:val="%4."/>
      <w:lvlJc w:val="left"/>
      <w:pPr>
        <w:tabs>
          <w:tab w:val="num" w:pos="360"/>
        </w:tabs>
        <w:ind w:left="360" w:firstLine="3240"/>
      </w:pPr>
      <w:rPr>
        <w:rFonts w:cs="Times New Roman" w:hint="default"/>
        <w:color w:val="000000"/>
        <w:position w:val="0"/>
      </w:rPr>
    </w:lvl>
    <w:lvl w:ilvl="4">
      <w:start w:val="1"/>
      <w:numFmt w:val="lowerLetter"/>
      <w:lvlText w:val="%5."/>
      <w:lvlJc w:val="left"/>
      <w:pPr>
        <w:tabs>
          <w:tab w:val="num" w:pos="360"/>
        </w:tabs>
        <w:ind w:left="360" w:firstLine="3960"/>
      </w:pPr>
      <w:rPr>
        <w:rFonts w:cs="Times New Roman" w:hint="default"/>
        <w:color w:val="000000"/>
        <w:position w:val="0"/>
      </w:rPr>
    </w:lvl>
    <w:lvl w:ilvl="5">
      <w:start w:val="1"/>
      <w:numFmt w:val="lowerRoman"/>
      <w:lvlText w:val="%6."/>
      <w:lvlJc w:val="left"/>
      <w:pPr>
        <w:tabs>
          <w:tab w:val="num" w:pos="340"/>
        </w:tabs>
        <w:ind w:left="340" w:firstLine="4700"/>
      </w:pPr>
      <w:rPr>
        <w:rFonts w:cs="Times New Roman" w:hint="default"/>
        <w:color w:val="000000"/>
        <w:position w:val="0"/>
      </w:rPr>
    </w:lvl>
    <w:lvl w:ilvl="6">
      <w:start w:val="1"/>
      <w:numFmt w:val="decimal"/>
      <w:isLgl/>
      <w:lvlText w:val="%7."/>
      <w:lvlJc w:val="left"/>
      <w:pPr>
        <w:tabs>
          <w:tab w:val="num" w:pos="360"/>
        </w:tabs>
        <w:ind w:left="360" w:firstLine="5400"/>
      </w:pPr>
      <w:rPr>
        <w:rFonts w:cs="Times New Roman" w:hint="default"/>
        <w:color w:val="000000"/>
        <w:position w:val="0"/>
      </w:rPr>
    </w:lvl>
    <w:lvl w:ilvl="7">
      <w:start w:val="1"/>
      <w:numFmt w:val="lowerLetter"/>
      <w:lvlText w:val="%8."/>
      <w:lvlJc w:val="left"/>
      <w:pPr>
        <w:tabs>
          <w:tab w:val="num" w:pos="360"/>
        </w:tabs>
        <w:ind w:left="360" w:firstLine="6120"/>
      </w:pPr>
      <w:rPr>
        <w:rFonts w:cs="Times New Roman" w:hint="default"/>
        <w:color w:val="000000"/>
        <w:position w:val="0"/>
      </w:rPr>
    </w:lvl>
    <w:lvl w:ilvl="8">
      <w:start w:val="1"/>
      <w:numFmt w:val="lowerRoman"/>
      <w:lvlText w:val="%9."/>
      <w:lvlJc w:val="left"/>
      <w:pPr>
        <w:tabs>
          <w:tab w:val="num" w:pos="340"/>
        </w:tabs>
        <w:ind w:left="340" w:firstLine="6860"/>
      </w:pPr>
      <w:rPr>
        <w:rFonts w:cs="Times New Roman" w:hint="default"/>
        <w:color w:val="000000"/>
        <w:position w:val="0"/>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 w:numId="9">
    <w:abstractNumId w:val="13"/>
  </w:num>
  <w:num w:numId="10">
    <w:abstractNumId w:val="14"/>
  </w:num>
  <w:num w:numId="11">
    <w:abstractNumId w:val="17"/>
  </w:num>
  <w:num w:numId="12">
    <w:abstractNumId w:val="12"/>
  </w:num>
  <w:num w:numId="13">
    <w:abstractNumId w:val="8"/>
  </w:num>
  <w:num w:numId="14">
    <w:abstractNumId w:val="15"/>
  </w:num>
  <w:num w:numId="15">
    <w:abstractNumId w:val="9"/>
  </w:num>
  <w:num w:numId="16">
    <w:abstractNumId w:val="11"/>
  </w:num>
  <w:num w:numId="17">
    <w:abstractNumId w:val="16"/>
  </w:num>
  <w:num w:numId="18">
    <w:abstractNumId w:val="1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20C1"/>
    <w:rsid w:val="000009B5"/>
    <w:rsid w:val="0000406D"/>
    <w:rsid w:val="000133FA"/>
    <w:rsid w:val="00022C97"/>
    <w:rsid w:val="00024652"/>
    <w:rsid w:val="000274FB"/>
    <w:rsid w:val="000348E5"/>
    <w:rsid w:val="00055F67"/>
    <w:rsid w:val="00057341"/>
    <w:rsid w:val="000621A3"/>
    <w:rsid w:val="0006697A"/>
    <w:rsid w:val="00086527"/>
    <w:rsid w:val="00092D52"/>
    <w:rsid w:val="000B1F67"/>
    <w:rsid w:val="000B7AEA"/>
    <w:rsid w:val="000D5740"/>
    <w:rsid w:val="000E394F"/>
    <w:rsid w:val="000E50AE"/>
    <w:rsid w:val="000E70BC"/>
    <w:rsid w:val="0010367E"/>
    <w:rsid w:val="00134E7B"/>
    <w:rsid w:val="00141953"/>
    <w:rsid w:val="0016196A"/>
    <w:rsid w:val="00170AFF"/>
    <w:rsid w:val="001736D0"/>
    <w:rsid w:val="00185C5E"/>
    <w:rsid w:val="00191381"/>
    <w:rsid w:val="001B385D"/>
    <w:rsid w:val="001C1B15"/>
    <w:rsid w:val="00212361"/>
    <w:rsid w:val="00215CC0"/>
    <w:rsid w:val="00236C94"/>
    <w:rsid w:val="002576E6"/>
    <w:rsid w:val="0026480F"/>
    <w:rsid w:val="002F371F"/>
    <w:rsid w:val="00300360"/>
    <w:rsid w:val="00301B96"/>
    <w:rsid w:val="00325EDA"/>
    <w:rsid w:val="00346885"/>
    <w:rsid w:val="00375278"/>
    <w:rsid w:val="003815F1"/>
    <w:rsid w:val="00387B8F"/>
    <w:rsid w:val="0039477C"/>
    <w:rsid w:val="003B6C2E"/>
    <w:rsid w:val="003C43D9"/>
    <w:rsid w:val="003C4BFF"/>
    <w:rsid w:val="003C58B6"/>
    <w:rsid w:val="003E0662"/>
    <w:rsid w:val="0043199C"/>
    <w:rsid w:val="004364DC"/>
    <w:rsid w:val="004507C7"/>
    <w:rsid w:val="0045108F"/>
    <w:rsid w:val="00451C15"/>
    <w:rsid w:val="00455BFA"/>
    <w:rsid w:val="00461D7E"/>
    <w:rsid w:val="004812A1"/>
    <w:rsid w:val="00484588"/>
    <w:rsid w:val="0048458D"/>
    <w:rsid w:val="00485F8C"/>
    <w:rsid w:val="004920C1"/>
    <w:rsid w:val="004A2C3D"/>
    <w:rsid w:val="004C445B"/>
    <w:rsid w:val="004E1535"/>
    <w:rsid w:val="004E5AA1"/>
    <w:rsid w:val="0051258A"/>
    <w:rsid w:val="00540885"/>
    <w:rsid w:val="00555002"/>
    <w:rsid w:val="0057124B"/>
    <w:rsid w:val="005916E1"/>
    <w:rsid w:val="00592B56"/>
    <w:rsid w:val="005930DF"/>
    <w:rsid w:val="005A2B0B"/>
    <w:rsid w:val="005B3561"/>
    <w:rsid w:val="005B3730"/>
    <w:rsid w:val="005C3BF9"/>
    <w:rsid w:val="005D0AF7"/>
    <w:rsid w:val="005E798B"/>
    <w:rsid w:val="006121F2"/>
    <w:rsid w:val="006548C6"/>
    <w:rsid w:val="00655B7C"/>
    <w:rsid w:val="00664C83"/>
    <w:rsid w:val="006921CB"/>
    <w:rsid w:val="006941E8"/>
    <w:rsid w:val="0069551D"/>
    <w:rsid w:val="006B635F"/>
    <w:rsid w:val="006C129D"/>
    <w:rsid w:val="006C6DA7"/>
    <w:rsid w:val="006D48CA"/>
    <w:rsid w:val="006F4DDB"/>
    <w:rsid w:val="007108C7"/>
    <w:rsid w:val="00751460"/>
    <w:rsid w:val="00756C50"/>
    <w:rsid w:val="00762C50"/>
    <w:rsid w:val="007664A7"/>
    <w:rsid w:val="00777FA1"/>
    <w:rsid w:val="0079608D"/>
    <w:rsid w:val="007A674F"/>
    <w:rsid w:val="007A7862"/>
    <w:rsid w:val="007C13B4"/>
    <w:rsid w:val="007C704F"/>
    <w:rsid w:val="007D53A6"/>
    <w:rsid w:val="007D6EEB"/>
    <w:rsid w:val="007F0767"/>
    <w:rsid w:val="00802979"/>
    <w:rsid w:val="00813295"/>
    <w:rsid w:val="00833BE7"/>
    <w:rsid w:val="00834AC1"/>
    <w:rsid w:val="008554EF"/>
    <w:rsid w:val="00865BBD"/>
    <w:rsid w:val="00883AB2"/>
    <w:rsid w:val="008A1498"/>
    <w:rsid w:val="008A6939"/>
    <w:rsid w:val="008B2714"/>
    <w:rsid w:val="008D2D17"/>
    <w:rsid w:val="009009F6"/>
    <w:rsid w:val="009121DC"/>
    <w:rsid w:val="00915CDB"/>
    <w:rsid w:val="0092136B"/>
    <w:rsid w:val="00927369"/>
    <w:rsid w:val="00955D06"/>
    <w:rsid w:val="009700F4"/>
    <w:rsid w:val="00997770"/>
    <w:rsid w:val="009C1644"/>
    <w:rsid w:val="009D1315"/>
    <w:rsid w:val="009E280E"/>
    <w:rsid w:val="009F76B9"/>
    <w:rsid w:val="00A061DE"/>
    <w:rsid w:val="00A33783"/>
    <w:rsid w:val="00A518C4"/>
    <w:rsid w:val="00A80817"/>
    <w:rsid w:val="00AA104A"/>
    <w:rsid w:val="00AB7E04"/>
    <w:rsid w:val="00B10EC7"/>
    <w:rsid w:val="00B16780"/>
    <w:rsid w:val="00B30AE1"/>
    <w:rsid w:val="00B37D8B"/>
    <w:rsid w:val="00B41881"/>
    <w:rsid w:val="00B6074C"/>
    <w:rsid w:val="00B825A6"/>
    <w:rsid w:val="00B91B19"/>
    <w:rsid w:val="00B96E25"/>
    <w:rsid w:val="00BD7D56"/>
    <w:rsid w:val="00BE3933"/>
    <w:rsid w:val="00C37CF1"/>
    <w:rsid w:val="00C435AC"/>
    <w:rsid w:val="00C83CCD"/>
    <w:rsid w:val="00CA7FC0"/>
    <w:rsid w:val="00CD103B"/>
    <w:rsid w:val="00D06965"/>
    <w:rsid w:val="00D1007C"/>
    <w:rsid w:val="00D102FB"/>
    <w:rsid w:val="00D25BB6"/>
    <w:rsid w:val="00D30C99"/>
    <w:rsid w:val="00D33D3C"/>
    <w:rsid w:val="00D37942"/>
    <w:rsid w:val="00D56933"/>
    <w:rsid w:val="00D65255"/>
    <w:rsid w:val="00DB22D2"/>
    <w:rsid w:val="00DB576D"/>
    <w:rsid w:val="00DB737B"/>
    <w:rsid w:val="00DD6000"/>
    <w:rsid w:val="00DE5B8E"/>
    <w:rsid w:val="00DF3552"/>
    <w:rsid w:val="00DF5049"/>
    <w:rsid w:val="00E00145"/>
    <w:rsid w:val="00E066C5"/>
    <w:rsid w:val="00E122B3"/>
    <w:rsid w:val="00E31D6B"/>
    <w:rsid w:val="00EA116E"/>
    <w:rsid w:val="00F26FAA"/>
    <w:rsid w:val="00F37EED"/>
    <w:rsid w:val="00F418DC"/>
    <w:rsid w:val="00F53276"/>
    <w:rsid w:val="00F54CDF"/>
    <w:rsid w:val="00F63CB2"/>
    <w:rsid w:val="00F72898"/>
    <w:rsid w:val="00F73B34"/>
    <w:rsid w:val="00F81D59"/>
    <w:rsid w:val="00FA13EC"/>
    <w:rsid w:val="00FA2570"/>
    <w:rsid w:val="00FA4DFB"/>
    <w:rsid w:val="00FA6437"/>
    <w:rsid w:val="00FB36AE"/>
    <w:rsid w:val="00FB74FB"/>
    <w:rsid w:val="00FB7A21"/>
    <w:rsid w:val="00FC4006"/>
    <w:rsid w:val="00FC4331"/>
    <w:rsid w:val="00FD3C66"/>
    <w:rsid w:val="00FD53FC"/>
    <w:rsid w:val="00FD63F0"/>
    <w:rsid w:val="00FD7808"/>
    <w:rsid w:val="00FD7A65"/>
    <w:rsid w:val="00FE16BA"/>
    <w:rsid w:val="00FE1A0E"/>
    <w:rsid w:val="00FF50B6"/>
    <w:rsid w:val="00FF75C1"/>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85D"/>
    <w:pPr>
      <w:spacing w:after="200" w:line="276" w:lineRule="auto"/>
    </w:pPr>
    <w:rPr>
      <w:rFonts w:ascii="Times New Roman" w:eastAsia="?????? Pro W3" w:hAnsi="Times New Roman"/>
      <w:color w:val="000000"/>
      <w:szCs w:val="24"/>
      <w:lang w:eastAsia="en-US"/>
    </w:rPr>
  </w:style>
  <w:style w:type="paragraph" w:styleId="Heading1">
    <w:name w:val="heading 1"/>
    <w:basedOn w:val="Normal"/>
    <w:next w:val="Normal"/>
    <w:link w:val="Heading1Char"/>
    <w:uiPriority w:val="99"/>
    <w:qFormat/>
    <w:rsid w:val="00D56933"/>
    <w:pPr>
      <w:keepNext/>
      <w:keepLines/>
      <w:spacing w:before="240" w:line="420" w:lineRule="atLeast"/>
      <w:outlineLvl w:val="0"/>
    </w:pPr>
    <w:rPr>
      <w:rFonts w:eastAsia="MS Gothic"/>
      <w:b/>
      <w:sz w:val="34"/>
      <w:szCs w:val="32"/>
    </w:rPr>
  </w:style>
  <w:style w:type="paragraph" w:styleId="Heading2">
    <w:name w:val="heading 2"/>
    <w:basedOn w:val="Normal"/>
    <w:next w:val="Normal"/>
    <w:link w:val="Heading2Char"/>
    <w:uiPriority w:val="99"/>
    <w:qFormat/>
    <w:rsid w:val="009F76B9"/>
    <w:pPr>
      <w:keepNext/>
      <w:keepLines/>
      <w:spacing w:before="40"/>
      <w:outlineLvl w:val="1"/>
    </w:pPr>
    <w:rPr>
      <w:rFonts w:eastAsia="MS Gothic"/>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6933"/>
    <w:rPr>
      <w:rFonts w:eastAsia="MS Gothic" w:cs="Times New Roman"/>
      <w:b/>
      <w:color w:val="000000"/>
      <w:sz w:val="32"/>
      <w:szCs w:val="32"/>
    </w:rPr>
  </w:style>
  <w:style w:type="character" w:customStyle="1" w:styleId="Heading2Char">
    <w:name w:val="Heading 2 Char"/>
    <w:basedOn w:val="DefaultParagraphFont"/>
    <w:link w:val="Heading2"/>
    <w:uiPriority w:val="99"/>
    <w:semiHidden/>
    <w:locked/>
    <w:rsid w:val="009F76B9"/>
    <w:rPr>
      <w:rFonts w:eastAsia="MS Gothic" w:cs="Times New Roman"/>
      <w:color w:val="000000"/>
      <w:sz w:val="26"/>
      <w:szCs w:val="26"/>
    </w:rPr>
  </w:style>
  <w:style w:type="paragraph" w:styleId="Header">
    <w:name w:val="header"/>
    <w:basedOn w:val="Normal"/>
    <w:link w:val="HeaderChar"/>
    <w:uiPriority w:val="99"/>
    <w:rsid w:val="00CA7FC0"/>
    <w:pPr>
      <w:tabs>
        <w:tab w:val="center" w:pos="4536"/>
        <w:tab w:val="right" w:pos="9072"/>
      </w:tabs>
      <w:spacing w:line="240" w:lineRule="auto"/>
    </w:pPr>
  </w:style>
  <w:style w:type="character" w:customStyle="1" w:styleId="HeaderChar">
    <w:name w:val="Header Char"/>
    <w:basedOn w:val="DefaultParagraphFont"/>
    <w:link w:val="Header"/>
    <w:uiPriority w:val="99"/>
    <w:locked/>
    <w:rsid w:val="00CA7FC0"/>
    <w:rPr>
      <w:rFonts w:cs="Times New Roman"/>
    </w:rPr>
  </w:style>
  <w:style w:type="paragraph" w:styleId="Footer">
    <w:name w:val="footer"/>
    <w:basedOn w:val="Normal"/>
    <w:link w:val="FooterChar"/>
    <w:uiPriority w:val="99"/>
    <w:rsid w:val="00955D06"/>
    <w:pPr>
      <w:tabs>
        <w:tab w:val="center" w:pos="4536"/>
        <w:tab w:val="right" w:pos="9072"/>
      </w:tabs>
      <w:spacing w:line="240" w:lineRule="auto"/>
      <w:ind w:left="-1400"/>
    </w:pPr>
    <w:rPr>
      <w:color w:val="807F83"/>
      <w:sz w:val="18"/>
    </w:rPr>
  </w:style>
  <w:style w:type="character" w:customStyle="1" w:styleId="FooterChar">
    <w:name w:val="Footer Char"/>
    <w:basedOn w:val="DefaultParagraphFont"/>
    <w:link w:val="Footer"/>
    <w:uiPriority w:val="99"/>
    <w:locked/>
    <w:rsid w:val="00955D06"/>
    <w:rPr>
      <w:rFonts w:cs="Times New Roman"/>
      <w:color w:val="807F83"/>
      <w:sz w:val="18"/>
    </w:rPr>
  </w:style>
  <w:style w:type="paragraph" w:styleId="BalloonText">
    <w:name w:val="Balloon Text"/>
    <w:basedOn w:val="Normal"/>
    <w:link w:val="BalloonTextChar"/>
    <w:uiPriority w:val="99"/>
    <w:semiHidden/>
    <w:rsid w:val="008B2714"/>
    <w:pPr>
      <w:spacing w:line="240" w:lineRule="auto"/>
    </w:pPr>
    <w:rPr>
      <w:rFonts w:ascii="Lucida Grande CE" w:hAnsi="Lucida Grande CE" w:cs="Lucida Grande CE"/>
      <w:sz w:val="18"/>
      <w:szCs w:val="18"/>
    </w:rPr>
  </w:style>
  <w:style w:type="character" w:customStyle="1" w:styleId="BalloonTextChar">
    <w:name w:val="Balloon Text Char"/>
    <w:basedOn w:val="DefaultParagraphFont"/>
    <w:link w:val="BalloonText"/>
    <w:uiPriority w:val="99"/>
    <w:semiHidden/>
    <w:locked/>
    <w:rsid w:val="008B2714"/>
    <w:rPr>
      <w:rFonts w:ascii="Lucida Grande CE" w:hAnsi="Lucida Grande CE" w:cs="Lucida Grande CE"/>
      <w:sz w:val="18"/>
      <w:szCs w:val="18"/>
    </w:rPr>
  </w:style>
  <w:style w:type="paragraph" w:styleId="Revision">
    <w:name w:val="Revision"/>
    <w:hidden/>
    <w:uiPriority w:val="99"/>
    <w:semiHidden/>
    <w:rsid w:val="008B2714"/>
    <w:rPr>
      <w:lang w:eastAsia="en-US"/>
    </w:rPr>
  </w:style>
  <w:style w:type="paragraph" w:styleId="DocumentMap">
    <w:name w:val="Document Map"/>
    <w:basedOn w:val="Normal"/>
    <w:link w:val="DocumentMapChar"/>
    <w:uiPriority w:val="99"/>
    <w:semiHidden/>
    <w:rsid w:val="008B2714"/>
    <w:pPr>
      <w:spacing w:line="240" w:lineRule="auto"/>
    </w:pPr>
    <w:rPr>
      <w:rFonts w:ascii="Lucida Grande CE" w:hAnsi="Lucida Grande CE" w:cs="Lucida Grande CE"/>
      <w:sz w:val="24"/>
    </w:rPr>
  </w:style>
  <w:style w:type="character" w:customStyle="1" w:styleId="DocumentMapChar">
    <w:name w:val="Document Map Char"/>
    <w:basedOn w:val="DefaultParagraphFont"/>
    <w:link w:val="DocumentMap"/>
    <w:uiPriority w:val="99"/>
    <w:semiHidden/>
    <w:locked/>
    <w:rsid w:val="008B2714"/>
    <w:rPr>
      <w:rFonts w:ascii="Lucida Grande CE" w:hAnsi="Lucida Grande CE" w:cs="Lucida Grande CE"/>
      <w:sz w:val="24"/>
      <w:szCs w:val="24"/>
    </w:rPr>
  </w:style>
  <w:style w:type="paragraph" w:customStyle="1" w:styleId="ListParagraph1">
    <w:name w:val="List Paragraph1"/>
    <w:uiPriority w:val="99"/>
    <w:rsid w:val="00997770"/>
    <w:pPr>
      <w:spacing w:after="200" w:line="276" w:lineRule="auto"/>
      <w:ind w:left="720"/>
    </w:pPr>
    <w:rPr>
      <w:rFonts w:ascii="Times New Roman" w:eastAsia="?????? Pro W3" w:hAnsi="Times New Roman"/>
      <w:color w:val="000000"/>
      <w:szCs w:val="20"/>
    </w:rPr>
  </w:style>
  <w:style w:type="paragraph" w:customStyle="1" w:styleId="TableNormalParagraph">
    <w:name w:val="Table Normal Paragraph"/>
    <w:uiPriority w:val="99"/>
    <w:rsid w:val="003C4BFF"/>
    <w:rPr>
      <w:rFonts w:ascii="Times New Roman" w:eastAsia="?????? Pro W3" w:hAnsi="Times New Roman"/>
      <w:color w:val="000000"/>
      <w:sz w:val="20"/>
      <w:szCs w:val="20"/>
      <w:lang w:val="en-US"/>
    </w:rPr>
  </w:style>
  <w:style w:type="paragraph" w:styleId="ListParagraph">
    <w:name w:val="List Paragraph"/>
    <w:basedOn w:val="Normal"/>
    <w:uiPriority w:val="99"/>
    <w:qFormat/>
    <w:rsid w:val="007A674F"/>
    <w:pPr>
      <w:ind w:left="720"/>
      <w:contextualSpacing/>
    </w:pPr>
  </w:style>
  <w:style w:type="character" w:styleId="Hyperlink">
    <w:name w:val="Hyperlink"/>
    <w:basedOn w:val="DefaultParagraphFont"/>
    <w:uiPriority w:val="99"/>
    <w:rsid w:val="001B385D"/>
    <w:rPr>
      <w:rFonts w:cs="Times New Roman"/>
      <w:color w:val="0000FF"/>
      <w:u w:val="single"/>
    </w:rPr>
  </w:style>
  <w:style w:type="table" w:styleId="TableGrid">
    <w:name w:val="Table Grid"/>
    <w:basedOn w:val="TableNormal"/>
    <w:uiPriority w:val="99"/>
    <w:rsid w:val="008A149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2">
    <w:name w:val="List Paragraph2"/>
    <w:uiPriority w:val="99"/>
    <w:rsid w:val="00FC4006"/>
    <w:pPr>
      <w:spacing w:after="200" w:line="276" w:lineRule="auto"/>
      <w:ind w:left="720"/>
    </w:pPr>
    <w:rPr>
      <w:rFonts w:ascii="Times New Roman" w:eastAsia="?????? Pro W3" w:hAnsi="Times New Roman"/>
      <w:color w:val="000000"/>
      <w:szCs w:val="20"/>
    </w:rPr>
  </w:style>
  <w:style w:type="paragraph" w:customStyle="1" w:styleId="Zkladntextodsazen1">
    <w:name w:val="Základní text odsazený1"/>
    <w:basedOn w:val="Normal"/>
    <w:uiPriority w:val="99"/>
    <w:rsid w:val="00FC4006"/>
    <w:pPr>
      <w:widowControl w:val="0"/>
      <w:suppressAutoHyphens/>
      <w:spacing w:after="0" w:line="240" w:lineRule="auto"/>
      <w:ind w:left="284" w:hanging="284"/>
      <w:jc w:val="both"/>
    </w:pPr>
    <w:rPr>
      <w:rFonts w:eastAsia="Times New Roman"/>
      <w:color w:val="auto"/>
      <w:sz w:val="24"/>
      <w:szCs w:val="20"/>
      <w:lang w:eastAsia="ar-SA"/>
    </w:rPr>
  </w:style>
  <w:style w:type="paragraph" w:styleId="CommentText">
    <w:name w:val="annotation text"/>
    <w:basedOn w:val="Normal"/>
    <w:link w:val="CommentTextChar"/>
    <w:uiPriority w:val="99"/>
    <w:semiHidden/>
    <w:rsid w:val="00022C97"/>
    <w:rPr>
      <w:sz w:val="20"/>
      <w:szCs w:val="20"/>
    </w:rPr>
  </w:style>
  <w:style w:type="character" w:customStyle="1" w:styleId="CommentTextChar">
    <w:name w:val="Comment Text Char"/>
    <w:basedOn w:val="DefaultParagraphFont"/>
    <w:link w:val="CommentText"/>
    <w:uiPriority w:val="99"/>
    <w:semiHidden/>
    <w:locked/>
    <w:rsid w:val="00022C97"/>
    <w:rPr>
      <w:rFonts w:ascii="Times New Roman" w:eastAsia="?????? Pro W3" w:hAnsi="Times New Roman" w:cs="Times New Roman"/>
      <w:color w:val="000000"/>
      <w:sz w:val="20"/>
      <w:szCs w:val="20"/>
    </w:rPr>
  </w:style>
  <w:style w:type="character" w:styleId="CommentReference">
    <w:name w:val="annotation reference"/>
    <w:basedOn w:val="DefaultParagraphFont"/>
    <w:uiPriority w:val="99"/>
    <w:semiHidden/>
    <w:rsid w:val="00022C97"/>
    <w:rPr>
      <w:rFonts w:cs="Times New Roman"/>
      <w:sz w:val="16"/>
    </w:rPr>
  </w:style>
</w:styles>
</file>

<file path=word/webSettings.xml><?xml version="1.0" encoding="utf-8"?>
<w:webSettings xmlns:r="http://schemas.openxmlformats.org/officeDocument/2006/relationships" xmlns:w="http://schemas.openxmlformats.org/wordprocessingml/2006/main">
  <w:divs>
    <w:div w:id="492842691">
      <w:marLeft w:val="0"/>
      <w:marRight w:val="0"/>
      <w:marTop w:val="0"/>
      <w:marBottom w:val="0"/>
      <w:divBdr>
        <w:top w:val="none" w:sz="0" w:space="0" w:color="auto"/>
        <w:left w:val="none" w:sz="0" w:space="0" w:color="auto"/>
        <w:bottom w:val="none" w:sz="0" w:space="0" w:color="auto"/>
        <w:right w:val="none" w:sz="0" w:space="0" w:color="auto"/>
      </w:divBdr>
    </w:div>
    <w:div w:id="492842692">
      <w:marLeft w:val="0"/>
      <w:marRight w:val="0"/>
      <w:marTop w:val="0"/>
      <w:marBottom w:val="0"/>
      <w:divBdr>
        <w:top w:val="none" w:sz="0" w:space="0" w:color="auto"/>
        <w:left w:val="none" w:sz="0" w:space="0" w:color="auto"/>
        <w:bottom w:val="none" w:sz="0" w:space="0" w:color="auto"/>
        <w:right w:val="none" w:sz="0" w:space="0" w:color="auto"/>
      </w:divBdr>
    </w:div>
    <w:div w:id="492842693">
      <w:marLeft w:val="0"/>
      <w:marRight w:val="0"/>
      <w:marTop w:val="0"/>
      <w:marBottom w:val="0"/>
      <w:divBdr>
        <w:top w:val="none" w:sz="0" w:space="0" w:color="auto"/>
        <w:left w:val="none" w:sz="0" w:space="0" w:color="auto"/>
        <w:bottom w:val="none" w:sz="0" w:space="0" w:color="auto"/>
        <w:right w:val="none" w:sz="0" w:space="0" w:color="auto"/>
      </w:divBdr>
    </w:div>
    <w:div w:id="4928426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mpermarket.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fakturace@ampermarket.cz"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ampermarket.cz"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za\Documents\AMPER%20MARKET\&#352;ABLONY\&#352;ablona%20dopis%20A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Šablona dopis AM.dotx</Template>
  <TotalTime>5</TotalTime>
  <Pages>10</Pages>
  <Words>3420</Words>
  <Characters>20181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sdružených službách dodávky elektřiny pro hladinu NN</dc:title>
  <dc:subject/>
  <dc:creator>Honza</dc:creator>
  <cp:keywords/>
  <dc:description/>
  <cp:lastModifiedBy>hubinkova</cp:lastModifiedBy>
  <cp:revision>5</cp:revision>
  <cp:lastPrinted>2014-02-20T13:44:00Z</cp:lastPrinted>
  <dcterms:created xsi:type="dcterms:W3CDTF">2016-12-12T12:40:00Z</dcterms:created>
  <dcterms:modified xsi:type="dcterms:W3CDTF">2016-12-12T13:05:00Z</dcterms:modified>
</cp:coreProperties>
</file>