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AE" w:rsidRDefault="00BB6EAE">
      <w:pPr>
        <w:spacing w:line="1" w:lineRule="exact"/>
      </w:pPr>
    </w:p>
    <w:p w:rsidR="00BB6EAE" w:rsidRDefault="002E453A">
      <w:pPr>
        <w:pStyle w:val="Zhlavnebozpat0"/>
        <w:framePr w:w="2770" w:h="619" w:hRule="exact" w:wrap="none" w:vAnchor="page" w:hAnchor="page" w:x="7787" w:y="929"/>
        <w:shd w:val="clear" w:color="auto" w:fill="auto"/>
        <w:rPr>
          <w:sz w:val="36"/>
          <w:szCs w:val="36"/>
        </w:rPr>
      </w:pPr>
      <w:r>
        <w:rPr>
          <w:rFonts w:ascii="Corbel" w:eastAsia="Corbel" w:hAnsi="Corbel" w:cs="Corbel"/>
          <w:color w:val="7C7C7C"/>
          <w:sz w:val="36"/>
          <w:szCs w:val="36"/>
        </w:rPr>
        <w:t xml:space="preserve">Oberbank </w:t>
      </w:r>
      <w:r>
        <w:rPr>
          <w:rFonts w:ascii="Corbel" w:eastAsia="Corbel" w:hAnsi="Corbel" w:cs="Corbel"/>
          <w:smallCaps/>
          <w:color w:val="7C7C7C"/>
          <w:sz w:val="36"/>
          <w:szCs w:val="36"/>
        </w:rPr>
        <w:t>ag</w:t>
      </w:r>
    </w:p>
    <w:p w:rsidR="00BB6EAE" w:rsidRDefault="002E453A">
      <w:pPr>
        <w:pStyle w:val="Zhlavnebozpat0"/>
        <w:framePr w:w="2770" w:h="619" w:hRule="exact" w:wrap="none" w:vAnchor="page" w:hAnchor="page" w:x="7787" w:y="929"/>
        <w:shd w:val="clear" w:color="auto" w:fill="auto"/>
        <w:spacing w:line="190" w:lineRule="auto"/>
        <w:ind w:firstLine="820"/>
      </w:pPr>
      <w:r>
        <w:t>pobočka Česká republika</w:t>
      </w:r>
    </w:p>
    <w:p w:rsidR="00BB6EAE" w:rsidRDefault="002E453A">
      <w:pPr>
        <w:pStyle w:val="Nadpis10"/>
        <w:framePr w:w="9850" w:h="648" w:hRule="exact" w:wrap="none" w:vAnchor="page" w:hAnchor="page" w:x="1225" w:y="1851"/>
        <w:shd w:val="clear" w:color="auto" w:fill="auto"/>
        <w:spacing w:after="0"/>
      </w:pPr>
      <w:bookmarkStart w:id="0" w:name="bookmark0"/>
      <w:bookmarkStart w:id="1" w:name="bookmark1"/>
      <w:r>
        <w:t>Smlouva o zřízení a vedení depozitního účtu TOP LIKVIDITA</w:t>
      </w:r>
      <w:r>
        <w:br/>
        <w:t>pro podnikatele, právnické osoby</w:t>
      </w:r>
      <w:bookmarkEnd w:id="0"/>
      <w:bookmarkEnd w:id="1"/>
    </w:p>
    <w:p w:rsidR="00BB6EAE" w:rsidRDefault="002E453A">
      <w:pPr>
        <w:pStyle w:val="Nadpis20"/>
        <w:framePr w:w="9850" w:h="7622" w:hRule="exact" w:wrap="none" w:vAnchor="page" w:hAnchor="page" w:x="1225" w:y="2960"/>
        <w:shd w:val="clear" w:color="auto" w:fill="auto"/>
        <w:spacing w:line="240" w:lineRule="auto"/>
        <w:jc w:val="left"/>
      </w:pPr>
      <w:bookmarkStart w:id="2" w:name="bookmark2"/>
      <w:bookmarkStart w:id="3" w:name="bookmark3"/>
      <w:r>
        <w:t>Oberbank AG</w:t>
      </w:r>
      <w:bookmarkEnd w:id="2"/>
      <w:bookmarkEnd w:id="3"/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se sídlem: A-4020 Linz, Untere Donaulánde 28. Rakouská republika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v souvislosti a prostřednictvím svojí pobočky v České republice:</w:t>
      </w:r>
    </w:p>
    <w:p w:rsidR="00BB6EAE" w:rsidRDefault="002E453A">
      <w:pPr>
        <w:pStyle w:val="Nadpis20"/>
        <w:framePr w:w="9850" w:h="7622" w:hRule="exact" w:wrap="none" w:vAnchor="page" w:hAnchor="page" w:x="1225" w:y="2960"/>
        <w:shd w:val="clear" w:color="auto" w:fill="auto"/>
        <w:spacing w:line="199" w:lineRule="auto"/>
        <w:jc w:val="left"/>
      </w:pPr>
      <w:bookmarkStart w:id="4" w:name="bookmark4"/>
      <w:bookmarkStart w:id="5" w:name="bookmark5"/>
      <w:r>
        <w:t>Oberbank AG pobočka Česká republika</w:t>
      </w:r>
      <w:bookmarkEnd w:id="4"/>
      <w:bookmarkEnd w:id="5"/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160"/>
      </w:pPr>
      <w:r>
        <w:t xml:space="preserve">se </w:t>
      </w:r>
      <w:r>
        <w:rPr>
          <w:color w:val="474748"/>
        </w:rPr>
        <w:t xml:space="preserve">sídlem: 370 </w:t>
      </w:r>
      <w:r>
        <w:t xml:space="preserve">01 </w:t>
      </w:r>
      <w:r>
        <w:rPr>
          <w:color w:val="474748"/>
        </w:rPr>
        <w:t xml:space="preserve">České </w:t>
      </w:r>
      <w:r>
        <w:t xml:space="preserve">Budějovice, nám. Přemysla Otakara II. 6/3 </w:t>
      </w:r>
      <w:r>
        <w:rPr>
          <w:color w:val="474748"/>
        </w:rPr>
        <w:t xml:space="preserve">IČ: </w:t>
      </w:r>
      <w:r>
        <w:t xml:space="preserve">260 </w:t>
      </w:r>
      <w:r>
        <w:rPr>
          <w:color w:val="474748"/>
        </w:rPr>
        <w:t xml:space="preserve">80 </w:t>
      </w:r>
      <w:r>
        <w:t xml:space="preserve">222, </w:t>
      </w:r>
      <w:r>
        <w:rPr>
          <w:color w:val="474748"/>
        </w:rPr>
        <w:t>DIČ: CZ26080222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160"/>
        <w:jc w:val="both"/>
      </w:pPr>
      <w:r>
        <w:t>a</w:t>
      </w:r>
    </w:p>
    <w:p w:rsidR="00BB6EAE" w:rsidRDefault="002E453A" w:rsidP="00F97CE1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 xml:space="preserve">Obchodní akademie Tomáše Bati a Vyšší odborná škola ekonomická </w:t>
      </w:r>
      <w:r>
        <w:rPr>
          <w:color w:val="000000"/>
        </w:rPr>
        <w:t>Zlín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Adresa sídla/mista podnikáni: nám. T.G. Masaryka 3669, 760 01 Zlín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IČ: 00566411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 xml:space="preserve">Zapsán </w:t>
      </w:r>
      <w:r>
        <w:rPr>
          <w:color w:val="474748"/>
        </w:rPr>
        <w:t xml:space="preserve">/ </w:t>
      </w:r>
      <w:r>
        <w:t>a v: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tabs>
          <w:tab w:val="left" w:pos="4973"/>
        </w:tabs>
        <w:spacing w:after="220"/>
      </w:pPr>
      <w:r>
        <w:t>Spojení pro komunikaci s klientem: telefon:</w:t>
      </w:r>
      <w:r>
        <w:tab/>
      </w:r>
      <w:r>
        <w:rPr>
          <w:color w:val="474748"/>
        </w:rPr>
        <w:t xml:space="preserve">, </w:t>
      </w:r>
      <w:r>
        <w:t>e-mail: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rPr>
          <w:color w:val="474748"/>
          <w:u w:val="single"/>
        </w:rPr>
        <w:t>[X]</w:t>
      </w:r>
      <w:r>
        <w:rPr>
          <w:color w:val="474748"/>
        </w:rPr>
        <w:t xml:space="preserve"> </w:t>
      </w:r>
      <w:r>
        <w:t xml:space="preserve">jednající </w:t>
      </w:r>
      <w:r>
        <w:rPr>
          <w:color w:val="474748"/>
        </w:rPr>
        <w:t xml:space="preserve">/ </w:t>
      </w:r>
      <w:r>
        <w:t xml:space="preserve">zastoupen </w:t>
      </w:r>
      <w:r>
        <w:rPr>
          <w:color w:val="474748"/>
        </w:rPr>
        <w:t xml:space="preserve">/ </w:t>
      </w:r>
      <w:r>
        <w:t xml:space="preserve">a: Mgr. Pavel </w:t>
      </w:r>
      <w:r>
        <w:rPr>
          <w:color w:val="000000"/>
        </w:rPr>
        <w:t>Hýl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bydliště: Lámanisko 5091</w:t>
      </w:r>
      <w:r>
        <w:rPr>
          <w:color w:val="474748"/>
        </w:rPr>
        <w:t>.</w:t>
      </w:r>
      <w:r>
        <w:t>760 01 Zlín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rodné číslo / datum narozeni: 5510012288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druh a číslo průkazu totožnosti: OP 200640844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doba platnosti průkazu totožnosti: 14.06.2022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220"/>
      </w:pPr>
      <w:r>
        <w:t xml:space="preserve">stát a orgán </w:t>
      </w:r>
      <w:r>
        <w:rPr>
          <w:color w:val="474748"/>
        </w:rPr>
        <w:t xml:space="preserve">/ </w:t>
      </w:r>
      <w:r>
        <w:t>úřad, který doklad totožnosti vydal: MM Zlín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rPr>
          <w:color w:val="474748"/>
        </w:rPr>
        <w:t xml:space="preserve">2] </w:t>
      </w:r>
      <w:r>
        <w:t xml:space="preserve">jednající </w:t>
      </w:r>
      <w:r>
        <w:rPr>
          <w:color w:val="474748"/>
        </w:rPr>
        <w:t xml:space="preserve">/ </w:t>
      </w:r>
      <w:r>
        <w:t>zastoupen / a: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  <w:jc w:val="both"/>
      </w:pPr>
      <w:r>
        <w:t>bydliště: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rodné číslo / datum narozeni: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druh a číslo průkazu totožnosti: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0"/>
      </w:pPr>
      <w:r>
        <w:t>doba platnosti průkazu totožnosti:</w:t>
      </w:r>
    </w:p>
    <w:p w:rsidR="00BB6EAE" w:rsidRDefault="002E453A">
      <w:pPr>
        <w:pStyle w:val="Zkladntext1"/>
        <w:framePr w:w="9850" w:h="7622" w:hRule="exact" w:wrap="none" w:vAnchor="page" w:hAnchor="page" w:x="1225" w:y="2960"/>
        <w:shd w:val="clear" w:color="auto" w:fill="auto"/>
        <w:spacing w:after="160"/>
      </w:pPr>
      <w:r>
        <w:t xml:space="preserve">stát a orgán </w:t>
      </w:r>
      <w:r>
        <w:rPr>
          <w:color w:val="474748"/>
        </w:rPr>
        <w:t xml:space="preserve">/ </w:t>
      </w:r>
      <w:r>
        <w:t>úřad, který doklad totožnosti vydal:</w:t>
      </w:r>
    </w:p>
    <w:p w:rsidR="00BB6EAE" w:rsidRDefault="002E453A">
      <w:pPr>
        <w:pStyle w:val="Zkladntext30"/>
        <w:framePr w:w="9850" w:h="7622" w:hRule="exact" w:wrap="none" w:vAnchor="page" w:hAnchor="page" w:x="1225" w:y="2960"/>
        <w:shd w:val="clear" w:color="auto" w:fill="auto"/>
        <w:spacing w:line="257" w:lineRule="auto"/>
      </w:pPr>
      <w:r>
        <w:rPr>
          <w:color w:val="474748"/>
        </w:rPr>
        <w:t xml:space="preserve">(dále jen </w:t>
      </w:r>
      <w:r>
        <w:t>"klient" na straně druhé)</w:t>
      </w:r>
    </w:p>
    <w:p w:rsidR="00BB6EAE" w:rsidRDefault="002E453A">
      <w:pPr>
        <w:pStyle w:val="Zkladntext30"/>
        <w:framePr w:w="9850" w:h="7622" w:hRule="exact" w:wrap="none" w:vAnchor="page" w:hAnchor="page" w:x="1225" w:y="2960"/>
        <w:shd w:val="clear" w:color="auto" w:fill="auto"/>
        <w:spacing w:after="0" w:line="254" w:lineRule="auto"/>
      </w:pPr>
      <w:r>
        <w:t xml:space="preserve">uzavírají smlouvu o </w:t>
      </w:r>
      <w:r>
        <w:rPr>
          <w:color w:val="474748"/>
        </w:rPr>
        <w:t xml:space="preserve">zřízeni </w:t>
      </w:r>
      <w:r>
        <w:t>a vedeni shora uvedeného depozitního účtu, dále jen „smlouva", podle příslušných ustanoveni českých právních předpisů.</w:t>
      </w:r>
    </w:p>
    <w:p w:rsidR="00BB6EAE" w:rsidRDefault="002E453A">
      <w:pPr>
        <w:pStyle w:val="Zkladntext30"/>
        <w:framePr w:w="9850" w:h="7622" w:hRule="exact" w:wrap="none" w:vAnchor="page" w:hAnchor="page" w:x="1225" w:y="2960"/>
        <w:pBdr>
          <w:bottom w:val="single" w:sz="4" w:space="0" w:color="auto"/>
        </w:pBdr>
        <w:shd w:val="clear" w:color="auto" w:fill="auto"/>
        <w:spacing w:after="0" w:line="262" w:lineRule="auto"/>
      </w:pPr>
      <w:r>
        <w:rPr>
          <w:color w:val="474748"/>
        </w:rPr>
        <w:t xml:space="preserve">Obsahuje-lí </w:t>
      </w:r>
      <w:r>
        <w:t xml:space="preserve">smlouva toto zaškrtávaci </w:t>
      </w:r>
      <w:r>
        <w:rPr>
          <w:color w:val="474748"/>
        </w:rPr>
        <w:t xml:space="preserve">poličko: . </w:t>
      </w:r>
      <w:r>
        <w:t xml:space="preserve">pak platí </w:t>
      </w:r>
      <w:r>
        <w:rPr>
          <w:color w:val="474748"/>
        </w:rPr>
        <w:t xml:space="preserve">u </w:t>
      </w:r>
      <w:r>
        <w:t xml:space="preserve">takového zaškrtávaciho </w:t>
      </w:r>
      <w:r>
        <w:rPr>
          <w:color w:val="474748"/>
        </w:rPr>
        <w:t xml:space="preserve">polička uvedené za ujednané </w:t>
      </w:r>
      <w:r>
        <w:t xml:space="preserve">a </w:t>
      </w:r>
      <w:r>
        <w:rPr>
          <w:color w:val="474748"/>
        </w:rPr>
        <w:t xml:space="preserve">tedy za součást smlouvy pouze </w:t>
      </w:r>
      <w:r>
        <w:t xml:space="preserve">tehdy, pokud </w:t>
      </w:r>
      <w:r>
        <w:rPr>
          <w:color w:val="474748"/>
        </w:rPr>
        <w:t xml:space="preserve">je </w:t>
      </w:r>
      <w:r>
        <w:t xml:space="preserve">toto </w:t>
      </w:r>
      <w:r>
        <w:rPr>
          <w:color w:val="474748"/>
        </w:rPr>
        <w:t xml:space="preserve">poličko </w:t>
      </w:r>
      <w:r>
        <w:t xml:space="preserve">takto zaškrtnuto: </w:t>
      </w:r>
      <w:r>
        <w:rPr>
          <w:color w:val="474748"/>
        </w:rPr>
        <w:t>X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numPr>
          <w:ilvl w:val="0"/>
          <w:numId w:val="1"/>
        </w:numPr>
        <w:shd w:val="clear" w:color="auto" w:fill="auto"/>
        <w:tabs>
          <w:tab w:val="left" w:pos="530"/>
        </w:tabs>
        <w:spacing w:after="80" w:line="254" w:lineRule="auto"/>
        <w:ind w:left="540" w:hanging="540"/>
      </w:pPr>
      <w:r>
        <w:t>Banka otevře klientovi bez zbytečného odkladu po podpisu smlouvy shora uvedený druh depozitního účtu, dále jen „depozitní účet“, s těmito parametry: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shd w:val="clear" w:color="auto" w:fill="auto"/>
        <w:spacing w:after="0"/>
        <w:ind w:firstLine="540"/>
        <w:jc w:val="both"/>
      </w:pPr>
      <w:r>
        <w:t>Číslo účtu: 2241113179 /8040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shd w:val="clear" w:color="auto" w:fill="auto"/>
        <w:spacing w:after="0"/>
        <w:ind w:firstLine="540"/>
        <w:jc w:val="both"/>
      </w:pPr>
      <w:r>
        <w:rPr>
          <w:color w:val="000000"/>
        </w:rPr>
        <w:t>I</w:t>
      </w:r>
      <w:r>
        <w:t>BAN: CZ06 8040 0000 0022 4111 3179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shd w:val="clear" w:color="auto" w:fill="auto"/>
        <w:spacing w:after="0"/>
        <w:ind w:firstLine="540"/>
        <w:jc w:val="both"/>
      </w:pPr>
      <w:r>
        <w:t>BIČ: OBKLCZ2X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shd w:val="clear" w:color="auto" w:fill="auto"/>
        <w:tabs>
          <w:tab w:val="left" w:pos="9479"/>
        </w:tabs>
        <w:spacing w:after="160"/>
        <w:ind w:firstLine="540"/>
        <w:jc w:val="both"/>
      </w:pPr>
      <w:r>
        <w:t>Měna: EUR</w:t>
      </w:r>
      <w:r>
        <w:tab/>
      </w:r>
      <w:r>
        <w:rPr>
          <w:color w:val="000000"/>
        </w:rPr>
        <w:t>=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numPr>
          <w:ilvl w:val="0"/>
          <w:numId w:val="1"/>
        </w:numPr>
        <w:shd w:val="clear" w:color="auto" w:fill="auto"/>
        <w:tabs>
          <w:tab w:val="left" w:pos="530"/>
        </w:tabs>
        <w:spacing w:after="0"/>
      </w:pPr>
      <w:r>
        <w:t>Depozitní účet slouží ke spořeni a zni na obchodní firmu / název klienta - majitele účtu.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shd w:val="clear" w:color="auto" w:fill="auto"/>
        <w:spacing w:after="0"/>
        <w:ind w:left="540" w:firstLine="20"/>
        <w:jc w:val="both"/>
      </w:pPr>
      <w:r>
        <w:t>Depozitní účet nemůže být využíván k běžnému platebnímu styku. Platby na depozitní účet a výjimečné z depozitního účtu mohou být prováděny pouze na a z klientova běžného účtu.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shd w:val="clear" w:color="auto" w:fill="auto"/>
        <w:spacing w:after="0"/>
        <w:ind w:firstLine="540"/>
        <w:jc w:val="both"/>
      </w:pPr>
      <w:r>
        <w:t>Ochrana depozitního účtu pomoci hesla není možná.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shd w:val="clear" w:color="auto" w:fill="auto"/>
        <w:tabs>
          <w:tab w:val="left" w:pos="9479"/>
        </w:tabs>
        <w:spacing w:after="160"/>
        <w:ind w:firstLine="540"/>
        <w:jc w:val="both"/>
      </w:pPr>
      <w:r>
        <w:t>K depozitnímu účtu nelze vydat žádnou platební kartu.</w:t>
      </w:r>
      <w:r>
        <w:tab/>
      </w:r>
      <w:r>
        <w:rPr>
          <w:color w:val="000000"/>
        </w:rPr>
        <w:t>-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numPr>
          <w:ilvl w:val="0"/>
          <w:numId w:val="1"/>
        </w:numPr>
        <w:shd w:val="clear" w:color="auto" w:fill="auto"/>
        <w:tabs>
          <w:tab w:val="left" w:pos="530"/>
        </w:tabs>
        <w:spacing w:after="0"/>
      </w:pPr>
      <w:r>
        <w:t xml:space="preserve">Se zůstatkem na účtu jsou oprávněny nakládat pouze osoby, kterým klient zřídí dispoziční právo ve formě </w:t>
      </w:r>
      <w:r>
        <w:rPr>
          <w:color w:val="000000"/>
          <w:u w:val="single"/>
        </w:rPr>
        <w:t>=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shd w:val="clear" w:color="auto" w:fill="auto"/>
        <w:tabs>
          <w:tab w:val="left" w:pos="9479"/>
        </w:tabs>
        <w:spacing w:after="160"/>
        <w:ind w:left="540" w:firstLine="20"/>
        <w:jc w:val="both"/>
      </w:pPr>
      <w:r>
        <w:t xml:space="preserve">podpisového vzoru. Způsob a rozsah dispozičního práva se řídi příslušným podpisovým vzorem. Podpisový vzor </w:t>
      </w:r>
      <w:r>
        <w:rPr>
          <w:color w:val="000000"/>
          <w:u w:val="single"/>
        </w:rPr>
        <w:t xml:space="preserve">SS </w:t>
      </w:r>
      <w:r>
        <w:t xml:space="preserve">musí být podepsán klientem </w:t>
      </w:r>
      <w:r>
        <w:rPr>
          <w:color w:val="000000"/>
        </w:rPr>
        <w:t xml:space="preserve">i </w:t>
      </w:r>
      <w:r>
        <w:t xml:space="preserve">zmocněnou osobu bud před příslušným zaměstnancem banky nebo musí být podpisy </w:t>
      </w:r>
      <w:r>
        <w:rPr>
          <w:color w:val="000000"/>
          <w:u w:val="single"/>
        </w:rPr>
        <w:t xml:space="preserve">= </w:t>
      </w:r>
      <w:r>
        <w:t>úředně ověřeny. Osoba s dispozičním právem podléhá identifikaci ve stejném rozsahu jako klient.</w:t>
      </w:r>
      <w:r>
        <w:tab/>
      </w:r>
      <w:r>
        <w:rPr>
          <w:color w:val="000000"/>
          <w:u w:val="single"/>
        </w:rPr>
        <w:t>=</w:t>
      </w:r>
    </w:p>
    <w:p w:rsidR="00BB6EAE" w:rsidRDefault="002E453A">
      <w:pPr>
        <w:pStyle w:val="Zkladntext1"/>
        <w:framePr w:w="9850" w:h="4344" w:hRule="exact" w:wrap="none" w:vAnchor="page" w:hAnchor="page" w:x="1225" w:y="10875"/>
        <w:numPr>
          <w:ilvl w:val="0"/>
          <w:numId w:val="1"/>
        </w:numPr>
        <w:shd w:val="clear" w:color="auto" w:fill="auto"/>
        <w:tabs>
          <w:tab w:val="left" w:pos="530"/>
        </w:tabs>
        <w:spacing w:after="0"/>
        <w:ind w:left="540" w:hanging="540"/>
        <w:jc w:val="both"/>
      </w:pPr>
      <w:r>
        <w:t xml:space="preserve">Úroky ze zůstatku na účtu se připisují ve prospěch depozitního účtu jednou za toto kalendářní období: rok (dále </w:t>
      </w:r>
      <w:r>
        <w:rPr>
          <w:color w:val="000000"/>
          <w:u w:val="single"/>
        </w:rPr>
        <w:t xml:space="preserve">= </w:t>
      </w:r>
      <w:r>
        <w:t xml:space="preserve">jen „období“), a to vždy prvého dne následujícího období za období předcházející nebo po ukončení smluvního </w:t>
      </w:r>
      <w:r>
        <w:rPr>
          <w:color w:val="000000"/>
          <w:u w:val="single"/>
        </w:rPr>
        <w:t xml:space="preserve">= </w:t>
      </w:r>
      <w:r>
        <w:t>vztahu.</w:t>
      </w:r>
    </w:p>
    <w:p w:rsidR="00BB6EAE" w:rsidRDefault="002E453A">
      <w:pPr>
        <w:pStyle w:val="Zkladntext20"/>
        <w:framePr w:w="9850" w:h="283" w:hRule="exact" w:wrap="none" w:vAnchor="page" w:hAnchor="page" w:x="1225" w:y="15718"/>
        <w:shd w:val="clear" w:color="auto" w:fill="auto"/>
        <w:spacing w:before="0" w:after="0" w:line="300" w:lineRule="auto"/>
      </w:pPr>
      <w:r>
        <w:t xml:space="preserve">Oberbank AG pobočka česká republika, </w:t>
      </w:r>
      <w:r>
        <w:rPr>
          <w:color w:val="7C7C7C"/>
        </w:rPr>
        <w:t xml:space="preserve">IČ </w:t>
      </w:r>
      <w:r>
        <w:t xml:space="preserve">26080222 OČ CZ26080222. sídlem 370 01 české Budějovice, nám Přemysla Otakara </w:t>
      </w:r>
      <w:r>
        <w:rPr>
          <w:color w:val="474748"/>
        </w:rPr>
        <w:t xml:space="preserve">II </w:t>
      </w:r>
      <w:r>
        <w:t xml:space="preserve">6/3, </w:t>
      </w:r>
      <w:r>
        <w:rPr>
          <w:color w:val="7C7C7C"/>
        </w:rPr>
        <w:t xml:space="preserve">je zapsána </w:t>
      </w:r>
      <w:r>
        <w:t xml:space="preserve">v </w:t>
      </w:r>
      <w:r>
        <w:rPr>
          <w:color w:val="7C7C7C"/>
        </w:rPr>
        <w:t xml:space="preserve">obchodním </w:t>
      </w:r>
      <w:r>
        <w:t xml:space="preserve">rejstříku </w:t>
      </w:r>
      <w:r>
        <w:rPr>
          <w:color w:val="7C7C7C"/>
        </w:rPr>
        <w:t xml:space="preserve">vedeném u </w:t>
      </w:r>
      <w:r>
        <w:t xml:space="preserve">Krajského </w:t>
      </w:r>
      <w:r>
        <w:rPr>
          <w:color w:val="7C7C7C"/>
        </w:rPr>
        <w:t xml:space="preserve">soudu </w:t>
      </w:r>
      <w:r>
        <w:t xml:space="preserve">v </w:t>
      </w:r>
      <w:r>
        <w:rPr>
          <w:color w:val="474748"/>
        </w:rPr>
        <w:t xml:space="preserve">českých </w:t>
      </w:r>
      <w:r>
        <w:rPr>
          <w:color w:val="7C7C7C"/>
        </w:rPr>
        <w:t xml:space="preserve">Budějovicích, </w:t>
      </w:r>
      <w:r>
        <w:t xml:space="preserve">oddíl </w:t>
      </w:r>
      <w:r>
        <w:rPr>
          <w:color w:val="474748"/>
        </w:rPr>
        <w:t xml:space="preserve">A </w:t>
      </w:r>
      <w:r>
        <w:t xml:space="preserve">vložka 7697, a je pobočkou Oberbank AG </w:t>
      </w:r>
      <w:r>
        <w:rPr>
          <w:color w:val="7C7C7C"/>
        </w:rPr>
        <w:t xml:space="preserve">sídem </w:t>
      </w:r>
      <w:r>
        <w:rPr>
          <w:color w:val="474748"/>
        </w:rPr>
        <w:t xml:space="preserve">Rakousko. 4020 Linz. </w:t>
      </w:r>
      <w:r>
        <w:rPr>
          <w:color w:val="7C7C7C"/>
        </w:rPr>
        <w:t xml:space="preserve">Untere </w:t>
      </w:r>
      <w:r>
        <w:t xml:space="preserve">Donaulánde 28. zapsané ve </w:t>
      </w:r>
      <w:r>
        <w:rPr>
          <w:color w:val="7C7C7C"/>
        </w:rPr>
        <w:t>Fa</w:t>
      </w:r>
      <w:r>
        <w:t xml:space="preserve">menbuch </w:t>
      </w:r>
      <w:r>
        <w:rPr>
          <w:color w:val="474748"/>
        </w:rPr>
        <w:t xml:space="preserve">u </w:t>
      </w:r>
      <w:r>
        <w:t xml:space="preserve">Landesgencht </w:t>
      </w:r>
      <w:r>
        <w:rPr>
          <w:color w:val="474748"/>
        </w:rPr>
        <w:t xml:space="preserve">Unz. </w:t>
      </w:r>
      <w:r>
        <w:t xml:space="preserve">pod </w:t>
      </w:r>
      <w:r>
        <w:rPr>
          <w:color w:val="7C7C7C"/>
        </w:rPr>
        <w:t xml:space="preserve">číslem </w:t>
      </w:r>
      <w:r>
        <w:rPr>
          <w:color w:val="474748"/>
        </w:rPr>
        <w:t>FN 7906</w:t>
      </w:r>
      <w:r>
        <w:rPr>
          <w:color w:val="7C7C7C"/>
        </w:rPr>
        <w:t>3</w:t>
      </w:r>
      <w:r>
        <w:t>w</w:t>
      </w:r>
    </w:p>
    <w:p w:rsidR="00BB6EAE" w:rsidRDefault="002E453A">
      <w:pPr>
        <w:pStyle w:val="Zhlavnebozpat0"/>
        <w:framePr w:wrap="none" w:vAnchor="page" w:hAnchor="page" w:x="11085" w:y="15665"/>
        <w:shd w:val="clear" w:color="auto" w:fill="auto"/>
        <w:rPr>
          <w:sz w:val="13"/>
          <w:szCs w:val="13"/>
        </w:rPr>
      </w:pPr>
      <w:r>
        <w:rPr>
          <w:rFonts w:ascii="Arial" w:eastAsia="Arial" w:hAnsi="Arial" w:cs="Arial"/>
          <w:color w:val="474748"/>
          <w:sz w:val="13"/>
          <w:szCs w:val="13"/>
        </w:rPr>
        <w:t>1</w:t>
      </w:r>
    </w:p>
    <w:p w:rsidR="00BB6EAE" w:rsidRDefault="00BB6EAE">
      <w:pPr>
        <w:spacing w:line="1" w:lineRule="exact"/>
        <w:sectPr w:rsidR="00BB6EAE">
          <w:pgSz w:w="11900" w:h="16840"/>
          <w:pgMar w:top="490" w:right="360" w:bottom="360" w:left="360" w:header="0" w:footer="3" w:gutter="0"/>
          <w:cols w:space="720"/>
          <w:noEndnote/>
          <w:docGrid w:linePitch="360"/>
        </w:sectPr>
      </w:pPr>
    </w:p>
    <w:p w:rsidR="00BB6EAE" w:rsidRDefault="002E453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3202228</wp:posOffset>
                </wp:positionH>
                <wp:positionV relativeFrom="paragraph">
                  <wp:posOffset>8832850</wp:posOffset>
                </wp:positionV>
                <wp:extent cx="3482035" cy="50474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035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53A" w:rsidRDefault="002E453A">
                            <w:pPr>
                              <w:rPr>
                                <w:sz w:val="16"/>
                              </w:rPr>
                            </w:pPr>
                            <w:r w:rsidRPr="002E453A">
                              <w:rPr>
                                <w:sz w:val="16"/>
                              </w:rPr>
                              <w:t>Klient</w:t>
                            </w:r>
                          </w:p>
                          <w:p w:rsidR="002E453A" w:rsidRDefault="002E453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Obchodní akademie Tomáše Bati a Vyšší odborná škola ekonomická Zlín</w:t>
                            </w:r>
                          </w:p>
                          <w:p w:rsidR="002E453A" w:rsidRPr="002E453A" w:rsidRDefault="002E453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2.15pt;margin-top:695.5pt;width:274.2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" fillcolor="white [3201]" stroked="f" strokeweight=".5pt">
                <v:textbox>
                  <w:txbxContent>
                    <w:p w:rsidR="002E453A" w:rsidRDefault="002E453A">
                      <w:pPr>
                        <w:rPr>
                          <w:sz w:val="16"/>
                        </w:rPr>
                      </w:pPr>
                      <w:r w:rsidRPr="002E453A">
                        <w:rPr>
                          <w:sz w:val="16"/>
                        </w:rPr>
                        <w:t>Klient</w:t>
                      </w:r>
                    </w:p>
                    <w:p w:rsidR="002E453A" w:rsidRDefault="002E453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Obchodní akademie Tomáše Bati a Vyšší odborná škola ekonomická Zlín</w:t>
                      </w:r>
                    </w:p>
                    <w:p w:rsidR="002E453A" w:rsidRPr="002E453A" w:rsidRDefault="002E453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EAE" w:rsidRDefault="002E453A">
      <w:pPr>
        <w:pStyle w:val="Zhlavnebozpat0"/>
        <w:framePr w:w="2770" w:h="624" w:hRule="exact" w:wrap="none" w:vAnchor="page" w:hAnchor="page" w:x="7758" w:y="615"/>
        <w:shd w:val="clear" w:color="auto" w:fill="auto"/>
        <w:rPr>
          <w:sz w:val="36"/>
          <w:szCs w:val="36"/>
        </w:rPr>
      </w:pPr>
      <w:r>
        <w:rPr>
          <w:rFonts w:ascii="Corbel" w:eastAsia="Corbel" w:hAnsi="Corbel" w:cs="Corbel"/>
          <w:color w:val="7C7C7C"/>
          <w:sz w:val="36"/>
          <w:szCs w:val="36"/>
        </w:rPr>
        <w:t xml:space="preserve">Oberbank </w:t>
      </w:r>
      <w:r>
        <w:rPr>
          <w:rFonts w:ascii="Corbel" w:eastAsia="Corbel" w:hAnsi="Corbel" w:cs="Corbel"/>
          <w:smallCaps/>
          <w:color w:val="7C7C7C"/>
          <w:sz w:val="36"/>
          <w:szCs w:val="36"/>
        </w:rPr>
        <w:t>ag</w:t>
      </w:r>
    </w:p>
    <w:p w:rsidR="00BB6EAE" w:rsidRDefault="002E453A">
      <w:pPr>
        <w:pStyle w:val="Zhlavnebozpat0"/>
        <w:framePr w:w="2770" w:h="624" w:hRule="exact" w:wrap="none" w:vAnchor="page" w:hAnchor="page" w:x="7758" w:y="615"/>
        <w:shd w:val="clear" w:color="auto" w:fill="auto"/>
        <w:spacing w:line="190" w:lineRule="auto"/>
        <w:ind w:firstLine="820"/>
      </w:pPr>
      <w:r>
        <w:t>pobočka Česká republika</w:t>
      </w:r>
    </w:p>
    <w:p w:rsidR="00BB6EAE" w:rsidRDefault="002E453A">
      <w:pPr>
        <w:pStyle w:val="Zkladntext1"/>
        <w:framePr w:w="9850" w:h="6835" w:hRule="exact" w:wrap="none" w:vAnchor="page" w:hAnchor="page" w:x="1225" w:y="1527"/>
        <w:shd w:val="clear" w:color="auto" w:fill="auto"/>
        <w:spacing w:after="60"/>
        <w:ind w:left="560" w:firstLine="20"/>
        <w:jc w:val="both"/>
      </w:pPr>
      <w:r>
        <w:t>Zůstatek na depozitním účtu se úroči aktuální platnou individuální úrokovou sazbou Oberbank AG, kterou Oberbank AG stanoví na základě podmínek vývoje sazeb na relevantních světových trzích. Údaje o aktuální úrokové sazbě jsou klientovi k dispozici na obchodních místech Oberbank AG.</w:t>
      </w:r>
    </w:p>
    <w:p w:rsidR="00BB6EAE" w:rsidRDefault="002E453A">
      <w:pPr>
        <w:pStyle w:val="Zkladntext1"/>
        <w:framePr w:w="9850" w:h="6835" w:hRule="exact" w:wrap="none" w:vAnchor="page" w:hAnchor="page" w:x="1225" w:y="1527"/>
        <w:shd w:val="clear" w:color="auto" w:fill="auto"/>
        <w:spacing w:after="200" w:line="259" w:lineRule="auto"/>
        <w:ind w:left="560" w:firstLine="20"/>
        <w:jc w:val="both"/>
      </w:pPr>
      <w:r>
        <w:t>Oberbank AG je oprávněna úrokovou sazbu kdykoliv jednostranně měnit, a to zejména s ohledem na vývoj na relevantních světových trzích.</w:t>
      </w:r>
    </w:p>
    <w:p w:rsidR="00BB6EAE" w:rsidRDefault="002E453A">
      <w:pPr>
        <w:pStyle w:val="Zkladntext1"/>
        <w:framePr w:w="9850" w:h="6835" w:hRule="exact" w:wrap="none" w:vAnchor="page" w:hAnchor="page" w:x="1225" w:y="1527"/>
        <w:numPr>
          <w:ilvl w:val="0"/>
          <w:numId w:val="1"/>
        </w:numPr>
        <w:shd w:val="clear" w:color="auto" w:fill="auto"/>
        <w:tabs>
          <w:tab w:val="left" w:pos="529"/>
        </w:tabs>
        <w:spacing w:after="380"/>
        <w:ind w:left="560" w:hanging="560"/>
        <w:jc w:val="both"/>
      </w:pPr>
      <w:r>
        <w:t>Banka i klient vycházejí z toho, že klient využívá některý z produktů elektronického bankovnictví a může si proto výpis z depozitního účtu opatřit kdykoliv sám. Proto platí, že banka nebude klientovi zasílat žádné papírové výpisy, ledaže je dále uvedeno jinak.</w:t>
      </w:r>
    </w:p>
    <w:p w:rsidR="00BB6EAE" w:rsidRDefault="002E453A">
      <w:pPr>
        <w:pStyle w:val="Zkladntext1"/>
        <w:framePr w:w="9850" w:h="6835" w:hRule="exact" w:wrap="none" w:vAnchor="page" w:hAnchor="page" w:x="1225" w:y="1527"/>
        <w:numPr>
          <w:ilvl w:val="0"/>
          <w:numId w:val="1"/>
        </w:numPr>
        <w:shd w:val="clear" w:color="auto" w:fill="auto"/>
        <w:tabs>
          <w:tab w:val="left" w:pos="529"/>
        </w:tabs>
        <w:spacing w:after="200"/>
      </w:pPr>
      <w:r>
        <w:t>Depozitní účet je denně splatný.</w:t>
      </w:r>
    </w:p>
    <w:p w:rsidR="00BB6EAE" w:rsidRDefault="002E453A">
      <w:pPr>
        <w:pStyle w:val="Zkladntext1"/>
        <w:framePr w:w="9850" w:h="6835" w:hRule="exact" w:wrap="none" w:vAnchor="page" w:hAnchor="page" w:x="1225" w:y="1527"/>
        <w:numPr>
          <w:ilvl w:val="0"/>
          <w:numId w:val="1"/>
        </w:numPr>
        <w:shd w:val="clear" w:color="auto" w:fill="auto"/>
        <w:tabs>
          <w:tab w:val="left" w:pos="529"/>
        </w:tabs>
        <w:spacing w:line="254" w:lineRule="auto"/>
        <w:ind w:left="560" w:hanging="560"/>
      </w:pPr>
      <w:r>
        <w:t>Banka je oprávněna ukončit tuto smlouvu písemnou výpovědí; výpovědní doba činí jeden kalendářní měsíc. Klient je oprávněn ukončit smlouvu písemnou výpovědí; výpověď je účinná následující pracovní den po jejím doručení bance. Banka je navíc oprávněna písemně vypovědět tuto smlouvu s účinnosti ke dni doručení tehdy, pokud klient závažně porušil některou ze svých povinnosti vůči bance.</w:t>
      </w:r>
    </w:p>
    <w:p w:rsidR="00BB6EAE" w:rsidRDefault="002E453A">
      <w:pPr>
        <w:pStyle w:val="Zkladntext1"/>
        <w:framePr w:w="9850" w:h="6835" w:hRule="exact" w:wrap="none" w:vAnchor="page" w:hAnchor="page" w:x="1225" w:y="1527"/>
        <w:numPr>
          <w:ilvl w:val="0"/>
          <w:numId w:val="1"/>
        </w:numPr>
        <w:shd w:val="clear" w:color="auto" w:fill="auto"/>
        <w:tabs>
          <w:tab w:val="left" w:pos="529"/>
        </w:tabs>
        <w:ind w:left="560" w:hanging="560"/>
      </w:pPr>
      <w:r>
        <w:t xml:space="preserve">Otázky výslovně neupravené smlouvou se řídí Obchodními podmínkami pro vedení účtů, bezhotovostní a hotovostní platební styk (dále jen „Obchodní podmínky“) v aktuálním znění. Klient svým podpisem stvrzuje, že se s Obchodními podmínkami v aktuálním znění k datu podpisu smlouvy před jejím podpisem seznámil. Obchodní podmínky jsou klientům k dispozici minimálně na obchodních místech Oberbank AG </w:t>
      </w:r>
      <w:r>
        <w:rPr>
          <w:color w:val="000000"/>
        </w:rPr>
        <w:t xml:space="preserve">a </w:t>
      </w:r>
      <w:r>
        <w:t xml:space="preserve">na internetových stránkách </w:t>
      </w:r>
      <w:hyperlink r:id="rId7" w:history="1">
        <w:r>
          <w:rPr>
            <w:lang w:val="en-US" w:eastAsia="en-US" w:bidi="en-US"/>
          </w:rPr>
          <w:t>www.oberbank.cz</w:t>
        </w:r>
      </w:hyperlink>
      <w:r>
        <w:rPr>
          <w:lang w:val="en-US" w:eastAsia="en-US" w:bidi="en-US"/>
        </w:rPr>
        <w:t xml:space="preserve">. </w:t>
      </w:r>
      <w:r>
        <w:rPr>
          <w:color w:val="000000"/>
        </w:rPr>
        <w:t xml:space="preserve">Na </w:t>
      </w:r>
      <w:r>
        <w:t>každou změnu Obchodních podmínek budou klienti upozorněni.</w:t>
      </w:r>
    </w:p>
    <w:p w:rsidR="00BB6EAE" w:rsidRDefault="002E453A">
      <w:pPr>
        <w:pStyle w:val="Zkladntext1"/>
        <w:framePr w:w="9850" w:h="6835" w:hRule="exact" w:wrap="none" w:vAnchor="page" w:hAnchor="page" w:x="1225" w:y="1527"/>
        <w:numPr>
          <w:ilvl w:val="0"/>
          <w:numId w:val="1"/>
        </w:numPr>
        <w:shd w:val="clear" w:color="auto" w:fill="auto"/>
        <w:tabs>
          <w:tab w:val="left" w:pos="529"/>
        </w:tabs>
        <w:ind w:left="560" w:hanging="560"/>
      </w:pPr>
      <w:r>
        <w:t xml:space="preserve">Za služby v souvislosti s touto smlouvou a depozitním účtem je Oberbank AG oprávněna si účtovat odměny a poplatky podle Sazebníku bankovních poplatků a odměn pro právnické osoby a fyzické osoby </w:t>
      </w:r>
      <w:r>
        <w:rPr>
          <w:color w:val="000000"/>
        </w:rPr>
        <w:t xml:space="preserve">- </w:t>
      </w:r>
      <w:r>
        <w:t xml:space="preserve">podnikatele, dále jen „Sazebník“. Aktuální znění Sazebníku je k dispozici na obchodních místech Oberbank AG a na internetových stránkách </w:t>
      </w:r>
      <w:hyperlink r:id="rId8" w:history="1">
        <w:r>
          <w:rPr>
            <w:lang w:val="en-US" w:eastAsia="en-US" w:bidi="en-US"/>
          </w:rPr>
          <w:t>www.oberbank.cz</w:t>
        </w:r>
      </w:hyperlink>
      <w:r>
        <w:rPr>
          <w:lang w:val="en-US" w:eastAsia="en-US" w:bidi="en-US"/>
        </w:rPr>
        <w:t xml:space="preserve">. </w:t>
      </w:r>
      <w:r>
        <w:t xml:space="preserve">Klient svým podpisem potvrzuje, že se s aktuálním zněním Sazebníku </w:t>
      </w:r>
      <w:r>
        <w:rPr>
          <w:color w:val="000000"/>
        </w:rPr>
        <w:t xml:space="preserve">k </w:t>
      </w:r>
      <w:r>
        <w:t>datu podpisu této smlouvy před jejím podpisem seznámil.</w:t>
      </w:r>
    </w:p>
    <w:p w:rsidR="00BB6EAE" w:rsidRDefault="002E453A">
      <w:pPr>
        <w:pStyle w:val="Zkladntext1"/>
        <w:framePr w:w="9850" w:h="6835" w:hRule="exact" w:wrap="none" w:vAnchor="page" w:hAnchor="page" w:x="1225" w:y="1527"/>
        <w:numPr>
          <w:ilvl w:val="0"/>
          <w:numId w:val="1"/>
        </w:numPr>
        <w:shd w:val="clear" w:color="auto" w:fill="auto"/>
        <w:tabs>
          <w:tab w:val="left" w:pos="529"/>
        </w:tabs>
        <w:spacing w:after="200" w:line="254" w:lineRule="auto"/>
        <w:ind w:left="560" w:hanging="560"/>
      </w:pPr>
      <w:r>
        <w:t>Smlouva je vyhotovena ve dvou stejnopisech, z nichž každá ze stran obdrží jedno vyhotoveni, a nabývá účinnosti dnem podpisu oběma smluvními stranami.</w:t>
      </w:r>
    </w:p>
    <w:p w:rsidR="00BB6EAE" w:rsidRDefault="002E453A">
      <w:pPr>
        <w:pStyle w:val="Zkladntext1"/>
        <w:framePr w:w="9850" w:h="6835" w:hRule="exact" w:wrap="none" w:vAnchor="page" w:hAnchor="page" w:x="1225" w:y="1527"/>
        <w:numPr>
          <w:ilvl w:val="0"/>
          <w:numId w:val="1"/>
        </w:numPr>
        <w:shd w:val="clear" w:color="auto" w:fill="auto"/>
        <w:tabs>
          <w:tab w:val="left" w:pos="529"/>
        </w:tabs>
        <w:spacing w:after="0"/>
      </w:pPr>
      <w:r>
        <w:t>Další případná ujednání:</w:t>
      </w:r>
    </w:p>
    <w:p w:rsidR="00BB6EAE" w:rsidRDefault="002E453A">
      <w:pPr>
        <w:pStyle w:val="Titulekobrzku0"/>
        <w:framePr w:wrap="none" w:vAnchor="page" w:hAnchor="page" w:x="1269" w:y="13220"/>
        <w:shd w:val="clear" w:color="auto" w:fill="auto"/>
        <w:spacing w:line="240" w:lineRule="auto"/>
        <w:ind w:right="34"/>
        <w:rPr>
          <w:color w:val="282828"/>
          <w:sz w:val="17"/>
          <w:szCs w:val="17"/>
        </w:rPr>
      </w:pPr>
      <w:r>
        <w:rPr>
          <w:color w:val="282828"/>
          <w:sz w:val="17"/>
          <w:szCs w:val="17"/>
        </w:rPr>
        <w:t>Místo:</w:t>
      </w:r>
      <w:r w:rsidR="00DF6229">
        <w:rPr>
          <w:color w:val="282828"/>
          <w:sz w:val="17"/>
          <w:szCs w:val="17"/>
        </w:rPr>
        <w:t xml:space="preserve"> Zlín</w:t>
      </w:r>
    </w:p>
    <w:p w:rsidR="00DF6229" w:rsidRDefault="00DF6229">
      <w:pPr>
        <w:pStyle w:val="Titulekobrzku0"/>
        <w:framePr w:wrap="none" w:vAnchor="page" w:hAnchor="page" w:x="1269" w:y="13220"/>
        <w:shd w:val="clear" w:color="auto" w:fill="auto"/>
        <w:spacing w:line="240" w:lineRule="auto"/>
        <w:ind w:right="34"/>
        <w:rPr>
          <w:sz w:val="17"/>
          <w:szCs w:val="17"/>
        </w:rPr>
      </w:pPr>
      <w:r>
        <w:rPr>
          <w:color w:val="282828"/>
          <w:sz w:val="17"/>
          <w:szCs w:val="17"/>
        </w:rPr>
        <w:t>Datum: 4.6.2019</w:t>
      </w:r>
    </w:p>
    <w:p w:rsidR="00BB6EAE" w:rsidRDefault="002E453A">
      <w:pPr>
        <w:pStyle w:val="Titulekobrzku0"/>
        <w:framePr w:w="1248" w:h="624" w:hRule="exact" w:wrap="none" w:vAnchor="page" w:hAnchor="page" w:x="1259" w:y="14530"/>
        <w:shd w:val="clear" w:color="auto" w:fill="auto"/>
        <w:ind w:right="268"/>
      </w:pPr>
      <w:r>
        <w:t xml:space="preserve">Oberbank </w:t>
      </w:r>
      <w:r>
        <w:rPr>
          <w:i/>
          <w:iCs/>
        </w:rPr>
        <w:t>HG</w:t>
      </w:r>
    </w:p>
    <w:p w:rsidR="00BB6EAE" w:rsidRDefault="002E453A">
      <w:pPr>
        <w:pStyle w:val="Titulekobrzku0"/>
        <w:framePr w:w="1248" w:h="624" w:hRule="exact" w:wrap="none" w:vAnchor="page" w:hAnchor="page" w:x="1259" w:y="14530"/>
        <w:shd w:val="clear" w:color="auto" w:fill="auto"/>
      </w:pPr>
      <w:r>
        <w:t>Ing. Jan Zatloukal Libor Hrnůlřik</w:t>
      </w:r>
    </w:p>
    <w:p w:rsidR="00BB6EAE" w:rsidRDefault="002E453A">
      <w:pPr>
        <w:pStyle w:val="Zkladntext20"/>
        <w:framePr w:w="9850" w:h="298" w:hRule="exact" w:wrap="none" w:vAnchor="page" w:hAnchor="page" w:x="1225" w:y="15409"/>
        <w:shd w:val="clear" w:color="auto" w:fill="auto"/>
        <w:spacing w:before="0" w:after="0" w:line="288" w:lineRule="auto"/>
        <w:ind w:left="91" w:right="192"/>
      </w:pPr>
      <w:r>
        <w:rPr>
          <w:color w:val="474748"/>
        </w:rPr>
        <w:t xml:space="preserve">ObecbankAď </w:t>
      </w:r>
      <w:r>
        <w:t xml:space="preserve">poboíka </w:t>
      </w:r>
      <w:r>
        <w:rPr>
          <w:color w:val="474748"/>
        </w:rPr>
        <w:t xml:space="preserve">Česka </w:t>
      </w:r>
      <w:r>
        <w:t xml:space="preserve">lepubkka, IC 26080222. OČ </w:t>
      </w:r>
      <w:r>
        <w:rPr>
          <w:color w:val="474748"/>
        </w:rPr>
        <w:t xml:space="preserve">CZ26080222, </w:t>
      </w:r>
      <w:r>
        <w:t xml:space="preserve">videm 370 </w:t>
      </w:r>
      <w:r>
        <w:rPr>
          <w:color w:val="474748"/>
        </w:rPr>
        <w:t xml:space="preserve">01 </w:t>
      </w:r>
      <w:r>
        <w:t xml:space="preserve">České Budějovice, ném Přemysla </w:t>
      </w:r>
      <w:r>
        <w:rPr>
          <w:color w:val="474748"/>
        </w:rPr>
        <w:t xml:space="preserve">Otakara II </w:t>
      </w:r>
      <w:r>
        <w:t xml:space="preserve">6/3 je </w:t>
      </w:r>
      <w:r>
        <w:rPr>
          <w:color w:val="7C7C7C"/>
        </w:rPr>
        <w:t xml:space="preserve">zapséna </w:t>
      </w:r>
      <w:r>
        <w:rPr>
          <w:color w:val="474748"/>
        </w:rPr>
        <w:t xml:space="preserve">v </w:t>
      </w:r>
      <w:r>
        <w:rPr>
          <w:color w:val="7C7C7C"/>
        </w:rPr>
        <w:t xml:space="preserve">obchodním </w:t>
      </w:r>
      <w:r>
        <w:t xml:space="preserve">rejstříku </w:t>
      </w:r>
      <w:r>
        <w:rPr>
          <w:color w:val="7C7C7C"/>
        </w:rPr>
        <w:t xml:space="preserve">vedenému </w:t>
      </w:r>
      <w:r>
        <w:t xml:space="preserve">Krajského </w:t>
      </w:r>
      <w:r>
        <w:rPr>
          <w:color w:val="7C7C7C"/>
        </w:rPr>
        <w:t xml:space="preserve">soudu </w:t>
      </w:r>
      <w:r>
        <w:rPr>
          <w:color w:val="282828"/>
        </w:rPr>
        <w:t xml:space="preserve">v </w:t>
      </w:r>
      <w:r>
        <w:t xml:space="preserve">Českých </w:t>
      </w:r>
      <w:r>
        <w:rPr>
          <w:color w:val="7C7C7C"/>
        </w:rPr>
        <w:t>Budějovicích,</w:t>
      </w:r>
      <w:r>
        <w:rPr>
          <w:color w:val="7C7C7C"/>
        </w:rPr>
        <w:br/>
      </w:r>
      <w:r>
        <w:t xml:space="preserve">odd.l A </w:t>
      </w:r>
      <w:r>
        <w:rPr>
          <w:color w:val="474748"/>
        </w:rPr>
        <w:t xml:space="preserve">vl JÁa </w:t>
      </w:r>
      <w:r>
        <w:t xml:space="preserve">7697. </w:t>
      </w:r>
      <w:r>
        <w:rPr>
          <w:color w:val="474748"/>
        </w:rPr>
        <w:t xml:space="preserve">a </w:t>
      </w:r>
      <w:r>
        <w:t xml:space="preserve">je </w:t>
      </w:r>
      <w:r>
        <w:rPr>
          <w:color w:val="474748"/>
        </w:rPr>
        <w:t xml:space="preserve">pobočkou Oberbank AG. </w:t>
      </w:r>
      <w:r>
        <w:t xml:space="preserve">sJdkm </w:t>
      </w:r>
      <w:r>
        <w:rPr>
          <w:color w:val="474748"/>
        </w:rPr>
        <w:t xml:space="preserve">Rakousko 4020 Linz. Untere </w:t>
      </w:r>
      <w:r>
        <w:t xml:space="preserve">Donauiánde 28, zapsané ve </w:t>
      </w:r>
      <w:r>
        <w:rPr>
          <w:b w:val="0"/>
          <w:bCs w:val="0"/>
          <w:smallCaps/>
          <w:color w:val="7C7C7C"/>
        </w:rPr>
        <w:t>Fí</w:t>
      </w:r>
      <w:r>
        <w:rPr>
          <w:color w:val="7C7C7C"/>
        </w:rPr>
        <w:t xml:space="preserve"> </w:t>
      </w:r>
      <w:r>
        <w:t xml:space="preserve">menbuch </w:t>
      </w:r>
      <w:r>
        <w:rPr>
          <w:color w:val="474748"/>
        </w:rPr>
        <w:t xml:space="preserve">u </w:t>
      </w:r>
      <w:r>
        <w:t xml:space="preserve">Landesgencht </w:t>
      </w:r>
      <w:r>
        <w:rPr>
          <w:color w:val="7C7C7C"/>
        </w:rPr>
        <w:t xml:space="preserve">Lnz pod číslem </w:t>
      </w:r>
      <w:r>
        <w:rPr>
          <w:color w:val="474748"/>
        </w:rPr>
        <w:t>FN 7906</w:t>
      </w:r>
      <w:r>
        <w:t>3w</w:t>
      </w:r>
    </w:p>
    <w:p w:rsidR="00BB6EAE" w:rsidRDefault="002E453A">
      <w:pPr>
        <w:pStyle w:val="Zhlavnebozpat0"/>
        <w:framePr w:wrap="none" w:vAnchor="page" w:hAnchor="page" w:x="11065" w:y="15337"/>
        <w:shd w:val="clear" w:color="auto" w:fill="auto"/>
        <w:ind w:left="9"/>
        <w:rPr>
          <w:sz w:val="15"/>
          <w:szCs w:val="15"/>
        </w:rPr>
      </w:pPr>
      <w:r>
        <w:rPr>
          <w:rFonts w:ascii="Arial" w:eastAsia="Arial" w:hAnsi="Arial" w:cs="Arial"/>
          <w:i/>
          <w:iCs/>
          <w:color w:val="474748"/>
          <w:sz w:val="15"/>
          <w:szCs w:val="15"/>
        </w:rPr>
        <w:t>2</w:t>
      </w:r>
    </w:p>
    <w:p w:rsidR="00BB6EAE" w:rsidRDefault="00BB6EAE">
      <w:pPr>
        <w:spacing w:line="1" w:lineRule="exact"/>
      </w:pPr>
      <w:bookmarkStart w:id="6" w:name="_GoBack"/>
      <w:bookmarkEnd w:id="6"/>
    </w:p>
    <w:sectPr w:rsidR="00BB6EAE">
      <w:pgSz w:w="11900" w:h="16840"/>
      <w:pgMar w:top="49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2F" w:rsidRDefault="002E453A">
      <w:r>
        <w:separator/>
      </w:r>
    </w:p>
  </w:endnote>
  <w:endnote w:type="continuationSeparator" w:id="0">
    <w:p w:rsidR="00A62D2F" w:rsidRDefault="002E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AE" w:rsidRDefault="00BB6EAE"/>
  </w:footnote>
  <w:footnote w:type="continuationSeparator" w:id="0">
    <w:p w:rsidR="00BB6EAE" w:rsidRDefault="00BB6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9DD"/>
    <w:multiLevelType w:val="multilevel"/>
    <w:tmpl w:val="E8C8E6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AE"/>
    <w:rsid w:val="002E453A"/>
    <w:rsid w:val="007477F8"/>
    <w:rsid w:val="00A62D2F"/>
    <w:rsid w:val="00BB6EAE"/>
    <w:rsid w:val="00DF6229"/>
    <w:rsid w:val="00F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BB84"/>
  <w15:docId w15:val="{AA9553E4-2DBA-46B6-975F-A2F7358D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82828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82828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666666"/>
      <w:sz w:val="8"/>
      <w:szCs w:val="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74748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jc w:val="center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Arial" w:eastAsia="Arial" w:hAnsi="Arial" w:cs="Arial"/>
      <w:color w:val="282828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59" w:lineRule="auto"/>
    </w:pPr>
    <w:rPr>
      <w:rFonts w:ascii="Arial" w:eastAsia="Arial" w:hAnsi="Arial" w:cs="Arial"/>
      <w:color w:val="282828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after="100" w:line="293" w:lineRule="auto"/>
    </w:pPr>
    <w:rPr>
      <w:rFonts w:ascii="Arial" w:eastAsia="Arial" w:hAnsi="Arial" w:cs="Arial"/>
      <w:b/>
      <w:bCs/>
      <w:color w:val="666666"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color w:val="47474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ban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rban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Obchodní akademie T. Bati a VOŠE Zlín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Libor Hrncirik</dc:creator>
  <cp:keywords/>
  <cp:lastModifiedBy>Hýl Pavel</cp:lastModifiedBy>
  <cp:revision>4</cp:revision>
  <dcterms:created xsi:type="dcterms:W3CDTF">2019-07-01T08:22:00Z</dcterms:created>
  <dcterms:modified xsi:type="dcterms:W3CDTF">2019-07-01T08:43:00Z</dcterms:modified>
</cp:coreProperties>
</file>