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7DE" w:rsidRPr="0097482E" w:rsidRDefault="00E077DE" w:rsidP="00E077DE">
      <w:pPr>
        <w:jc w:val="center"/>
        <w:rPr>
          <w:rFonts w:ascii="Garamond" w:hAnsi="Garamond"/>
          <w:b/>
          <w:sz w:val="28"/>
          <w:szCs w:val="28"/>
        </w:rPr>
      </w:pPr>
      <w:bookmarkStart w:id="0" w:name="_GoBack"/>
      <w:bookmarkEnd w:id="0"/>
      <w:r w:rsidRPr="0097482E">
        <w:rPr>
          <w:rFonts w:ascii="Garamond" w:hAnsi="Garamond"/>
          <w:b/>
          <w:sz w:val="28"/>
          <w:szCs w:val="28"/>
        </w:rPr>
        <w:t>Dodatek č. 1</w:t>
      </w:r>
    </w:p>
    <w:p w:rsidR="0097482E" w:rsidRDefault="0097482E" w:rsidP="00E077DE">
      <w:pPr>
        <w:jc w:val="center"/>
        <w:rPr>
          <w:rFonts w:ascii="Garamond" w:hAnsi="Garamond"/>
          <w:b/>
          <w:sz w:val="28"/>
          <w:szCs w:val="28"/>
        </w:rPr>
      </w:pPr>
    </w:p>
    <w:p w:rsidR="00E077DE" w:rsidRDefault="00E077DE" w:rsidP="00E077DE">
      <w:pPr>
        <w:jc w:val="center"/>
        <w:rPr>
          <w:rFonts w:ascii="Garamond" w:hAnsi="Garamond"/>
          <w:b/>
          <w:sz w:val="28"/>
          <w:szCs w:val="28"/>
        </w:rPr>
      </w:pPr>
      <w:r w:rsidRPr="00AD40CC">
        <w:rPr>
          <w:rFonts w:ascii="Garamond" w:hAnsi="Garamond"/>
          <w:b/>
          <w:sz w:val="28"/>
          <w:szCs w:val="28"/>
        </w:rPr>
        <w:t>SMLOUV</w:t>
      </w:r>
      <w:r>
        <w:rPr>
          <w:rFonts w:ascii="Garamond" w:hAnsi="Garamond"/>
          <w:b/>
          <w:sz w:val="28"/>
          <w:szCs w:val="28"/>
        </w:rPr>
        <w:t>Y</w:t>
      </w:r>
      <w:r w:rsidRPr="00AD40CC">
        <w:rPr>
          <w:rFonts w:ascii="Garamond" w:hAnsi="Garamond"/>
          <w:b/>
          <w:sz w:val="28"/>
          <w:szCs w:val="28"/>
        </w:rPr>
        <w:t xml:space="preserve"> </w:t>
      </w:r>
      <w:r w:rsidR="0097482E">
        <w:rPr>
          <w:rFonts w:ascii="Garamond" w:hAnsi="Garamond"/>
          <w:b/>
          <w:sz w:val="28"/>
          <w:szCs w:val="28"/>
        </w:rPr>
        <w:t>O DÍLO</w:t>
      </w:r>
    </w:p>
    <w:p w:rsidR="0097482E" w:rsidRDefault="0097482E" w:rsidP="00E077DE">
      <w:pPr>
        <w:jc w:val="center"/>
        <w:rPr>
          <w:rFonts w:ascii="Garamond" w:hAnsi="Garamond"/>
          <w:b/>
          <w:sz w:val="28"/>
          <w:szCs w:val="28"/>
        </w:rPr>
      </w:pPr>
    </w:p>
    <w:p w:rsidR="0097482E" w:rsidRDefault="0097482E" w:rsidP="00E077DE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ab/>
        <w:t>VYHLEDÁVACÍ NÁSTROJ</w:t>
      </w:r>
    </w:p>
    <w:p w:rsidR="0097482E" w:rsidRDefault="0097482E" w:rsidP="00E077DE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NEJVYŠŠÍHO SPRÁVNÍHO SOUDU</w:t>
      </w:r>
    </w:p>
    <w:p w:rsidR="00E077DE" w:rsidRPr="00535B6B" w:rsidRDefault="00E077DE" w:rsidP="00E077DE">
      <w:pPr>
        <w:jc w:val="center"/>
        <w:rPr>
          <w:rFonts w:ascii="Garamond" w:hAnsi="Garamond"/>
          <w:b/>
          <w:color w:val="FF0000"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ze dne </w:t>
      </w:r>
      <w:proofErr w:type="gramStart"/>
      <w:r>
        <w:rPr>
          <w:rFonts w:ascii="Garamond" w:hAnsi="Garamond"/>
          <w:b/>
          <w:sz w:val="28"/>
          <w:szCs w:val="28"/>
        </w:rPr>
        <w:t>2</w:t>
      </w:r>
      <w:r w:rsidR="0097482E">
        <w:rPr>
          <w:rFonts w:ascii="Garamond" w:hAnsi="Garamond"/>
          <w:b/>
          <w:sz w:val="28"/>
          <w:szCs w:val="28"/>
        </w:rPr>
        <w:t>.5.2019</w:t>
      </w:r>
      <w:proofErr w:type="gramEnd"/>
    </w:p>
    <w:p w:rsidR="00E077DE" w:rsidRPr="00AD40CC" w:rsidRDefault="00E077DE" w:rsidP="00E077DE">
      <w:pPr>
        <w:jc w:val="center"/>
        <w:rPr>
          <w:rFonts w:ascii="Garamond" w:hAnsi="Garamond"/>
        </w:rPr>
      </w:pPr>
    </w:p>
    <w:p w:rsidR="00E077DE" w:rsidRPr="00AD40CC" w:rsidRDefault="00E077DE" w:rsidP="00E077DE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uzavřené</w:t>
      </w:r>
      <w:r w:rsidRPr="00AD40CC">
        <w:rPr>
          <w:rFonts w:ascii="Garamond" w:hAnsi="Garamond"/>
          <w:b/>
        </w:rPr>
        <w:t xml:space="preserve"> podle § </w:t>
      </w:r>
      <w:r w:rsidR="0097482E">
        <w:rPr>
          <w:rFonts w:ascii="Garamond" w:hAnsi="Garamond"/>
          <w:b/>
        </w:rPr>
        <w:t>2586</w:t>
      </w:r>
      <w:r>
        <w:rPr>
          <w:rFonts w:ascii="Garamond" w:hAnsi="Garamond"/>
          <w:b/>
        </w:rPr>
        <w:t xml:space="preserve"> </w:t>
      </w:r>
      <w:r w:rsidRPr="00AD40CC">
        <w:rPr>
          <w:rFonts w:ascii="Garamond" w:hAnsi="Garamond"/>
          <w:b/>
        </w:rPr>
        <w:t>a násl. zákona č. 89/2012 Sb., občanského zákoníku</w:t>
      </w:r>
    </w:p>
    <w:p w:rsidR="00E077DE" w:rsidRPr="000D1348" w:rsidRDefault="00E077DE" w:rsidP="00E077DE">
      <w:pPr>
        <w:jc w:val="center"/>
        <w:rPr>
          <w:rFonts w:ascii="Garamond" w:hAnsi="Garamond"/>
        </w:rPr>
      </w:pPr>
      <w:r w:rsidRPr="00AD40CC">
        <w:rPr>
          <w:rFonts w:ascii="Garamond" w:hAnsi="Garamond"/>
          <w:b/>
        </w:rPr>
        <w:t>(dále jen „občanský zákoník“)</w:t>
      </w:r>
    </w:p>
    <w:p w:rsidR="00E077DE" w:rsidRDefault="00E077DE" w:rsidP="00E077DE">
      <w:pPr>
        <w:rPr>
          <w:rFonts w:ascii="Garamond" w:hAnsi="Garamond"/>
          <w:b/>
        </w:rPr>
      </w:pPr>
    </w:p>
    <w:p w:rsidR="003C29BF" w:rsidRDefault="003C29BF" w:rsidP="00E077DE">
      <w:pPr>
        <w:jc w:val="center"/>
        <w:rPr>
          <w:rFonts w:ascii="Garamond" w:hAnsi="Garamond"/>
          <w:b/>
          <w:caps/>
        </w:rPr>
      </w:pPr>
    </w:p>
    <w:p w:rsidR="00E077DE" w:rsidRDefault="00E077DE" w:rsidP="00E077DE">
      <w:pPr>
        <w:jc w:val="center"/>
        <w:rPr>
          <w:rFonts w:ascii="Garamond" w:hAnsi="Garamond"/>
          <w:b/>
          <w:caps/>
        </w:rPr>
      </w:pPr>
      <w:r w:rsidRPr="00F34964">
        <w:rPr>
          <w:rFonts w:ascii="Garamond" w:hAnsi="Garamond"/>
          <w:b/>
          <w:caps/>
        </w:rPr>
        <w:t>Smluvní strany</w:t>
      </w:r>
    </w:p>
    <w:p w:rsidR="00E077DE" w:rsidRPr="00D72D55" w:rsidRDefault="00E077DE" w:rsidP="00E077DE">
      <w:pPr>
        <w:jc w:val="center"/>
        <w:rPr>
          <w:rFonts w:ascii="Garamond" w:hAnsi="Garamond"/>
          <w:b/>
          <w:caps/>
        </w:rPr>
      </w:pPr>
    </w:p>
    <w:p w:rsidR="00E077DE" w:rsidRPr="00D90070" w:rsidRDefault="00E077DE" w:rsidP="00E077DE">
      <w:pPr>
        <w:pStyle w:val="Odstavecseseznamem"/>
        <w:numPr>
          <w:ilvl w:val="0"/>
          <w:numId w:val="2"/>
        </w:numPr>
        <w:tabs>
          <w:tab w:val="left" w:pos="2694"/>
        </w:tabs>
        <w:rPr>
          <w:rFonts w:ascii="Garamond" w:hAnsi="Garamond"/>
          <w:b/>
          <w:sz w:val="24"/>
          <w:szCs w:val="24"/>
        </w:rPr>
      </w:pPr>
      <w:r w:rsidRPr="00D90070">
        <w:rPr>
          <w:rFonts w:ascii="Garamond" w:hAnsi="Garamond"/>
          <w:b/>
          <w:sz w:val="24"/>
          <w:szCs w:val="24"/>
        </w:rPr>
        <w:t xml:space="preserve">Česká </w:t>
      </w:r>
      <w:proofErr w:type="gramStart"/>
      <w:r w:rsidRPr="00D90070">
        <w:rPr>
          <w:rFonts w:ascii="Garamond" w:hAnsi="Garamond"/>
          <w:b/>
          <w:sz w:val="24"/>
          <w:szCs w:val="24"/>
        </w:rPr>
        <w:t>republika  –</w:t>
      </w:r>
      <w:r w:rsidRPr="00D90070">
        <w:rPr>
          <w:rFonts w:ascii="Garamond" w:hAnsi="Garamond"/>
          <w:b/>
          <w:sz w:val="24"/>
          <w:szCs w:val="24"/>
        </w:rPr>
        <w:tab/>
        <w:t>Nejvyšší</w:t>
      </w:r>
      <w:proofErr w:type="gramEnd"/>
      <w:r w:rsidRPr="00D90070">
        <w:rPr>
          <w:rFonts w:ascii="Garamond" w:hAnsi="Garamond"/>
          <w:b/>
          <w:sz w:val="24"/>
          <w:szCs w:val="24"/>
        </w:rPr>
        <w:t xml:space="preserve"> správní soud</w:t>
      </w:r>
    </w:p>
    <w:p w:rsidR="00E077DE" w:rsidRPr="00B171FF" w:rsidRDefault="00E077DE" w:rsidP="00E077DE">
      <w:pPr>
        <w:pStyle w:val="Odstavecseseznamem"/>
        <w:tabs>
          <w:tab w:val="left" w:pos="2700"/>
        </w:tabs>
        <w:spacing w:after="0"/>
        <w:rPr>
          <w:rFonts w:ascii="Garamond" w:hAnsi="Garamond"/>
          <w:sz w:val="24"/>
          <w:szCs w:val="24"/>
        </w:rPr>
      </w:pPr>
      <w:r w:rsidRPr="00B171FF">
        <w:rPr>
          <w:rFonts w:ascii="Garamond" w:hAnsi="Garamond"/>
          <w:sz w:val="24"/>
          <w:szCs w:val="24"/>
        </w:rPr>
        <w:t>Se sídlem:</w:t>
      </w:r>
      <w:r w:rsidRPr="00B171FF">
        <w:rPr>
          <w:rFonts w:ascii="Garamond" w:hAnsi="Garamond"/>
          <w:sz w:val="24"/>
          <w:szCs w:val="24"/>
        </w:rPr>
        <w:tab/>
        <w:t>Moravské náměstí 6, 657 40 Brno</w:t>
      </w:r>
    </w:p>
    <w:p w:rsidR="00E077DE" w:rsidRPr="00B171FF" w:rsidRDefault="00E077DE" w:rsidP="00E077DE">
      <w:pPr>
        <w:pStyle w:val="Zkladntext"/>
        <w:tabs>
          <w:tab w:val="left" w:pos="709"/>
        </w:tabs>
        <w:spacing w:after="0"/>
        <w:ind w:left="2694" w:hanging="3260"/>
        <w:jc w:val="both"/>
        <w:rPr>
          <w:rFonts w:ascii="Garamond" w:hAnsi="Garamond"/>
        </w:rPr>
      </w:pPr>
      <w:r w:rsidRPr="00B171FF">
        <w:rPr>
          <w:rFonts w:ascii="Garamond" w:hAnsi="Garamond"/>
        </w:rPr>
        <w:tab/>
        <w:t>Zastoupen</w:t>
      </w:r>
      <w:r>
        <w:rPr>
          <w:rFonts w:ascii="Garamond" w:hAnsi="Garamond"/>
        </w:rPr>
        <w:t>a</w:t>
      </w:r>
      <w:r w:rsidRPr="00B171FF">
        <w:rPr>
          <w:rFonts w:ascii="Garamond" w:hAnsi="Garamond"/>
        </w:rPr>
        <w:t>:</w:t>
      </w:r>
      <w:r w:rsidRPr="00B171FF">
        <w:rPr>
          <w:rFonts w:ascii="Garamond" w:hAnsi="Garamond"/>
        </w:rPr>
        <w:tab/>
      </w:r>
      <w:r w:rsidR="0097482E">
        <w:rPr>
          <w:rFonts w:ascii="Garamond" w:hAnsi="Garamond"/>
        </w:rPr>
        <w:t xml:space="preserve">Mgr. Filipem </w:t>
      </w:r>
      <w:proofErr w:type="spellStart"/>
      <w:r w:rsidR="0097482E">
        <w:rPr>
          <w:rFonts w:ascii="Garamond" w:hAnsi="Garamond"/>
        </w:rPr>
        <w:t>Glotzmannem</w:t>
      </w:r>
      <w:proofErr w:type="spellEnd"/>
      <w:r w:rsidR="0097482E">
        <w:rPr>
          <w:rFonts w:ascii="Garamond" w:hAnsi="Garamond"/>
        </w:rPr>
        <w:t>, ředitelem správy soudu</w:t>
      </w:r>
    </w:p>
    <w:p w:rsidR="00E077DE" w:rsidRPr="00B171FF" w:rsidRDefault="00E077DE" w:rsidP="00E077DE">
      <w:pPr>
        <w:pStyle w:val="Odstavecseseznamem"/>
        <w:tabs>
          <w:tab w:val="left" w:pos="2700"/>
        </w:tabs>
        <w:spacing w:after="0"/>
        <w:rPr>
          <w:rFonts w:ascii="Garamond" w:hAnsi="Garamond"/>
          <w:sz w:val="24"/>
          <w:szCs w:val="24"/>
        </w:rPr>
      </w:pPr>
      <w:r w:rsidRPr="00B171FF">
        <w:rPr>
          <w:rFonts w:ascii="Garamond" w:hAnsi="Garamond"/>
          <w:sz w:val="24"/>
          <w:szCs w:val="24"/>
        </w:rPr>
        <w:t>IČ</w:t>
      </w:r>
      <w:r>
        <w:rPr>
          <w:rFonts w:ascii="Garamond" w:hAnsi="Garamond"/>
          <w:sz w:val="24"/>
          <w:szCs w:val="24"/>
        </w:rPr>
        <w:t>O</w:t>
      </w:r>
      <w:r w:rsidRPr="00B171FF">
        <w:rPr>
          <w:rFonts w:ascii="Garamond" w:hAnsi="Garamond"/>
          <w:sz w:val="24"/>
          <w:szCs w:val="24"/>
        </w:rPr>
        <w:t>:</w:t>
      </w:r>
      <w:r w:rsidRPr="00B171FF">
        <w:rPr>
          <w:rFonts w:ascii="Garamond" w:hAnsi="Garamond"/>
          <w:sz w:val="24"/>
          <w:szCs w:val="24"/>
        </w:rPr>
        <w:tab/>
        <w:t>75003716</w:t>
      </w:r>
    </w:p>
    <w:p w:rsidR="00E077DE" w:rsidRDefault="00E077DE" w:rsidP="00E077DE">
      <w:pPr>
        <w:pStyle w:val="Odstavecseseznamem"/>
        <w:tabs>
          <w:tab w:val="left" w:pos="270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DIČ:</w:t>
      </w:r>
      <w:r>
        <w:rPr>
          <w:rFonts w:ascii="Garamond" w:hAnsi="Garamond"/>
          <w:sz w:val="24"/>
          <w:szCs w:val="24"/>
        </w:rPr>
        <w:tab/>
      </w:r>
      <w:r w:rsidRPr="00520F2F">
        <w:rPr>
          <w:rFonts w:ascii="Garamond" w:hAnsi="Garamond"/>
          <w:sz w:val="24"/>
          <w:szCs w:val="24"/>
        </w:rPr>
        <w:t>není plátce DPH</w:t>
      </w:r>
    </w:p>
    <w:p w:rsidR="00E077DE" w:rsidRPr="00D72D55" w:rsidRDefault="00E077DE" w:rsidP="00E077DE">
      <w:pPr>
        <w:pStyle w:val="Odstavecseseznamem"/>
        <w:tabs>
          <w:tab w:val="left" w:pos="2700"/>
        </w:tabs>
        <w:jc w:val="center"/>
        <w:rPr>
          <w:rFonts w:ascii="Garamond" w:hAnsi="Garamond"/>
          <w:sz w:val="24"/>
          <w:szCs w:val="24"/>
        </w:rPr>
      </w:pPr>
      <w:r w:rsidRPr="000D1348">
        <w:rPr>
          <w:rFonts w:ascii="Garamond" w:hAnsi="Garamond"/>
        </w:rPr>
        <w:t>(dále jen „</w:t>
      </w:r>
      <w:r w:rsidRPr="00F34964">
        <w:rPr>
          <w:rFonts w:ascii="Garamond" w:hAnsi="Garamond"/>
          <w:b/>
        </w:rPr>
        <w:t>objednatel</w:t>
      </w:r>
      <w:r w:rsidRPr="000D1348">
        <w:rPr>
          <w:rFonts w:ascii="Garamond" w:hAnsi="Garamond"/>
        </w:rPr>
        <w:t>“)</w:t>
      </w:r>
    </w:p>
    <w:p w:rsidR="00E077DE" w:rsidRPr="00D72D55" w:rsidRDefault="00E077DE" w:rsidP="00E077DE">
      <w:pPr>
        <w:jc w:val="center"/>
        <w:rPr>
          <w:rFonts w:ascii="Garamond" w:hAnsi="Garamond"/>
          <w:b/>
        </w:rPr>
      </w:pPr>
      <w:r w:rsidRPr="00F34964">
        <w:rPr>
          <w:rFonts w:ascii="Garamond" w:hAnsi="Garamond"/>
          <w:b/>
        </w:rPr>
        <w:t>a</w:t>
      </w:r>
    </w:p>
    <w:p w:rsidR="00E077DE" w:rsidRDefault="0097482E" w:rsidP="00E077DE">
      <w:pPr>
        <w:pStyle w:val="Odstavecseseznamem"/>
        <w:numPr>
          <w:ilvl w:val="0"/>
          <w:numId w:val="2"/>
        </w:numPr>
        <w:tabs>
          <w:tab w:val="left" w:pos="2700"/>
        </w:tabs>
        <w:spacing w:after="0"/>
        <w:rPr>
          <w:rFonts w:ascii="Garamond" w:hAnsi="Garamond"/>
          <w:b/>
          <w:sz w:val="24"/>
          <w:szCs w:val="24"/>
        </w:rPr>
      </w:pPr>
      <w:proofErr w:type="spellStart"/>
      <w:r>
        <w:rPr>
          <w:rFonts w:ascii="Garamond" w:hAnsi="Garamond"/>
          <w:b/>
          <w:sz w:val="24"/>
          <w:szCs w:val="24"/>
        </w:rPr>
        <w:t>Good</w:t>
      </w:r>
      <w:proofErr w:type="spellEnd"/>
      <w:r>
        <w:rPr>
          <w:rFonts w:ascii="Garamond" w:hAnsi="Garamond"/>
          <w:b/>
          <w:sz w:val="24"/>
          <w:szCs w:val="24"/>
        </w:rPr>
        <w:t xml:space="preserve"> </w:t>
      </w:r>
      <w:proofErr w:type="spellStart"/>
      <w:r>
        <w:rPr>
          <w:rFonts w:ascii="Garamond" w:hAnsi="Garamond"/>
          <w:b/>
          <w:sz w:val="24"/>
          <w:szCs w:val="24"/>
        </w:rPr>
        <w:t>at</w:t>
      </w:r>
      <w:proofErr w:type="spellEnd"/>
      <w:r>
        <w:rPr>
          <w:rFonts w:ascii="Garamond" w:hAnsi="Garamond"/>
          <w:b/>
          <w:sz w:val="24"/>
          <w:szCs w:val="24"/>
        </w:rPr>
        <w:t xml:space="preserve"> IT.com s.r.o.</w:t>
      </w:r>
    </w:p>
    <w:p w:rsidR="00E077DE" w:rsidRDefault="00E077DE" w:rsidP="00E077DE">
      <w:pPr>
        <w:pStyle w:val="Odstavecseseznamem"/>
        <w:tabs>
          <w:tab w:val="left" w:pos="2700"/>
        </w:tabs>
        <w:rPr>
          <w:rFonts w:ascii="Garamond" w:hAnsi="Garamond"/>
          <w:sz w:val="24"/>
          <w:szCs w:val="24"/>
        </w:rPr>
      </w:pPr>
      <w:r w:rsidRPr="00B171FF">
        <w:rPr>
          <w:rFonts w:ascii="Garamond" w:hAnsi="Garamond"/>
          <w:sz w:val="24"/>
          <w:szCs w:val="24"/>
        </w:rPr>
        <w:t>Se sídlem:</w:t>
      </w:r>
      <w:r w:rsidRPr="00B171FF">
        <w:rPr>
          <w:rFonts w:ascii="Garamond" w:hAnsi="Garamond"/>
          <w:sz w:val="24"/>
          <w:szCs w:val="24"/>
        </w:rPr>
        <w:tab/>
      </w:r>
      <w:r w:rsidR="0097482E">
        <w:rPr>
          <w:rFonts w:ascii="Garamond" w:hAnsi="Garamond"/>
          <w:sz w:val="24"/>
          <w:szCs w:val="24"/>
        </w:rPr>
        <w:t xml:space="preserve">Rybná 716/24, </w:t>
      </w:r>
      <w:proofErr w:type="gramStart"/>
      <w:r w:rsidR="0097482E">
        <w:rPr>
          <w:rFonts w:ascii="Garamond" w:hAnsi="Garamond"/>
          <w:sz w:val="24"/>
          <w:szCs w:val="24"/>
        </w:rPr>
        <w:t>110 00  Praha</w:t>
      </w:r>
      <w:proofErr w:type="gramEnd"/>
      <w:r w:rsidR="0097482E">
        <w:rPr>
          <w:rFonts w:ascii="Garamond" w:hAnsi="Garamond"/>
          <w:sz w:val="24"/>
          <w:szCs w:val="24"/>
        </w:rPr>
        <w:t xml:space="preserve"> 1</w:t>
      </w:r>
    </w:p>
    <w:p w:rsidR="00E077DE" w:rsidRDefault="00E077DE" w:rsidP="00E077DE">
      <w:pPr>
        <w:pStyle w:val="Odstavecseseznamem"/>
        <w:tabs>
          <w:tab w:val="left" w:pos="2700"/>
        </w:tabs>
        <w:spacing w:after="0"/>
        <w:contextualSpacing w:val="0"/>
        <w:rPr>
          <w:rFonts w:ascii="Garamond" w:hAnsi="Garamond"/>
          <w:sz w:val="24"/>
          <w:szCs w:val="24"/>
        </w:rPr>
      </w:pPr>
      <w:r w:rsidRPr="00B171FF">
        <w:rPr>
          <w:rFonts w:ascii="Garamond" w:hAnsi="Garamond"/>
          <w:sz w:val="24"/>
          <w:szCs w:val="24"/>
        </w:rPr>
        <w:t>Zastoupen</w:t>
      </w:r>
      <w:r>
        <w:rPr>
          <w:rFonts w:ascii="Garamond" w:hAnsi="Garamond"/>
          <w:sz w:val="24"/>
          <w:szCs w:val="24"/>
        </w:rPr>
        <w:t>a</w:t>
      </w:r>
      <w:r w:rsidRPr="00B171FF">
        <w:rPr>
          <w:rFonts w:ascii="Garamond" w:hAnsi="Garamond"/>
          <w:sz w:val="24"/>
          <w:szCs w:val="24"/>
        </w:rPr>
        <w:t>:</w:t>
      </w:r>
      <w:r w:rsidRPr="00B171FF">
        <w:rPr>
          <w:rFonts w:ascii="Garamond" w:hAnsi="Garamond"/>
          <w:sz w:val="24"/>
          <w:szCs w:val="24"/>
        </w:rPr>
        <w:tab/>
      </w:r>
      <w:r w:rsidR="0097482E">
        <w:rPr>
          <w:rFonts w:ascii="Garamond" w:hAnsi="Garamond"/>
          <w:sz w:val="24"/>
          <w:szCs w:val="24"/>
        </w:rPr>
        <w:t>Ing. Petrem Šindelářem</w:t>
      </w:r>
      <w:r w:rsidRPr="00B171FF">
        <w:rPr>
          <w:rFonts w:ascii="Garamond" w:hAnsi="Garamond"/>
          <w:sz w:val="24"/>
          <w:szCs w:val="24"/>
        </w:rPr>
        <w:t xml:space="preserve"> </w:t>
      </w:r>
    </w:p>
    <w:p w:rsidR="00E077DE" w:rsidRDefault="00E077DE" w:rsidP="00E077DE">
      <w:pPr>
        <w:pStyle w:val="Zkladntext"/>
        <w:tabs>
          <w:tab w:val="left" w:pos="709"/>
          <w:tab w:val="left" w:pos="2694"/>
        </w:tabs>
        <w:spacing w:after="0" w:line="276" w:lineRule="auto"/>
        <w:ind w:left="709"/>
        <w:jc w:val="both"/>
        <w:rPr>
          <w:rFonts w:ascii="Garamond" w:hAnsi="Garamond"/>
        </w:rPr>
      </w:pPr>
      <w:r w:rsidRPr="00B171FF">
        <w:rPr>
          <w:rFonts w:ascii="Garamond" w:hAnsi="Garamond"/>
        </w:rPr>
        <w:t>Subjekt zapsaný u:</w:t>
      </w:r>
      <w:r w:rsidRPr="00B171FF">
        <w:rPr>
          <w:rFonts w:ascii="Garamond" w:hAnsi="Garamond"/>
        </w:rPr>
        <w:tab/>
      </w:r>
      <w:r>
        <w:rPr>
          <w:rFonts w:ascii="Garamond" w:hAnsi="Garamond"/>
        </w:rPr>
        <w:t xml:space="preserve">Městského </w:t>
      </w:r>
      <w:r w:rsidRPr="00B171FF">
        <w:rPr>
          <w:rFonts w:ascii="Garamond" w:hAnsi="Garamond"/>
        </w:rPr>
        <w:t>soudu v </w:t>
      </w:r>
      <w:r>
        <w:rPr>
          <w:rFonts w:ascii="Garamond" w:hAnsi="Garamond"/>
        </w:rPr>
        <w:t>Praze</w:t>
      </w:r>
      <w:r w:rsidRPr="00B171FF">
        <w:rPr>
          <w:rFonts w:ascii="Garamond" w:hAnsi="Garamond"/>
        </w:rPr>
        <w:t xml:space="preserve">, oddíl </w:t>
      </w:r>
      <w:r>
        <w:rPr>
          <w:rFonts w:ascii="Garamond" w:hAnsi="Garamond"/>
        </w:rPr>
        <w:t>B</w:t>
      </w:r>
      <w:r w:rsidRPr="00B171FF">
        <w:rPr>
          <w:rFonts w:ascii="Garamond" w:hAnsi="Garamond"/>
        </w:rPr>
        <w:t xml:space="preserve">, vložka </w:t>
      </w:r>
      <w:r>
        <w:rPr>
          <w:rFonts w:ascii="Garamond" w:hAnsi="Garamond"/>
        </w:rPr>
        <w:t>9659</w:t>
      </w:r>
    </w:p>
    <w:p w:rsidR="00E077DE" w:rsidRDefault="00E077DE" w:rsidP="00E077DE">
      <w:pPr>
        <w:pStyle w:val="Odstavecseseznamem"/>
        <w:tabs>
          <w:tab w:val="left" w:pos="2700"/>
        </w:tabs>
        <w:spacing w:after="0"/>
        <w:contextualSpacing w:val="0"/>
        <w:rPr>
          <w:rFonts w:ascii="Garamond" w:hAnsi="Garamond"/>
          <w:sz w:val="24"/>
          <w:szCs w:val="24"/>
        </w:rPr>
      </w:pPr>
      <w:r w:rsidRPr="00B171FF">
        <w:rPr>
          <w:rFonts w:ascii="Garamond" w:hAnsi="Garamond"/>
          <w:sz w:val="24"/>
          <w:szCs w:val="24"/>
        </w:rPr>
        <w:t>IČ</w:t>
      </w:r>
      <w:r>
        <w:rPr>
          <w:rFonts w:ascii="Garamond" w:hAnsi="Garamond"/>
          <w:sz w:val="24"/>
          <w:szCs w:val="24"/>
        </w:rPr>
        <w:t>O</w:t>
      </w:r>
      <w:r w:rsidRPr="00B171FF">
        <w:rPr>
          <w:rFonts w:ascii="Garamond" w:hAnsi="Garamond"/>
          <w:sz w:val="24"/>
          <w:szCs w:val="24"/>
        </w:rPr>
        <w:t>:</w:t>
      </w:r>
      <w:r w:rsidRPr="00B171FF">
        <w:rPr>
          <w:rFonts w:ascii="Garamond" w:hAnsi="Garamond"/>
          <w:sz w:val="24"/>
          <w:szCs w:val="24"/>
        </w:rPr>
        <w:tab/>
      </w:r>
      <w:r w:rsidR="0097482E">
        <w:rPr>
          <w:rFonts w:ascii="Garamond" w:hAnsi="Garamond"/>
          <w:sz w:val="24"/>
          <w:szCs w:val="24"/>
        </w:rPr>
        <w:t>24273881</w:t>
      </w:r>
    </w:p>
    <w:p w:rsidR="00E077DE" w:rsidRPr="00D72D55" w:rsidRDefault="00E077DE" w:rsidP="00E077DE">
      <w:pPr>
        <w:pStyle w:val="Odstavecseseznamem"/>
        <w:tabs>
          <w:tab w:val="left" w:pos="2700"/>
        </w:tabs>
        <w:spacing w:after="0"/>
        <w:contextualSpacing w:val="0"/>
        <w:rPr>
          <w:rFonts w:ascii="Garamond" w:hAnsi="Garamond"/>
          <w:sz w:val="24"/>
          <w:szCs w:val="24"/>
        </w:rPr>
      </w:pPr>
      <w:r w:rsidRPr="00B171FF">
        <w:rPr>
          <w:rFonts w:ascii="Garamond" w:hAnsi="Garamond"/>
          <w:sz w:val="24"/>
          <w:szCs w:val="24"/>
        </w:rPr>
        <w:t>DIČ:</w:t>
      </w:r>
      <w:r w:rsidRPr="00B171FF">
        <w:rPr>
          <w:rFonts w:ascii="Garamond" w:hAnsi="Garamond"/>
          <w:sz w:val="24"/>
          <w:szCs w:val="24"/>
        </w:rPr>
        <w:tab/>
      </w:r>
      <w:r w:rsidR="0097482E">
        <w:rPr>
          <w:rFonts w:ascii="Garamond" w:hAnsi="Garamond"/>
          <w:sz w:val="24"/>
          <w:szCs w:val="24"/>
        </w:rPr>
        <w:t>CZ24273881</w:t>
      </w:r>
    </w:p>
    <w:p w:rsidR="00E077DE" w:rsidRDefault="00E077DE" w:rsidP="00E077DE">
      <w:pPr>
        <w:tabs>
          <w:tab w:val="left" w:pos="284"/>
        </w:tabs>
        <w:jc w:val="center"/>
        <w:rPr>
          <w:rFonts w:ascii="Garamond" w:hAnsi="Garamond"/>
        </w:rPr>
      </w:pPr>
      <w:r w:rsidRPr="000D1348">
        <w:rPr>
          <w:rFonts w:ascii="Garamond" w:hAnsi="Garamond"/>
        </w:rPr>
        <w:t>(dále jen „</w:t>
      </w:r>
      <w:r w:rsidR="0097482E">
        <w:rPr>
          <w:rFonts w:ascii="Garamond" w:hAnsi="Garamond"/>
          <w:b/>
        </w:rPr>
        <w:t>zhotovitel</w:t>
      </w:r>
      <w:r w:rsidRPr="000D1348">
        <w:rPr>
          <w:rFonts w:ascii="Garamond" w:hAnsi="Garamond"/>
        </w:rPr>
        <w:t>“)</w:t>
      </w:r>
    </w:p>
    <w:p w:rsidR="00E077DE" w:rsidRPr="000D1348" w:rsidRDefault="00E077DE" w:rsidP="00E077DE">
      <w:pPr>
        <w:tabs>
          <w:tab w:val="left" w:pos="284"/>
        </w:tabs>
        <w:jc w:val="center"/>
        <w:rPr>
          <w:rFonts w:ascii="Garamond" w:hAnsi="Garamond"/>
        </w:rPr>
      </w:pPr>
    </w:p>
    <w:p w:rsidR="007D35CB" w:rsidRDefault="003C29BF" w:rsidP="003C29BF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V</w:t>
      </w:r>
      <w:r w:rsidR="0097482E" w:rsidRPr="003C29BF">
        <w:rPr>
          <w:rFonts w:ascii="Garamond" w:hAnsi="Garamond"/>
          <w:b/>
        </w:rPr>
        <w:t> </w:t>
      </w:r>
      <w:r w:rsidR="007D35CB">
        <w:rPr>
          <w:rFonts w:ascii="Garamond" w:hAnsi="Garamond"/>
          <w:b/>
        </w:rPr>
        <w:t>souladu s </w:t>
      </w:r>
      <w:proofErr w:type="spellStart"/>
      <w:r w:rsidR="007D35CB">
        <w:rPr>
          <w:rFonts w:ascii="Garamond" w:hAnsi="Garamond"/>
          <w:b/>
        </w:rPr>
        <w:t>ust</w:t>
      </w:r>
      <w:proofErr w:type="spellEnd"/>
      <w:r w:rsidR="007D35CB">
        <w:rPr>
          <w:rFonts w:ascii="Garamond" w:hAnsi="Garamond"/>
          <w:b/>
        </w:rPr>
        <w:t xml:space="preserve">. § 222 odst. </w:t>
      </w:r>
      <w:r>
        <w:rPr>
          <w:rFonts w:ascii="Garamond" w:hAnsi="Garamond"/>
          <w:b/>
        </w:rPr>
        <w:t>5</w:t>
      </w:r>
      <w:r w:rsidR="0097482E" w:rsidRPr="003C29BF">
        <w:rPr>
          <w:rFonts w:ascii="Garamond" w:hAnsi="Garamond"/>
          <w:b/>
        </w:rPr>
        <w:t xml:space="preserve"> z.</w:t>
      </w:r>
      <w:r w:rsidR="007D35CB">
        <w:rPr>
          <w:rFonts w:ascii="Garamond" w:hAnsi="Garamond"/>
          <w:b/>
        </w:rPr>
        <w:t xml:space="preserve"> </w:t>
      </w:r>
      <w:proofErr w:type="gramStart"/>
      <w:r w:rsidR="0097482E" w:rsidRPr="003C29BF">
        <w:rPr>
          <w:rFonts w:ascii="Garamond" w:hAnsi="Garamond"/>
          <w:b/>
        </w:rPr>
        <w:t>č.</w:t>
      </w:r>
      <w:proofErr w:type="gramEnd"/>
      <w:r w:rsidR="0097482E" w:rsidRPr="003C29BF">
        <w:rPr>
          <w:rFonts w:ascii="Garamond" w:hAnsi="Garamond"/>
          <w:b/>
        </w:rPr>
        <w:t xml:space="preserve"> 134/2016 Sb., o zadávání veřejných zakáz</w:t>
      </w:r>
      <w:r w:rsidR="007D35CB">
        <w:rPr>
          <w:rFonts w:ascii="Garamond" w:hAnsi="Garamond"/>
          <w:b/>
        </w:rPr>
        <w:t xml:space="preserve">ek, </w:t>
      </w:r>
    </w:p>
    <w:p w:rsidR="0097482E" w:rsidRDefault="003C29BF" w:rsidP="003C29BF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a </w:t>
      </w:r>
      <w:r w:rsidR="0097482E" w:rsidRPr="003C29BF">
        <w:rPr>
          <w:rFonts w:ascii="Garamond" w:hAnsi="Garamond"/>
          <w:b/>
        </w:rPr>
        <w:t>v souladu s </w:t>
      </w:r>
      <w:proofErr w:type="spellStart"/>
      <w:r w:rsidR="0097482E" w:rsidRPr="003C29BF">
        <w:rPr>
          <w:rFonts w:ascii="Garamond" w:hAnsi="Garamond"/>
          <w:b/>
        </w:rPr>
        <w:t>ust</w:t>
      </w:r>
      <w:proofErr w:type="spellEnd"/>
      <w:r w:rsidR="0097482E" w:rsidRPr="003C29BF">
        <w:rPr>
          <w:rFonts w:ascii="Garamond" w:hAnsi="Garamond"/>
          <w:b/>
        </w:rPr>
        <w:t xml:space="preserve">. § 13 odst. 5 Instrukce Ministerstva spravedlnosti </w:t>
      </w:r>
      <w:proofErr w:type="gramStart"/>
      <w:r w:rsidR="0097482E" w:rsidRPr="003C29BF">
        <w:rPr>
          <w:rFonts w:ascii="Garamond" w:hAnsi="Garamond"/>
          <w:b/>
        </w:rPr>
        <w:t>č.j.</w:t>
      </w:r>
      <w:proofErr w:type="gramEnd"/>
      <w:r w:rsidR="0097482E" w:rsidRPr="003C29BF">
        <w:rPr>
          <w:rFonts w:ascii="Garamond" w:hAnsi="Garamond"/>
          <w:b/>
        </w:rPr>
        <w:t xml:space="preserve"> MSP-89/2017-OPR-Z, o zadávání veřejných zakázek v resortu Ministerstva spravedlnosti, ve</w:t>
      </w:r>
      <w:r w:rsidR="007D35CB">
        <w:rPr>
          <w:rFonts w:ascii="Garamond" w:hAnsi="Garamond"/>
          <w:b/>
        </w:rPr>
        <w:t xml:space="preserve"> znění pozdějších předpisů</w:t>
      </w:r>
    </w:p>
    <w:p w:rsidR="003C29BF" w:rsidRPr="003C29BF" w:rsidRDefault="003C29BF" w:rsidP="003C29BF">
      <w:pPr>
        <w:jc w:val="both"/>
        <w:rPr>
          <w:rFonts w:ascii="Garamond" w:hAnsi="Garamond"/>
          <w:b/>
        </w:rPr>
      </w:pPr>
    </w:p>
    <w:p w:rsidR="003C29BF" w:rsidRDefault="00E077DE" w:rsidP="0097482E">
      <w:pPr>
        <w:jc w:val="center"/>
        <w:rPr>
          <w:rFonts w:ascii="Garamond" w:hAnsi="Garamond"/>
          <w:b/>
        </w:rPr>
      </w:pPr>
      <w:r w:rsidRPr="000D1348">
        <w:rPr>
          <w:rFonts w:ascii="Garamond" w:hAnsi="Garamond"/>
          <w:b/>
        </w:rPr>
        <w:t xml:space="preserve">uzavřely </w:t>
      </w:r>
      <w:r w:rsidR="003C29BF">
        <w:rPr>
          <w:rFonts w:ascii="Garamond" w:hAnsi="Garamond"/>
          <w:b/>
        </w:rPr>
        <w:t xml:space="preserve">smluvní strany </w:t>
      </w:r>
      <w:r w:rsidRPr="00511B3D">
        <w:rPr>
          <w:rFonts w:ascii="Garamond" w:hAnsi="Garamond"/>
          <w:b/>
        </w:rPr>
        <w:t xml:space="preserve">níže uvedeného dne, měsíce a roku </w:t>
      </w:r>
      <w:r w:rsidR="0097482E">
        <w:rPr>
          <w:rFonts w:ascii="Garamond" w:hAnsi="Garamond"/>
          <w:b/>
        </w:rPr>
        <w:t xml:space="preserve">tento </w:t>
      </w:r>
    </w:p>
    <w:p w:rsidR="00E077DE" w:rsidRPr="0097482E" w:rsidRDefault="00E077DE" w:rsidP="0097482E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dodatek </w:t>
      </w:r>
      <w:r w:rsidR="0097482E">
        <w:rPr>
          <w:rFonts w:ascii="Garamond" w:hAnsi="Garamond"/>
          <w:b/>
        </w:rPr>
        <w:t xml:space="preserve">č. 1 </w:t>
      </w:r>
      <w:r>
        <w:rPr>
          <w:rFonts w:ascii="Garamond" w:hAnsi="Garamond"/>
          <w:b/>
        </w:rPr>
        <w:t>ke smlouvě</w:t>
      </w:r>
      <w:r w:rsidRPr="000D1348">
        <w:rPr>
          <w:rFonts w:ascii="Garamond" w:hAnsi="Garamond"/>
        </w:rPr>
        <w:t>:</w:t>
      </w:r>
    </w:p>
    <w:p w:rsidR="00E077DE" w:rsidRPr="000D1348" w:rsidRDefault="00E077DE" w:rsidP="00E077DE">
      <w:pPr>
        <w:jc w:val="both"/>
        <w:rPr>
          <w:rFonts w:ascii="Garamond" w:hAnsi="Garamond"/>
        </w:rPr>
      </w:pPr>
    </w:p>
    <w:p w:rsidR="00E077DE" w:rsidRDefault="00E077DE" w:rsidP="00E077DE">
      <w:pPr>
        <w:numPr>
          <w:ilvl w:val="0"/>
          <w:numId w:val="1"/>
        </w:numPr>
        <w:ind w:left="357" w:hanging="357"/>
        <w:jc w:val="both"/>
        <w:rPr>
          <w:rFonts w:ascii="Garamond" w:hAnsi="Garamond"/>
        </w:rPr>
      </w:pPr>
      <w:r>
        <w:rPr>
          <w:rFonts w:ascii="Garamond" w:hAnsi="Garamond"/>
        </w:rPr>
        <w:t>Tímto dodatkem se doplňuje smlouva uzavřená mezi smluvními stranami.</w:t>
      </w:r>
    </w:p>
    <w:p w:rsidR="00E077DE" w:rsidRDefault="00E077DE" w:rsidP="00E077DE">
      <w:pPr>
        <w:numPr>
          <w:ilvl w:val="0"/>
          <w:numId w:val="1"/>
        </w:numPr>
        <w:ind w:left="357" w:hanging="357"/>
        <w:jc w:val="both"/>
        <w:rPr>
          <w:rFonts w:ascii="Garamond" w:hAnsi="Garamond"/>
        </w:rPr>
      </w:pPr>
      <w:r>
        <w:rPr>
          <w:rFonts w:ascii="Garamond" w:hAnsi="Garamond"/>
        </w:rPr>
        <w:t>Všechna ostatní ustanovení smlouvy, která nejsou upravována tímto dodatkem, zůstávají v platnosti.</w:t>
      </w:r>
    </w:p>
    <w:p w:rsidR="00E077DE" w:rsidRDefault="00E077DE" w:rsidP="00E077DE">
      <w:pPr>
        <w:numPr>
          <w:ilvl w:val="0"/>
          <w:numId w:val="1"/>
        </w:numPr>
        <w:ind w:left="357" w:hanging="357"/>
        <w:jc w:val="both"/>
        <w:rPr>
          <w:rFonts w:ascii="Garamond" w:hAnsi="Garamond"/>
        </w:rPr>
      </w:pPr>
      <w:r>
        <w:rPr>
          <w:rFonts w:ascii="Garamond" w:hAnsi="Garamond"/>
        </w:rPr>
        <w:t>Rozsah plnění a cena předmětu zůstávají beze změny.</w:t>
      </w:r>
    </w:p>
    <w:p w:rsidR="00E077DE" w:rsidRDefault="00E077DE" w:rsidP="00E077DE">
      <w:pPr>
        <w:numPr>
          <w:ilvl w:val="0"/>
          <w:numId w:val="1"/>
        </w:numPr>
        <w:ind w:left="357" w:hanging="357"/>
        <w:jc w:val="both"/>
        <w:rPr>
          <w:rFonts w:ascii="Garamond" w:hAnsi="Garamond"/>
        </w:rPr>
      </w:pPr>
      <w:r w:rsidRPr="00401164">
        <w:rPr>
          <w:rFonts w:ascii="Garamond" w:hAnsi="Garamond"/>
        </w:rPr>
        <w:t xml:space="preserve">Smluvní strany se dohodly na úpravě </w:t>
      </w:r>
      <w:r w:rsidR="007D35CB">
        <w:rPr>
          <w:rFonts w:ascii="Garamond" w:hAnsi="Garamond"/>
        </w:rPr>
        <w:t>tohoto článku</w:t>
      </w:r>
      <w:r>
        <w:rPr>
          <w:rFonts w:ascii="Garamond" w:hAnsi="Garamond"/>
        </w:rPr>
        <w:t>:</w:t>
      </w:r>
    </w:p>
    <w:p w:rsidR="003C29BF" w:rsidRDefault="003C29BF" w:rsidP="003C29BF">
      <w:pPr>
        <w:jc w:val="both"/>
        <w:rPr>
          <w:rFonts w:ascii="Garamond" w:hAnsi="Garamond"/>
        </w:rPr>
      </w:pPr>
    </w:p>
    <w:p w:rsidR="003C29BF" w:rsidRDefault="003C29BF" w:rsidP="003C29BF">
      <w:pPr>
        <w:jc w:val="both"/>
        <w:rPr>
          <w:rFonts w:ascii="Garamond" w:hAnsi="Garamond"/>
        </w:rPr>
      </w:pPr>
    </w:p>
    <w:p w:rsidR="00E077DE" w:rsidRDefault="007D35CB" w:rsidP="007D35CB">
      <w:pPr>
        <w:jc w:val="both"/>
        <w:rPr>
          <w:rFonts w:ascii="Garamond" w:hAnsi="Garamond"/>
        </w:rPr>
      </w:pPr>
      <w:r>
        <w:rPr>
          <w:rFonts w:ascii="Garamond" w:hAnsi="Garamond"/>
          <w:b/>
        </w:rPr>
        <w:t>Č</w:t>
      </w:r>
      <w:r w:rsidR="003C29BF">
        <w:rPr>
          <w:rFonts w:ascii="Garamond" w:hAnsi="Garamond"/>
          <w:b/>
        </w:rPr>
        <w:t>lánek IV</w:t>
      </w:r>
      <w:r w:rsidR="00E077DE" w:rsidRPr="00995D99">
        <w:rPr>
          <w:rFonts w:ascii="Garamond" w:hAnsi="Garamond"/>
          <w:b/>
        </w:rPr>
        <w:t xml:space="preserve">. </w:t>
      </w:r>
      <w:r w:rsidR="003C29BF">
        <w:rPr>
          <w:rFonts w:ascii="Garamond" w:hAnsi="Garamond"/>
          <w:b/>
        </w:rPr>
        <w:t>Doba a místo provedení díla</w:t>
      </w:r>
      <w:r w:rsidR="00E077DE">
        <w:rPr>
          <w:rFonts w:ascii="Garamond" w:hAnsi="Garamond"/>
          <w:b/>
        </w:rPr>
        <w:t xml:space="preserve">, </w:t>
      </w:r>
      <w:r w:rsidR="003C29BF">
        <w:rPr>
          <w:rFonts w:ascii="Garamond" w:hAnsi="Garamond"/>
          <w:b/>
        </w:rPr>
        <w:t>odst. 1</w:t>
      </w:r>
      <w:r w:rsidR="00E077DE">
        <w:rPr>
          <w:rFonts w:ascii="Garamond" w:hAnsi="Garamond"/>
          <w:b/>
        </w:rPr>
        <w:t xml:space="preserve"> </w:t>
      </w:r>
      <w:r w:rsidR="00E077DE">
        <w:rPr>
          <w:rFonts w:ascii="Garamond" w:hAnsi="Garamond"/>
        </w:rPr>
        <w:t>Smlouvy – nové znění článku je následující:</w:t>
      </w:r>
    </w:p>
    <w:p w:rsidR="003C29BF" w:rsidRPr="003C29BF" w:rsidRDefault="003C29BF" w:rsidP="003C29BF">
      <w:pPr>
        <w:ind w:left="720"/>
        <w:jc w:val="both"/>
        <w:rPr>
          <w:rFonts w:ascii="Garamond" w:hAnsi="Garamond"/>
        </w:rPr>
      </w:pPr>
    </w:p>
    <w:p w:rsidR="003C29BF" w:rsidRPr="003C29BF" w:rsidRDefault="003C29BF" w:rsidP="003C29BF">
      <w:pPr>
        <w:pStyle w:val="Odstavecseseznamem"/>
        <w:numPr>
          <w:ilvl w:val="0"/>
          <w:numId w:val="7"/>
        </w:numPr>
        <w:jc w:val="both"/>
        <w:rPr>
          <w:rFonts w:ascii="Garamond" w:hAnsi="Garamond"/>
          <w:b/>
          <w:i/>
          <w:sz w:val="24"/>
          <w:szCs w:val="24"/>
        </w:rPr>
      </w:pPr>
      <w:r w:rsidRPr="003C29BF">
        <w:rPr>
          <w:rFonts w:ascii="Garamond" w:hAnsi="Garamond"/>
          <w:i/>
          <w:sz w:val="24"/>
          <w:szCs w:val="24"/>
        </w:rPr>
        <w:t>Zhotovitel se zavazuje provést DÍLO tak, aby bylo dokončeno a předmět DÍLA byl akceptován bez výhrad jako celek</w:t>
      </w:r>
      <w:r w:rsidRPr="003C29BF">
        <w:rPr>
          <w:rFonts w:ascii="Garamond" w:hAnsi="Garamond"/>
          <w:b/>
          <w:i/>
          <w:sz w:val="24"/>
          <w:szCs w:val="24"/>
        </w:rPr>
        <w:t xml:space="preserve"> nejpozději do 150 dnů od účinnosti této smlouvy.</w:t>
      </w:r>
    </w:p>
    <w:p w:rsidR="003C29BF" w:rsidRPr="003C29BF" w:rsidRDefault="003C29BF" w:rsidP="003C29BF">
      <w:pPr>
        <w:pStyle w:val="Odstavecseseznamem"/>
        <w:numPr>
          <w:ilvl w:val="1"/>
          <w:numId w:val="8"/>
        </w:numPr>
        <w:jc w:val="both"/>
        <w:rPr>
          <w:rFonts w:ascii="Garamond" w:hAnsi="Garamond"/>
          <w:i/>
          <w:sz w:val="24"/>
          <w:szCs w:val="24"/>
        </w:rPr>
      </w:pPr>
      <w:r w:rsidRPr="003C29BF">
        <w:rPr>
          <w:rFonts w:ascii="Garamond" w:hAnsi="Garamond"/>
          <w:i/>
          <w:sz w:val="24"/>
          <w:szCs w:val="24"/>
        </w:rPr>
        <w:t>Termín předání kompletní analýzy požadavků objednatele dle čl. II odst. 4. této smlouvy je stanoven nejpozději do 60 kalendářních dnů od účinnosti této smlouvy.</w:t>
      </w:r>
    </w:p>
    <w:p w:rsidR="003C29BF" w:rsidRPr="003C29BF" w:rsidRDefault="003C29BF" w:rsidP="003C29BF">
      <w:pPr>
        <w:pStyle w:val="Odstavecseseznamem"/>
        <w:numPr>
          <w:ilvl w:val="1"/>
          <w:numId w:val="8"/>
        </w:numPr>
        <w:jc w:val="both"/>
        <w:rPr>
          <w:rFonts w:ascii="Garamond" w:hAnsi="Garamond"/>
          <w:b/>
          <w:i/>
          <w:sz w:val="24"/>
          <w:szCs w:val="24"/>
        </w:rPr>
      </w:pPr>
      <w:r w:rsidRPr="003C29BF">
        <w:rPr>
          <w:rFonts w:ascii="Garamond" w:hAnsi="Garamond"/>
          <w:i/>
          <w:sz w:val="24"/>
          <w:szCs w:val="24"/>
        </w:rPr>
        <w:lastRenderedPageBreak/>
        <w:t>Termín dodání Díla k prvnímu testování ve cvičné verzi je stanoven nejpozději do 105 kalendářních dnů od účinnosti této smlouvy.</w:t>
      </w:r>
    </w:p>
    <w:p w:rsidR="003C29BF" w:rsidRPr="003C29BF" w:rsidRDefault="003C29BF" w:rsidP="003C29BF">
      <w:pPr>
        <w:pStyle w:val="Odstavecseseznamem"/>
        <w:numPr>
          <w:ilvl w:val="1"/>
          <w:numId w:val="8"/>
        </w:numPr>
        <w:jc w:val="both"/>
        <w:rPr>
          <w:rFonts w:ascii="Garamond" w:hAnsi="Garamond"/>
          <w:b/>
          <w:i/>
          <w:sz w:val="24"/>
          <w:szCs w:val="24"/>
        </w:rPr>
      </w:pPr>
      <w:r w:rsidRPr="003C29BF">
        <w:rPr>
          <w:rFonts w:ascii="Garamond" w:hAnsi="Garamond"/>
          <w:i/>
          <w:sz w:val="24"/>
          <w:szCs w:val="24"/>
        </w:rPr>
        <w:t>Termín předání Díla v pilotní verzi je stanoven nejpozději do 120 kalendářních dnů od účinnosti této smlouvy.</w:t>
      </w:r>
    </w:p>
    <w:p w:rsidR="003C29BF" w:rsidRPr="003C29BF" w:rsidRDefault="003C29BF" w:rsidP="003C29BF">
      <w:pPr>
        <w:pStyle w:val="Odstavecseseznamem"/>
        <w:numPr>
          <w:ilvl w:val="1"/>
          <w:numId w:val="8"/>
        </w:numPr>
        <w:jc w:val="both"/>
        <w:rPr>
          <w:rFonts w:ascii="Garamond" w:hAnsi="Garamond"/>
          <w:b/>
          <w:i/>
          <w:sz w:val="24"/>
          <w:szCs w:val="24"/>
        </w:rPr>
      </w:pPr>
      <w:r w:rsidRPr="003C29BF">
        <w:rPr>
          <w:rFonts w:ascii="Garamond" w:hAnsi="Garamond"/>
          <w:i/>
          <w:sz w:val="24"/>
          <w:szCs w:val="24"/>
        </w:rPr>
        <w:t>Dílčí termíny neuvedené výše stanoví Harmonogram odsouhlasený oběma stranami smlouvy.</w:t>
      </w:r>
    </w:p>
    <w:p w:rsidR="003C29BF" w:rsidRPr="007D35CB" w:rsidRDefault="003C29BF" w:rsidP="003C29BF">
      <w:pPr>
        <w:ind w:left="360"/>
        <w:contextualSpacing/>
        <w:jc w:val="both"/>
        <w:rPr>
          <w:rFonts w:ascii="Garamond" w:hAnsi="Garamond"/>
        </w:rPr>
      </w:pPr>
    </w:p>
    <w:p w:rsidR="007D35CB" w:rsidRPr="007D35CB" w:rsidRDefault="007D35CB" w:rsidP="007D35CB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7D35CB">
        <w:rPr>
          <w:rFonts w:ascii="Garamond" w:hAnsi="Garamond"/>
          <w:sz w:val="24"/>
          <w:szCs w:val="24"/>
        </w:rPr>
        <w:t>Důvody pro uzavření tohoto dodatku jsou tyto:</w:t>
      </w:r>
    </w:p>
    <w:p w:rsidR="007D35CB" w:rsidRPr="007D35CB" w:rsidRDefault="007D35CB" w:rsidP="007D35CB">
      <w:pPr>
        <w:pStyle w:val="Odstavecseseznamem"/>
        <w:numPr>
          <w:ilvl w:val="0"/>
          <w:numId w:val="10"/>
        </w:numPr>
        <w:jc w:val="both"/>
        <w:rPr>
          <w:rFonts w:ascii="Garamond" w:hAnsi="Garamond"/>
          <w:sz w:val="24"/>
          <w:szCs w:val="24"/>
        </w:rPr>
      </w:pPr>
      <w:r w:rsidRPr="007D35CB">
        <w:rPr>
          <w:rFonts w:ascii="Garamond" w:hAnsi="Garamond"/>
          <w:sz w:val="24"/>
          <w:szCs w:val="24"/>
        </w:rPr>
        <w:t xml:space="preserve">V průběhu analýzy došlo ze strany objednatele k rozšíření zadání, kdy bylo nutné ze strany zhotovitele zanalyzovat výrazně větší počet datových položek, nežli bylo původně předpokládáno (celkem více než 950 položek, původní počet byl cca 750). </w:t>
      </w:r>
    </w:p>
    <w:p w:rsidR="007D35CB" w:rsidRPr="007D35CB" w:rsidRDefault="007D35CB" w:rsidP="007D35CB">
      <w:pPr>
        <w:pStyle w:val="Odstavecseseznamem"/>
        <w:numPr>
          <w:ilvl w:val="0"/>
          <w:numId w:val="10"/>
        </w:numPr>
        <w:jc w:val="both"/>
        <w:rPr>
          <w:rFonts w:ascii="Garamond" w:hAnsi="Garamond"/>
          <w:sz w:val="24"/>
          <w:szCs w:val="24"/>
        </w:rPr>
      </w:pPr>
      <w:r w:rsidRPr="007D35CB">
        <w:rPr>
          <w:rFonts w:ascii="Garamond" w:hAnsi="Garamond"/>
          <w:sz w:val="24"/>
          <w:szCs w:val="24"/>
        </w:rPr>
        <w:t>Komplexnost dohledávání vazeb mezi konkrétními datovými položkami a jejich umístněním ve zdrojových informačních systémech byla výrazně vyšší, než bylo původně předpokládáno.</w:t>
      </w:r>
    </w:p>
    <w:p w:rsidR="007D35CB" w:rsidRPr="007D35CB" w:rsidRDefault="007D35CB" w:rsidP="007D35CB">
      <w:pPr>
        <w:pStyle w:val="Odstavecseseznamem"/>
        <w:numPr>
          <w:ilvl w:val="0"/>
          <w:numId w:val="10"/>
        </w:numPr>
        <w:jc w:val="both"/>
        <w:rPr>
          <w:rFonts w:ascii="Garamond" w:hAnsi="Garamond"/>
          <w:sz w:val="24"/>
          <w:szCs w:val="24"/>
        </w:rPr>
      </w:pPr>
      <w:r w:rsidRPr="007D35CB">
        <w:rPr>
          <w:rFonts w:ascii="Garamond" w:hAnsi="Garamond"/>
          <w:sz w:val="24"/>
          <w:szCs w:val="24"/>
        </w:rPr>
        <w:t xml:space="preserve">Výše uvedené si vyžádalo navýšení součinnosti ze strany objednatele a zhotovitele v části projektu spojené s přípravou analýzy technického řešení. </w:t>
      </w:r>
    </w:p>
    <w:p w:rsidR="007D35CB" w:rsidRPr="007D35CB" w:rsidRDefault="007D35CB" w:rsidP="007D35CB">
      <w:pPr>
        <w:pStyle w:val="Odstavecseseznamem"/>
        <w:numPr>
          <w:ilvl w:val="0"/>
          <w:numId w:val="10"/>
        </w:numPr>
        <w:jc w:val="both"/>
        <w:rPr>
          <w:rFonts w:ascii="Garamond" w:hAnsi="Garamond"/>
          <w:sz w:val="24"/>
          <w:szCs w:val="24"/>
        </w:rPr>
      </w:pPr>
      <w:r w:rsidRPr="007D35CB">
        <w:rPr>
          <w:rFonts w:ascii="Garamond" w:hAnsi="Garamond"/>
          <w:sz w:val="24"/>
          <w:szCs w:val="24"/>
        </w:rPr>
        <w:t xml:space="preserve">Rozsah opakování validace identifikovaných datových vazeb výrazně překročil původní očekávání zejména z důvodu zjištění nekonzistencí mezi různými datovými zdroji. </w:t>
      </w:r>
    </w:p>
    <w:p w:rsidR="007D35CB" w:rsidRPr="007D35CB" w:rsidRDefault="007D35CB" w:rsidP="007D35CB">
      <w:pPr>
        <w:pStyle w:val="Odstavecseseznamem"/>
        <w:numPr>
          <w:ilvl w:val="0"/>
          <w:numId w:val="10"/>
        </w:numPr>
        <w:jc w:val="both"/>
        <w:rPr>
          <w:rFonts w:ascii="Garamond" w:hAnsi="Garamond"/>
          <w:sz w:val="24"/>
          <w:szCs w:val="24"/>
        </w:rPr>
      </w:pPr>
      <w:r w:rsidRPr="007D35CB">
        <w:rPr>
          <w:rFonts w:ascii="Garamond" w:hAnsi="Garamond"/>
          <w:sz w:val="24"/>
          <w:szCs w:val="24"/>
        </w:rPr>
        <w:t xml:space="preserve">K tomuto tématu proběhlo několik osobních a telefonických jednání mezi objednatelem a zhotovitelem, konkrétně ve dnech </w:t>
      </w:r>
      <w:proofErr w:type="gramStart"/>
      <w:r w:rsidRPr="007D35CB">
        <w:rPr>
          <w:rFonts w:ascii="Garamond" w:hAnsi="Garamond"/>
          <w:sz w:val="24"/>
          <w:szCs w:val="24"/>
        </w:rPr>
        <w:t>17.5</w:t>
      </w:r>
      <w:proofErr w:type="gramEnd"/>
      <w:r w:rsidRPr="007D35CB">
        <w:rPr>
          <w:rFonts w:ascii="Garamond" w:hAnsi="Garamond"/>
          <w:sz w:val="24"/>
          <w:szCs w:val="24"/>
        </w:rPr>
        <w:t xml:space="preserve">., 22.5., 28.5., 7.6. a 14.6.2019. </w:t>
      </w:r>
    </w:p>
    <w:p w:rsidR="007D35CB" w:rsidRPr="007D35CB" w:rsidRDefault="007D35CB" w:rsidP="007D35CB">
      <w:pPr>
        <w:pStyle w:val="Odstavecseseznamem"/>
        <w:numPr>
          <w:ilvl w:val="0"/>
          <w:numId w:val="10"/>
        </w:numPr>
        <w:jc w:val="both"/>
        <w:rPr>
          <w:rFonts w:ascii="Garamond" w:hAnsi="Garamond"/>
          <w:sz w:val="24"/>
          <w:szCs w:val="24"/>
        </w:rPr>
      </w:pPr>
      <w:r w:rsidRPr="007D35CB">
        <w:rPr>
          <w:rFonts w:ascii="Garamond" w:hAnsi="Garamond"/>
          <w:sz w:val="24"/>
          <w:szCs w:val="24"/>
        </w:rPr>
        <w:t>Vše výše uvedené bylo nutno ze strany objednatele průběžně komunikovat v rámci přípravné fáze s dod</w:t>
      </w:r>
      <w:r w:rsidR="0083225D">
        <w:rPr>
          <w:rFonts w:ascii="Garamond" w:hAnsi="Garamond"/>
          <w:sz w:val="24"/>
          <w:szCs w:val="24"/>
        </w:rPr>
        <w:t>avatelem datového rozhraní</w:t>
      </w:r>
      <w:r w:rsidRPr="007D35CB">
        <w:rPr>
          <w:rFonts w:ascii="Garamond" w:hAnsi="Garamond"/>
          <w:sz w:val="24"/>
          <w:szCs w:val="24"/>
        </w:rPr>
        <w:t>.</w:t>
      </w:r>
    </w:p>
    <w:p w:rsidR="003C29BF" w:rsidRPr="007D35CB" w:rsidRDefault="003C29BF" w:rsidP="0083225D">
      <w:pPr>
        <w:contextualSpacing/>
        <w:jc w:val="both"/>
        <w:rPr>
          <w:rFonts w:ascii="Garamond" w:hAnsi="Garamond"/>
        </w:rPr>
      </w:pPr>
    </w:p>
    <w:p w:rsidR="003C29BF" w:rsidRPr="007D35CB" w:rsidRDefault="003C29BF" w:rsidP="003C29BF">
      <w:pPr>
        <w:ind w:left="720"/>
        <w:contextualSpacing/>
        <w:jc w:val="both"/>
        <w:rPr>
          <w:rFonts w:ascii="Garamond" w:hAnsi="Garamond"/>
        </w:rPr>
      </w:pPr>
    </w:p>
    <w:p w:rsidR="00E077DE" w:rsidRPr="007D35CB" w:rsidRDefault="00E077DE" w:rsidP="007D35CB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7D35CB">
        <w:rPr>
          <w:rFonts w:ascii="Garamond" w:hAnsi="Garamond"/>
          <w:sz w:val="24"/>
          <w:szCs w:val="24"/>
        </w:rPr>
        <w:t>Tento dodatek nabývá p</w:t>
      </w:r>
      <w:r w:rsidR="0083225D">
        <w:rPr>
          <w:rFonts w:ascii="Garamond" w:hAnsi="Garamond"/>
          <w:sz w:val="24"/>
          <w:szCs w:val="24"/>
        </w:rPr>
        <w:t>latnosti a účinnosti dnem jeho</w:t>
      </w:r>
      <w:r w:rsidRPr="007D35CB">
        <w:rPr>
          <w:rFonts w:ascii="Garamond" w:hAnsi="Garamond"/>
          <w:sz w:val="24"/>
          <w:szCs w:val="24"/>
        </w:rPr>
        <w:t xml:space="preserve"> podpisu oběma smluvními stranami.</w:t>
      </w:r>
    </w:p>
    <w:p w:rsidR="00E077DE" w:rsidRPr="007D35CB" w:rsidRDefault="00E077DE" w:rsidP="00E077DE">
      <w:pPr>
        <w:contextualSpacing/>
        <w:jc w:val="both"/>
        <w:rPr>
          <w:rFonts w:ascii="Garamond" w:hAnsi="Garamond"/>
        </w:rPr>
      </w:pPr>
    </w:p>
    <w:p w:rsidR="007D35CB" w:rsidRPr="007D35CB" w:rsidRDefault="007D35CB" w:rsidP="00E077DE">
      <w:pPr>
        <w:tabs>
          <w:tab w:val="left" w:pos="1418"/>
          <w:tab w:val="left" w:pos="5387"/>
          <w:tab w:val="left" w:pos="6237"/>
        </w:tabs>
        <w:jc w:val="both"/>
        <w:rPr>
          <w:rFonts w:ascii="Garamond" w:hAnsi="Garamond"/>
        </w:rPr>
      </w:pPr>
    </w:p>
    <w:p w:rsidR="007D35CB" w:rsidRDefault="007D35CB" w:rsidP="00E077DE">
      <w:pPr>
        <w:tabs>
          <w:tab w:val="left" w:pos="1418"/>
          <w:tab w:val="left" w:pos="5387"/>
          <w:tab w:val="left" w:pos="6237"/>
        </w:tabs>
        <w:jc w:val="both"/>
        <w:rPr>
          <w:rFonts w:ascii="Garamond" w:hAnsi="Garamond"/>
        </w:rPr>
      </w:pPr>
    </w:p>
    <w:p w:rsidR="007D35CB" w:rsidRDefault="007D35CB" w:rsidP="00E077DE">
      <w:pPr>
        <w:tabs>
          <w:tab w:val="left" w:pos="1418"/>
          <w:tab w:val="left" w:pos="5387"/>
          <w:tab w:val="left" w:pos="6237"/>
        </w:tabs>
        <w:jc w:val="both"/>
        <w:rPr>
          <w:rFonts w:ascii="Garamond" w:hAnsi="Garamond"/>
        </w:rPr>
      </w:pPr>
    </w:p>
    <w:p w:rsidR="00E077DE" w:rsidRPr="00853CA2" w:rsidRDefault="00E077DE" w:rsidP="00E077DE">
      <w:pPr>
        <w:tabs>
          <w:tab w:val="left" w:pos="1418"/>
          <w:tab w:val="left" w:pos="5387"/>
          <w:tab w:val="left" w:pos="6237"/>
        </w:tabs>
        <w:jc w:val="both"/>
        <w:rPr>
          <w:rFonts w:ascii="Garamond" w:hAnsi="Garamond"/>
        </w:rPr>
      </w:pPr>
      <w:r w:rsidRPr="00853CA2">
        <w:rPr>
          <w:rFonts w:ascii="Garamond" w:hAnsi="Garamond"/>
        </w:rPr>
        <w:t>V</w:t>
      </w:r>
      <w:r>
        <w:rPr>
          <w:rFonts w:ascii="Garamond" w:hAnsi="Garamond"/>
        </w:rPr>
        <w:t> </w:t>
      </w:r>
      <w:r w:rsidRPr="00853CA2">
        <w:rPr>
          <w:rFonts w:ascii="Garamond" w:hAnsi="Garamond"/>
        </w:rPr>
        <w:t>Brně</w:t>
      </w:r>
      <w:r>
        <w:rPr>
          <w:rFonts w:ascii="Garamond" w:hAnsi="Garamond"/>
        </w:rPr>
        <w:tab/>
      </w:r>
      <w:r w:rsidRPr="00853CA2">
        <w:rPr>
          <w:rFonts w:ascii="Garamond" w:hAnsi="Garamond"/>
        </w:rPr>
        <w:tab/>
        <w:t xml:space="preserve">    V</w:t>
      </w:r>
      <w:r w:rsidR="007D35CB">
        <w:rPr>
          <w:rFonts w:ascii="Garamond" w:hAnsi="Garamond"/>
        </w:rPr>
        <w:t> Praze</w:t>
      </w:r>
      <w:r w:rsidRPr="00853CA2">
        <w:rPr>
          <w:rFonts w:ascii="Garamond" w:hAnsi="Garamond"/>
        </w:rPr>
        <w:tab/>
      </w:r>
    </w:p>
    <w:p w:rsidR="00E077DE" w:rsidRPr="00853CA2" w:rsidRDefault="00E077DE" w:rsidP="00E077DE">
      <w:pPr>
        <w:ind w:left="1418" w:hanging="1418"/>
        <w:jc w:val="both"/>
        <w:rPr>
          <w:rFonts w:ascii="Garamond" w:hAnsi="Garamond"/>
        </w:rPr>
      </w:pPr>
      <w:r w:rsidRPr="00853CA2">
        <w:rPr>
          <w:rFonts w:ascii="Garamond" w:hAnsi="Garamond"/>
        </w:rPr>
        <w:t xml:space="preserve">Za objednatele </w:t>
      </w:r>
      <w:r w:rsidRPr="00853CA2">
        <w:rPr>
          <w:rFonts w:ascii="Garamond" w:hAnsi="Garamond"/>
        </w:rPr>
        <w:tab/>
      </w:r>
      <w:r w:rsidRPr="00853CA2">
        <w:rPr>
          <w:rFonts w:ascii="Garamond" w:hAnsi="Garamond"/>
        </w:rPr>
        <w:tab/>
      </w:r>
      <w:r w:rsidRPr="00853CA2">
        <w:rPr>
          <w:rFonts w:ascii="Garamond" w:hAnsi="Garamond"/>
        </w:rPr>
        <w:tab/>
      </w:r>
      <w:r w:rsidRPr="00853CA2">
        <w:rPr>
          <w:rFonts w:ascii="Garamond" w:hAnsi="Garamond"/>
        </w:rPr>
        <w:tab/>
      </w:r>
      <w:r w:rsidRPr="00853CA2">
        <w:rPr>
          <w:rFonts w:ascii="Garamond" w:hAnsi="Garamond"/>
        </w:rPr>
        <w:tab/>
      </w:r>
      <w:r w:rsidRPr="00853CA2">
        <w:rPr>
          <w:rFonts w:ascii="Garamond" w:hAnsi="Garamond"/>
        </w:rPr>
        <w:tab/>
        <w:t xml:space="preserve">Za </w:t>
      </w:r>
      <w:r>
        <w:rPr>
          <w:rFonts w:ascii="Garamond" w:hAnsi="Garamond"/>
        </w:rPr>
        <w:t>poskytovatele</w:t>
      </w:r>
    </w:p>
    <w:p w:rsidR="00E077DE" w:rsidRDefault="00E077DE" w:rsidP="00E077DE">
      <w:pPr>
        <w:jc w:val="both"/>
        <w:rPr>
          <w:rFonts w:ascii="Garamond" w:hAnsi="Garamond"/>
        </w:rPr>
      </w:pPr>
    </w:p>
    <w:p w:rsidR="00EC0541" w:rsidRPr="00E077DE" w:rsidRDefault="00E077DE" w:rsidP="00E077DE">
      <w:pPr>
        <w:jc w:val="both"/>
        <w:rPr>
          <w:rFonts w:ascii="Garamond" w:hAnsi="Garamond"/>
        </w:rPr>
      </w:pPr>
      <w:r w:rsidRPr="00853CA2">
        <w:rPr>
          <w:rFonts w:ascii="Garamond" w:hAnsi="Garamond"/>
        </w:rPr>
        <w:t>------------------------------------</w:t>
      </w:r>
      <w:r w:rsidRPr="00853CA2">
        <w:rPr>
          <w:rFonts w:ascii="Garamond" w:hAnsi="Garamond"/>
        </w:rPr>
        <w:tab/>
      </w:r>
      <w:r w:rsidRPr="00853CA2">
        <w:rPr>
          <w:rFonts w:ascii="Garamond" w:hAnsi="Garamond"/>
        </w:rPr>
        <w:tab/>
      </w:r>
      <w:r w:rsidRPr="00853CA2">
        <w:rPr>
          <w:rFonts w:ascii="Garamond" w:hAnsi="Garamond"/>
        </w:rPr>
        <w:tab/>
      </w:r>
      <w:r w:rsidRPr="00853CA2">
        <w:rPr>
          <w:rFonts w:ascii="Garamond" w:hAnsi="Garamond"/>
        </w:rPr>
        <w:tab/>
      </w:r>
      <w:r w:rsidRPr="00853CA2">
        <w:rPr>
          <w:rFonts w:ascii="Garamond" w:hAnsi="Garamond"/>
        </w:rPr>
        <w:tab/>
        <w:t>------------------------------------</w:t>
      </w:r>
    </w:p>
    <w:sectPr w:rsidR="00EC0541" w:rsidRPr="00E077DE" w:rsidSect="0097482E">
      <w:footerReference w:type="default" r:id="rId7"/>
      <w:pgSz w:w="11906" w:h="16838"/>
      <w:pgMar w:top="817" w:right="1417" w:bottom="1134" w:left="1417" w:header="708" w:footer="4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25D" w:rsidRDefault="0083225D" w:rsidP="0083225D">
      <w:r>
        <w:separator/>
      </w:r>
    </w:p>
  </w:endnote>
  <w:endnote w:type="continuationSeparator" w:id="0">
    <w:p w:rsidR="0083225D" w:rsidRDefault="0083225D" w:rsidP="008322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2041724"/>
      <w:docPartObj>
        <w:docPartGallery w:val="Page Numbers (Bottom of Page)"/>
        <w:docPartUnique/>
      </w:docPartObj>
    </w:sdtPr>
    <w:sdtContent>
      <w:p w:rsidR="0083225D" w:rsidRDefault="00F96EE2">
        <w:pPr>
          <w:pStyle w:val="Zpat"/>
          <w:jc w:val="right"/>
        </w:pPr>
        <w:r>
          <w:fldChar w:fldCharType="begin"/>
        </w:r>
        <w:r w:rsidR="003C6A45">
          <w:instrText xml:space="preserve"> PAGE   \* MERGEFORMAT </w:instrText>
        </w:r>
        <w:r>
          <w:fldChar w:fldCharType="separate"/>
        </w:r>
        <w:r w:rsidR="00E630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3225D" w:rsidRDefault="0083225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25D" w:rsidRDefault="0083225D" w:rsidP="0083225D">
      <w:r>
        <w:separator/>
      </w:r>
    </w:p>
  </w:footnote>
  <w:footnote w:type="continuationSeparator" w:id="0">
    <w:p w:rsidR="0083225D" w:rsidRDefault="0083225D" w:rsidP="008322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33D38"/>
    <w:multiLevelType w:val="hybridMultilevel"/>
    <w:tmpl w:val="6B46CE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D13028"/>
    <w:multiLevelType w:val="multilevel"/>
    <w:tmpl w:val="ADF296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/>
      </w:rPr>
    </w:lvl>
  </w:abstractNum>
  <w:abstractNum w:abstractNumId="2">
    <w:nsid w:val="2AE67DAC"/>
    <w:multiLevelType w:val="hybridMultilevel"/>
    <w:tmpl w:val="40EAD4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E7CAA"/>
    <w:multiLevelType w:val="hybridMultilevel"/>
    <w:tmpl w:val="AF2011FA"/>
    <w:lvl w:ilvl="0" w:tplc="1A8E012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6D4304"/>
    <w:multiLevelType w:val="hybridMultilevel"/>
    <w:tmpl w:val="C3D074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9E1DFC"/>
    <w:multiLevelType w:val="hybridMultilevel"/>
    <w:tmpl w:val="9A22A9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D15E8D"/>
    <w:multiLevelType w:val="hybridMultilevel"/>
    <w:tmpl w:val="7DF462EC"/>
    <w:lvl w:ilvl="0" w:tplc="1F82228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87173F"/>
    <w:multiLevelType w:val="multilevel"/>
    <w:tmpl w:val="54B2C5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8">
    <w:nsid w:val="69E67A2A"/>
    <w:multiLevelType w:val="hybridMultilevel"/>
    <w:tmpl w:val="9FD417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A0C1F27"/>
    <w:multiLevelType w:val="hybridMultilevel"/>
    <w:tmpl w:val="C95A0BD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77DE"/>
    <w:rsid w:val="000267E5"/>
    <w:rsid w:val="001351CF"/>
    <w:rsid w:val="001F0974"/>
    <w:rsid w:val="002E5D83"/>
    <w:rsid w:val="002F48E2"/>
    <w:rsid w:val="003C29BF"/>
    <w:rsid w:val="003C6A45"/>
    <w:rsid w:val="003D2BF5"/>
    <w:rsid w:val="004D060B"/>
    <w:rsid w:val="004F4AF8"/>
    <w:rsid w:val="0053128A"/>
    <w:rsid w:val="00595ECF"/>
    <w:rsid w:val="005D01DD"/>
    <w:rsid w:val="005F61DE"/>
    <w:rsid w:val="006A4F39"/>
    <w:rsid w:val="007949DE"/>
    <w:rsid w:val="007D35CB"/>
    <w:rsid w:val="00814C39"/>
    <w:rsid w:val="0083225D"/>
    <w:rsid w:val="00845AE3"/>
    <w:rsid w:val="0088470E"/>
    <w:rsid w:val="00914F04"/>
    <w:rsid w:val="0097482E"/>
    <w:rsid w:val="00AB38B1"/>
    <w:rsid w:val="00B83EA0"/>
    <w:rsid w:val="00BB654C"/>
    <w:rsid w:val="00BF41EF"/>
    <w:rsid w:val="00D66079"/>
    <w:rsid w:val="00E077DE"/>
    <w:rsid w:val="00E122BB"/>
    <w:rsid w:val="00E17A06"/>
    <w:rsid w:val="00E60C3B"/>
    <w:rsid w:val="00E63099"/>
    <w:rsid w:val="00E830E0"/>
    <w:rsid w:val="00E92BCC"/>
    <w:rsid w:val="00EC0541"/>
    <w:rsid w:val="00F43DC7"/>
    <w:rsid w:val="00F6291B"/>
    <w:rsid w:val="00F96EE2"/>
    <w:rsid w:val="00FB1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77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E077DE"/>
    <w:pPr>
      <w:suppressAutoHyphens/>
      <w:spacing w:after="120"/>
    </w:pPr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077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E077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uiPriority w:val="99"/>
    <w:unhideWhenUsed/>
    <w:rsid w:val="007D35CB"/>
    <w:pPr>
      <w:widowControl w:val="0"/>
      <w:suppressAutoHyphens/>
    </w:pPr>
    <w:rPr>
      <w:rFonts w:ascii="Calibri" w:hAnsi="Calibri" w:cs="Mangal"/>
      <w:kern w:val="1"/>
      <w:sz w:val="20"/>
      <w:szCs w:val="18"/>
      <w:lang w:eastAsia="hi-IN" w:bidi="hi-IN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D35CB"/>
    <w:rPr>
      <w:rFonts w:ascii="Calibri" w:eastAsia="Times New Roman" w:hAnsi="Calibri" w:cs="Mangal"/>
      <w:kern w:val="1"/>
      <w:sz w:val="20"/>
      <w:szCs w:val="18"/>
      <w:lang w:eastAsia="hi-IN" w:bidi="hi-IN"/>
    </w:rPr>
  </w:style>
  <w:style w:type="paragraph" w:styleId="Zhlav">
    <w:name w:val="header"/>
    <w:basedOn w:val="Normln"/>
    <w:link w:val="ZhlavChar"/>
    <w:uiPriority w:val="99"/>
    <w:semiHidden/>
    <w:unhideWhenUsed/>
    <w:rsid w:val="008322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3225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322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225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77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E077DE"/>
    <w:pPr>
      <w:suppressAutoHyphens/>
      <w:spacing w:after="120"/>
    </w:pPr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077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E077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uiPriority w:val="99"/>
    <w:unhideWhenUsed/>
    <w:rsid w:val="007D35CB"/>
    <w:pPr>
      <w:widowControl w:val="0"/>
      <w:suppressAutoHyphens/>
    </w:pPr>
    <w:rPr>
      <w:rFonts w:ascii="Calibri" w:hAnsi="Calibri" w:cs="Mangal"/>
      <w:kern w:val="1"/>
      <w:sz w:val="20"/>
      <w:szCs w:val="18"/>
      <w:lang w:eastAsia="hi-IN" w:bidi="hi-IN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D35CB"/>
    <w:rPr>
      <w:rFonts w:ascii="Calibri" w:eastAsia="Times New Roman" w:hAnsi="Calibri" w:cs="Mangal"/>
      <w:kern w:val="1"/>
      <w:sz w:val="20"/>
      <w:szCs w:val="18"/>
      <w:lang w:eastAsia="hi-IN" w:bidi="hi-IN"/>
    </w:rPr>
  </w:style>
  <w:style w:type="paragraph" w:styleId="Zhlav">
    <w:name w:val="header"/>
    <w:basedOn w:val="Normln"/>
    <w:link w:val="ZhlavChar"/>
    <w:uiPriority w:val="99"/>
    <w:semiHidden/>
    <w:unhideWhenUsed/>
    <w:rsid w:val="008322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3225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322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225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480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synkova</cp:lastModifiedBy>
  <cp:revision>3</cp:revision>
  <dcterms:created xsi:type="dcterms:W3CDTF">2019-06-28T08:21:00Z</dcterms:created>
  <dcterms:modified xsi:type="dcterms:W3CDTF">2019-06-28T11:49:00Z</dcterms:modified>
</cp:coreProperties>
</file>