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A0" w:rsidRDefault="00691893">
      <w:pPr>
        <w:pStyle w:val="Nadpis1"/>
      </w:pPr>
      <w:r>
        <w:t xml:space="preserve">OBJEDNÁVKA (S M </w:t>
      </w:r>
      <w:r w:rsidR="00D73509">
        <w:t>L</w:t>
      </w:r>
      <w:r>
        <w:t xml:space="preserve"> </w:t>
      </w:r>
      <w:r w:rsidR="00D73509">
        <w:t>O U</w:t>
      </w:r>
      <w:r>
        <w:t xml:space="preserve"> </w:t>
      </w:r>
      <w:r w:rsidR="00D73509">
        <w:t>V A)</w:t>
      </w:r>
    </w:p>
    <w:p w:rsidR="00461BA0" w:rsidRDefault="00691893">
      <w:pPr>
        <w:spacing w:after="48" w:line="233" w:lineRule="auto"/>
        <w:ind w:left="2295" w:right="1738" w:hanging="10"/>
        <w:jc w:val="center"/>
      </w:pPr>
      <w:r>
        <w:t>Č</w:t>
      </w:r>
      <w:r w:rsidR="00D73509">
        <w:t xml:space="preserve">íslo objednatele: </w:t>
      </w:r>
      <w:r>
        <w:rPr>
          <w:noProof/>
        </w:rPr>
        <w:t>06EU-004329</w:t>
      </w:r>
      <w:r>
        <w:t xml:space="preserve"> (uvádějte při fakturaci) Č</w:t>
      </w:r>
      <w:r w:rsidR="00D73509">
        <w:t>íslo dodavatele:</w:t>
      </w:r>
    </w:p>
    <w:p w:rsidR="00461BA0" w:rsidRDefault="00D73509">
      <w:pPr>
        <w:spacing w:after="360" w:line="233" w:lineRule="auto"/>
        <w:ind w:left="2295" w:right="1723" w:hanging="10"/>
        <w:jc w:val="center"/>
      </w:pPr>
      <w:r>
        <w:t xml:space="preserve">ISPROFIN: </w:t>
      </w:r>
      <w:r w:rsidRPr="00691893">
        <w:rPr>
          <w:highlight w:val="black"/>
        </w:rPr>
        <w:t>3271212012.9530</w:t>
      </w:r>
      <w:r>
        <w:t xml:space="preserve"> (uvádějte při fakturaci)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A0" w:rsidRPr="00691893" w:rsidRDefault="00691893">
      <w:pPr>
        <w:spacing w:after="0"/>
        <w:ind w:left="538"/>
        <w:jc w:val="center"/>
        <w:rPr>
          <w:b/>
        </w:rPr>
      </w:pPr>
      <w:r>
        <w:rPr>
          <w:b/>
          <w:sz w:val="28"/>
          <w:u w:val="single" w:color="000000"/>
        </w:rPr>
        <w:t xml:space="preserve">D4 Čimelice — Mirotice, </w:t>
      </w:r>
      <w:r w:rsidR="00D73509" w:rsidRPr="00691893">
        <w:rPr>
          <w:b/>
          <w:sz w:val="28"/>
          <w:u w:val="single" w:color="000000"/>
        </w:rPr>
        <w:t xml:space="preserve"> dálniční odpočívka Krsice levostranná</w:t>
      </w:r>
    </w:p>
    <w:p w:rsidR="00461BA0" w:rsidRDefault="00691893">
      <w:pPr>
        <w:spacing w:after="34"/>
        <w:ind w:left="557"/>
        <w:jc w:val="center"/>
        <w:rPr>
          <w:b/>
          <w:sz w:val="26"/>
          <w:u w:val="single" w:color="000000"/>
        </w:rPr>
      </w:pPr>
      <w:r>
        <w:rPr>
          <w:b/>
          <w:sz w:val="26"/>
          <w:u w:val="single" w:color="000000"/>
        </w:rPr>
        <w:t>DÚ</w:t>
      </w:r>
      <w:r w:rsidR="00D73509" w:rsidRPr="00691893">
        <w:rPr>
          <w:b/>
          <w:sz w:val="26"/>
          <w:u w:val="single" w:color="000000"/>
        </w:rPr>
        <w:t>R vč. IČ</w:t>
      </w:r>
    </w:p>
    <w:p w:rsidR="00691893" w:rsidRPr="00691893" w:rsidRDefault="00691893">
      <w:pPr>
        <w:spacing w:after="34"/>
        <w:ind w:left="557"/>
        <w:jc w:val="center"/>
        <w:rPr>
          <w:b/>
        </w:rPr>
      </w:pPr>
    </w:p>
    <w:tbl>
      <w:tblPr>
        <w:tblStyle w:val="TableGrid"/>
        <w:tblW w:w="8621" w:type="dxa"/>
        <w:tblInd w:w="5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320"/>
      </w:tblGrid>
      <w:tr w:rsidR="00461BA0">
        <w:trPr>
          <w:trHeight w:val="244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D73509">
            <w:pPr>
              <w:spacing w:after="0"/>
              <w:ind w:left="5"/>
              <w:rPr>
                <w:b/>
              </w:rPr>
            </w:pPr>
            <w:r w:rsidRPr="00691893">
              <w:rPr>
                <w:b/>
                <w:sz w:val="26"/>
              </w:rPr>
              <w:t>Objednatel: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 w:rsidP="00691893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D73509" w:rsidRPr="00691893">
              <w:rPr>
                <w:b/>
                <w:sz w:val="24"/>
              </w:rPr>
              <w:t>Dodavatel:</w:t>
            </w:r>
          </w:p>
        </w:tc>
      </w:tr>
      <w:tr w:rsidR="00461BA0">
        <w:trPr>
          <w:trHeight w:val="27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>
            <w:pPr>
              <w:spacing w:after="0"/>
            </w:pPr>
            <w:r w:rsidRPr="00691893">
              <w:t>Ř</w:t>
            </w:r>
            <w:r w:rsidR="00D73509" w:rsidRPr="00691893">
              <w:t>editelství silnic a dálnic ČR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 w:rsidP="00691893">
            <w:pPr>
              <w:spacing w:after="0"/>
            </w:pPr>
            <w:r w:rsidRPr="00691893">
              <w:t xml:space="preserve"> </w:t>
            </w:r>
            <w:r w:rsidR="00D73509" w:rsidRPr="00691893">
              <w:t>Obchodní jméno: Valbek, spol. s r.o.</w:t>
            </w:r>
          </w:p>
        </w:tc>
      </w:tr>
      <w:tr w:rsidR="00461BA0">
        <w:trPr>
          <w:trHeight w:val="281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D73509">
            <w:pPr>
              <w:spacing w:after="0"/>
              <w:ind w:left="10"/>
            </w:pPr>
            <w:r w:rsidRPr="00691893">
              <w:t>Správa Plzeň, Hřímalého 37, 301 00 Plzeň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 w:rsidP="00691893">
            <w:pPr>
              <w:spacing w:after="0"/>
              <w:ind w:right="10"/>
            </w:pPr>
            <w:r w:rsidRPr="00691893">
              <w:t xml:space="preserve"> </w:t>
            </w:r>
            <w:r w:rsidR="00D73509" w:rsidRPr="00691893">
              <w:t>Adresa:</w:t>
            </w:r>
            <w:r w:rsidRPr="00691893">
              <w:t xml:space="preserve"> </w:t>
            </w:r>
            <w:r w:rsidR="00D73509" w:rsidRPr="00691893">
              <w:t>Vaňurova 505/17, 460 07 Liberec 3</w:t>
            </w:r>
          </w:p>
        </w:tc>
      </w:tr>
      <w:tr w:rsidR="00461BA0">
        <w:trPr>
          <w:trHeight w:val="282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D73509">
            <w:pPr>
              <w:spacing w:after="0"/>
              <w:ind w:left="5"/>
            </w:pPr>
            <w:r w:rsidRPr="00691893">
              <w:t xml:space="preserve">Bankovní spojení: </w:t>
            </w:r>
            <w:r w:rsidRPr="00691893">
              <w:rPr>
                <w:highlight w:val="black"/>
              </w:rPr>
              <w:t>CNB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D73509" w:rsidP="00691893">
            <w:pPr>
              <w:spacing w:after="0"/>
              <w:ind w:firstLine="72"/>
            </w:pPr>
            <w:r w:rsidRPr="00691893">
              <w:t xml:space="preserve">Bankovní spojení: </w:t>
            </w:r>
            <w:r w:rsidRPr="00691893">
              <w:rPr>
                <w:highlight w:val="black"/>
              </w:rPr>
              <w:t>Raiffeisenbank, a.s., č. ú</w:t>
            </w:r>
            <w:r w:rsidRPr="00691893">
              <w:t>.</w:t>
            </w:r>
            <w:r w:rsidRPr="00691893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44" name="Picture 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BA0">
        <w:trPr>
          <w:trHeight w:val="266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D73509">
            <w:pPr>
              <w:spacing w:after="0"/>
              <w:ind w:left="5"/>
            </w:pPr>
            <w:r w:rsidRPr="00691893">
              <w:t xml:space="preserve">číslo účtu: </w:t>
            </w:r>
            <w:r w:rsidRPr="00691893">
              <w:rPr>
                <w:highlight w:val="black"/>
              </w:rPr>
              <w:t>20001-15937031/0710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 w:rsidP="00691893">
            <w:pPr>
              <w:spacing w:after="0"/>
            </w:pPr>
            <w:r w:rsidRPr="00691893">
              <w:rPr>
                <w:rFonts w:eastAsia="Calibri"/>
              </w:rPr>
              <w:t xml:space="preserve"> </w:t>
            </w:r>
            <w:r w:rsidR="00D73509" w:rsidRPr="00691893">
              <w:rPr>
                <w:rFonts w:eastAsia="Calibri"/>
              </w:rPr>
              <w:t xml:space="preserve">číslo účtu: </w:t>
            </w:r>
            <w:r w:rsidR="00D73509" w:rsidRPr="00691893">
              <w:rPr>
                <w:rFonts w:eastAsia="Calibri"/>
                <w:highlight w:val="black"/>
              </w:rPr>
              <w:t>9000803461/5500</w:t>
            </w:r>
          </w:p>
        </w:tc>
      </w:tr>
      <w:tr w:rsidR="00461BA0">
        <w:trPr>
          <w:trHeight w:val="282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D73509">
            <w:pPr>
              <w:spacing w:after="0"/>
              <w:ind w:left="10"/>
            </w:pPr>
            <w:r w:rsidRPr="00691893">
              <w:t>IČO: 65993390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 w:rsidP="00691893">
            <w:pPr>
              <w:spacing w:after="0"/>
            </w:pPr>
            <w:r>
              <w:rPr>
                <w:rFonts w:eastAsia="Calibri"/>
              </w:rPr>
              <w:t xml:space="preserve"> </w:t>
            </w:r>
            <w:r w:rsidR="00D73509" w:rsidRPr="00691893">
              <w:rPr>
                <w:rFonts w:eastAsia="Calibri"/>
              </w:rPr>
              <w:t>IČO: 48266230</w:t>
            </w:r>
          </w:p>
        </w:tc>
      </w:tr>
      <w:tr w:rsidR="00461BA0">
        <w:trPr>
          <w:trHeight w:val="584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>
            <w:pPr>
              <w:spacing w:after="0"/>
              <w:ind w:left="5"/>
            </w:pPr>
            <w:r w:rsidRPr="00691893">
              <w:rPr>
                <w:rFonts w:eastAsia="Calibri"/>
              </w:rPr>
              <w:t>DIČ: CZ</w:t>
            </w:r>
            <w:r w:rsidR="00D73509" w:rsidRPr="00691893">
              <w:rPr>
                <w:rFonts w:eastAsia="Calibri"/>
              </w:rPr>
              <w:t>65993390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BA0" w:rsidRPr="00691893" w:rsidRDefault="00691893" w:rsidP="00691893">
            <w:pPr>
              <w:tabs>
                <w:tab w:val="center" w:pos="631"/>
                <w:tab w:val="center" w:pos="962"/>
                <w:tab w:val="center" w:pos="1154"/>
                <w:tab w:val="center" w:pos="1344"/>
                <w:tab w:val="center" w:pos="1457"/>
                <w:tab w:val="center" w:pos="1570"/>
              </w:tabs>
              <w:spacing w:after="30"/>
            </w:pPr>
            <w:r w:rsidRPr="00691893">
              <w:t xml:space="preserve"> </w:t>
            </w:r>
            <w:r w:rsidR="00D73509" w:rsidRPr="00691893">
              <w:rPr>
                <w:rFonts w:eastAsia="Calibri"/>
              </w:rPr>
              <w:t xml:space="preserve">DIČ: </w:t>
            </w:r>
            <w:r w:rsidR="00D73509" w:rsidRPr="00691893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50" name="Picture 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3509" w:rsidRPr="00691893">
              <w:tab/>
            </w:r>
            <w:r w:rsidR="00D73509" w:rsidRPr="00691893">
              <w:tab/>
            </w:r>
            <w:r w:rsidR="00D73509" w:rsidRPr="00691893">
              <w:tab/>
            </w:r>
            <w:r w:rsidR="00D73509" w:rsidRPr="00691893">
              <w:tab/>
            </w:r>
            <w:r>
              <w:t xml:space="preserve">                                                              Kontakt</w:t>
            </w:r>
            <w:r w:rsidR="00D73509" w:rsidRPr="00691893">
              <w:t xml:space="preserve">ní osoba: </w:t>
            </w:r>
            <w:r w:rsidR="00D73509" w:rsidRPr="00691893">
              <w:rPr>
                <w:highlight w:val="black"/>
              </w:rPr>
              <w:t>Ing. Miroslav Hanžl</w:t>
            </w:r>
          </w:p>
          <w:p w:rsidR="00691893" w:rsidRPr="00691893" w:rsidRDefault="00691893" w:rsidP="00691893">
            <w:pPr>
              <w:spacing w:after="0"/>
              <w:ind w:right="110"/>
            </w:pPr>
          </w:p>
        </w:tc>
      </w:tr>
    </w:tbl>
    <w:p w:rsidR="00461BA0" w:rsidRDefault="00D73509">
      <w:pPr>
        <w:spacing w:after="120" w:line="266" w:lineRule="auto"/>
        <w:ind w:left="604" w:hanging="5"/>
        <w:jc w:val="both"/>
      </w:pPr>
      <w:r>
        <w:t>Tato objednáv</w:t>
      </w:r>
      <w:r w:rsidR="00691893">
        <w:t>ka - smlouva Objednatele zavazuj</w:t>
      </w:r>
      <w:r>
        <w:t>e po jejím potvrzení Dodavatelem obě smluvní strany ke spln</w:t>
      </w:r>
      <w:r w:rsidR="00691893">
        <w:t>ění stanovených závazků nahrazuj</w:t>
      </w:r>
      <w:r>
        <w:t>e smlouvu. Dodavatel se zavazuje provést na svůj náklad a nebezpečí pro Objednatele služby specifikované níže. Objednate</w:t>
      </w:r>
      <w:r>
        <w:t>l se z</w:t>
      </w:r>
      <w:r w:rsidR="00691893">
        <w:t>avazuje zaplatit za služby posky</w:t>
      </w:r>
      <w:r>
        <w:t>tnuté v souladu s touto objednávkou cenu uvedenou níže.</w:t>
      </w:r>
    </w:p>
    <w:p w:rsidR="00461BA0" w:rsidRDefault="00D73509">
      <w:pPr>
        <w:tabs>
          <w:tab w:val="center" w:pos="2477"/>
          <w:tab w:val="center" w:pos="6782"/>
        </w:tabs>
        <w:spacing w:after="262"/>
      </w:pPr>
      <w:r>
        <w:rPr>
          <w:sz w:val="24"/>
        </w:rPr>
        <w:tab/>
      </w:r>
      <w:r w:rsidR="00691893">
        <w:rPr>
          <w:sz w:val="24"/>
        </w:rPr>
        <w:t xml:space="preserve">      </w:t>
      </w:r>
      <w:r>
        <w:rPr>
          <w:sz w:val="24"/>
        </w:rPr>
        <w:t>Místo dodání: Ředitelství silnic a dálnic</w:t>
      </w:r>
      <w:r w:rsidR="00691893">
        <w:rPr>
          <w:sz w:val="24"/>
        </w:rPr>
        <w:t xml:space="preserve"> ČR,</w:t>
      </w:r>
      <w:r>
        <w:rPr>
          <w:sz w:val="24"/>
        </w:rPr>
        <w:t xml:space="preserve"> </w:t>
      </w:r>
      <w:r>
        <w:rPr>
          <w:sz w:val="24"/>
        </w:rPr>
        <w:tab/>
        <w:t>Správa Plzeň, Hřímalého 37, 301 00 Plzeň</w:t>
      </w:r>
    </w:p>
    <w:p w:rsidR="00461BA0" w:rsidRDefault="00D73509">
      <w:pPr>
        <w:spacing w:after="141"/>
        <w:ind w:left="600" w:hanging="10"/>
      </w:pPr>
      <w:r>
        <w:rPr>
          <w:sz w:val="24"/>
        </w:rPr>
        <w:t xml:space="preserve">Kontaktní osoba Objednatele: </w:t>
      </w:r>
      <w:r w:rsidRPr="00691893">
        <w:rPr>
          <w:sz w:val="24"/>
          <w:highlight w:val="black"/>
        </w:rPr>
        <w:t xml:space="preserve">Ladislava </w:t>
      </w:r>
      <w:r w:rsidR="00691893" w:rsidRPr="00691893">
        <w:rPr>
          <w:noProof/>
          <w:highlight w:val="black"/>
        </w:rPr>
        <w:t xml:space="preserve">Martínková </w:t>
      </w:r>
      <w:r w:rsidRPr="00691893">
        <w:rPr>
          <w:sz w:val="24"/>
          <w:highlight w:val="black"/>
        </w:rPr>
        <w:t>tel. 377 333 761</w:t>
      </w:r>
    </w:p>
    <w:p w:rsidR="00461BA0" w:rsidRDefault="00691893">
      <w:pPr>
        <w:tabs>
          <w:tab w:val="center" w:pos="2926"/>
          <w:tab w:val="center" w:pos="6415"/>
          <w:tab w:val="center" w:pos="7906"/>
        </w:tabs>
        <w:spacing w:after="197" w:line="266" w:lineRule="auto"/>
      </w:pPr>
      <w:r>
        <w:t xml:space="preserve">          Fakturujte: Ředitelství silnic, a dálnic</w:t>
      </w:r>
      <w:r w:rsidR="00D73509">
        <w:t xml:space="preserve"> ČR, Správa </w:t>
      </w:r>
      <w:r>
        <w:t xml:space="preserve">Plzeň, </w:t>
      </w:r>
      <w:r w:rsidR="00D73509">
        <w:t xml:space="preserve">Hřímalého </w:t>
      </w:r>
      <w:r>
        <w:t xml:space="preserve">37, </w:t>
      </w:r>
      <w:r w:rsidR="00D73509">
        <w:t>301 00 Plzeň</w:t>
      </w:r>
    </w:p>
    <w:p w:rsidR="00461BA0" w:rsidRDefault="00D73509">
      <w:pPr>
        <w:spacing w:after="120" w:line="266" w:lineRule="auto"/>
        <w:ind w:left="604" w:hanging="5"/>
        <w:jc w:val="both"/>
      </w:pPr>
      <w:r>
        <w:t xml:space="preserve">Obchodní </w:t>
      </w:r>
      <w:r w:rsidR="00691893">
        <w:t>a platební podmínky: Objednatel</w:t>
      </w:r>
      <w:r>
        <w:t xml:space="preserve"> uhradí cenu jednorázovým</w:t>
      </w:r>
      <w:r>
        <w:t xml:space="preserve"> bankovním převodem 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893">
        <w:rPr>
          <w:noProof/>
        </w:rPr>
        <w:t xml:space="preserve"> na </w:t>
      </w:r>
      <w:r w:rsidR="00691893">
        <w:t>účet Dodavatele uvedený na faktuře termín splatnosti je stanoven na 30 dnů</w:t>
      </w:r>
      <w:r>
        <w:t xml:space="preserve"> ode dne </w:t>
      </w:r>
      <w:r>
        <w:t xml:space="preserve">doručení faktury Objednateli. Fakturu lze předložit nejdříve po protokolárním převzetí služeb Objednatelem bez vad či nedodělku. Faktura musí obsahovat veškeré náležitosti stanovené </w:t>
      </w:r>
      <w:r w:rsidR="00691893">
        <w:rPr>
          <w:noProof/>
        </w:rPr>
        <w:t xml:space="preserve">platnými </w:t>
      </w:r>
      <w:r>
        <w:t>právními</w:t>
      </w:r>
      <w:r w:rsidR="00691893">
        <w:t xml:space="preserve"> předpisy,  číslo objednávky a místo dodán.</w:t>
      </w:r>
      <w:r>
        <w:t xml:space="preserve"> Objednatel neposkytuje žádné </w:t>
      </w:r>
      <w:r w:rsidR="00691893">
        <w:t>zálohy na cenu, ani dílčí platby ce</w:t>
      </w:r>
      <w:r>
        <w:t>n</w:t>
      </w:r>
      <w:r w:rsidR="00691893">
        <w:t>y. Potvrzením přijetí (akceptací) této objednávky</w:t>
      </w:r>
      <w:r>
        <w:t xml:space="preserve"> se </w:t>
      </w:r>
      <w:r>
        <w:rPr>
          <w:noProof/>
        </w:rPr>
        <w:drawing>
          <wp:inline distT="0" distB="0" distL="0" distR="0">
            <wp:extent cx="3048" cy="30489"/>
            <wp:effectExtent l="0" t="0" r="0" b="0"/>
            <wp:docPr id="14192" name="Picture 1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" name="Picture 14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Dodavatel zavazuje plnit ve</w:t>
      </w:r>
      <w:r w:rsidR="00691893">
        <w:t>škeré povinnosti v této objednávce uvedené. Objednatel výslovně vylučuje ak</w:t>
      </w:r>
      <w:r>
        <w:t>ceptaci objednávk</w:t>
      </w:r>
      <w:r w:rsidR="00691893">
        <w:t>y</w:t>
      </w:r>
      <w:r>
        <w:t xml:space="preserve"> Dodavatelem</w:t>
      </w:r>
      <w:r>
        <w:t xml:space="preserve"> s jakýmikoliv změnami jejíh</w:t>
      </w:r>
      <w:r w:rsidR="00691893">
        <w:t>o obsahu,</w:t>
      </w:r>
      <w:r>
        <w:t xml:space="preserve">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893">
        <w:t>k takovému právnímu</w:t>
      </w:r>
      <w:r>
        <w:t xml:space="preserve"> jednání Dodavatele se, nepřihlíží. Dodavatel poskytuje souhlas </w:t>
      </w:r>
      <w:r w:rsidR="00691893">
        <w:rPr>
          <w:noProof/>
        </w:rPr>
        <w:t xml:space="preserve">s </w:t>
      </w:r>
      <w:r w:rsidR="00691893">
        <w:t>uveřejněním objednávky a jejího potvr</w:t>
      </w:r>
      <w:r w:rsidR="00991FD9">
        <w:t>zení v registru smluv zřízený</w:t>
      </w:r>
      <w:r>
        <w:t>m zákonem č. 340/2015 Sb.,</w:t>
      </w:r>
      <w:r w:rsidR="00991FD9">
        <w:t xml:space="preserve"> o zvláštních podmínkách účinnosti některých</w:t>
      </w:r>
      <w:r>
        <w:t xml:space="preserve"> </w:t>
      </w:r>
      <w:r w:rsidR="00991FD9">
        <w:t>smluv, uveřejňování t</w:t>
      </w:r>
      <w:r>
        <w:t>ěchto smluv a o</w:t>
      </w:r>
      <w:r w:rsidR="00991FD9">
        <w:t xml:space="preserve"> registru smluv, ve znění pozdějších</w:t>
      </w:r>
      <w:r>
        <w:t xml:space="preserve"> předpisů (dále jako „zákon</w:t>
      </w:r>
      <w:r>
        <w:t xml:space="preserve"> o registru smluv"). Objednatelem.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D9" w:rsidRDefault="00991FD9">
      <w:pPr>
        <w:spacing w:after="120" w:line="266" w:lineRule="auto"/>
        <w:ind w:left="604" w:hanging="5"/>
        <w:jc w:val="both"/>
      </w:pPr>
    </w:p>
    <w:p w:rsidR="00991FD9" w:rsidRDefault="00991FD9">
      <w:pPr>
        <w:spacing w:after="120" w:line="266" w:lineRule="auto"/>
        <w:ind w:left="604" w:hanging="5"/>
        <w:jc w:val="both"/>
      </w:pPr>
    </w:p>
    <w:p w:rsidR="00991FD9" w:rsidRDefault="00991FD9">
      <w:pPr>
        <w:spacing w:after="120" w:line="266" w:lineRule="auto"/>
        <w:ind w:left="604" w:hanging="5"/>
        <w:jc w:val="both"/>
      </w:pPr>
    </w:p>
    <w:p w:rsidR="00991FD9" w:rsidRDefault="00991FD9">
      <w:pPr>
        <w:spacing w:after="120" w:line="266" w:lineRule="auto"/>
        <w:ind w:left="604" w:hanging="5"/>
        <w:jc w:val="both"/>
      </w:pPr>
    </w:p>
    <w:p w:rsidR="00991FD9" w:rsidRDefault="00991FD9">
      <w:pPr>
        <w:spacing w:after="120" w:line="266" w:lineRule="auto"/>
        <w:ind w:left="604" w:hanging="5"/>
        <w:jc w:val="both"/>
      </w:pPr>
    </w:p>
    <w:p w:rsidR="00991FD9" w:rsidRDefault="00991FD9">
      <w:pPr>
        <w:spacing w:after="120" w:line="266" w:lineRule="auto"/>
        <w:ind w:left="604" w:hanging="5"/>
        <w:jc w:val="both"/>
      </w:pPr>
    </w:p>
    <w:p w:rsidR="00991FD9" w:rsidRDefault="00991FD9">
      <w:pPr>
        <w:spacing w:after="120" w:line="266" w:lineRule="auto"/>
        <w:ind w:left="604" w:hanging="5"/>
        <w:jc w:val="both"/>
      </w:pPr>
    </w:p>
    <w:p w:rsidR="00461BA0" w:rsidRDefault="00D73509">
      <w:pPr>
        <w:spacing w:after="140" w:line="269" w:lineRule="auto"/>
        <w:ind w:left="494" w:right="134" w:firstLine="4"/>
        <w:jc w:val="both"/>
      </w:pPr>
      <w:r>
        <w:lastRenderedPageBreak/>
        <w:t>Objednávka je účinná okamži</w:t>
      </w:r>
      <w:r w:rsidR="00991FD9">
        <w:t>kem zveřejnění v registru smluv, přičemž Obj</w:t>
      </w:r>
      <w:r>
        <w:t>ednatel o této skutečnosti Dodavatele informuje. Obje</w:t>
      </w:r>
      <w:r w:rsidR="00991FD9">
        <w:t>dnatel je oprávněn kdykoliv po uzavření objednávky</w:t>
      </w:r>
      <w:r>
        <w:t xml:space="preserve"> </w:t>
      </w:r>
      <w:r w:rsidR="00991FD9">
        <w:t>tuto objednávku vypovědě</w:t>
      </w:r>
      <w:r>
        <w:t>t s účinky od doruč</w:t>
      </w:r>
      <w:r w:rsidR="00991FD9">
        <w:t>ení písemné výpovědi Dodavateli, a to i bez uvedení důvodu. Výpověď objednávky dle předcházející věty</w:t>
      </w:r>
      <w:r>
        <w:t xml:space="preserve"> nemá vliv na již řádně </w:t>
      </w:r>
      <w:r w:rsidR="00991FD9">
        <w:rPr>
          <w:noProof/>
        </w:rPr>
        <w:t xml:space="preserve">poskytnuté </w:t>
      </w:r>
      <w:r>
        <w:t xml:space="preserve">plnění včetně práv a povinností </w:t>
      </w:r>
      <w:r>
        <w:t>z něj vyplývajících.</w:t>
      </w:r>
    </w:p>
    <w:p w:rsidR="00461BA0" w:rsidRDefault="00D73509">
      <w:pPr>
        <w:spacing w:after="140" w:line="269" w:lineRule="auto"/>
        <w:ind w:left="514" w:firstLine="4"/>
        <w:jc w:val="both"/>
      </w:pPr>
      <w:r>
        <w:t>Záruční lhůta: dle Občanského zákoníku</w:t>
      </w:r>
    </w:p>
    <w:p w:rsidR="00461BA0" w:rsidRDefault="00D73509">
      <w:pPr>
        <w:spacing w:after="518" w:line="269" w:lineRule="auto"/>
        <w:ind w:left="523" w:firstLine="4"/>
        <w:jc w:val="both"/>
      </w:pPr>
      <w:r w:rsidRPr="00991FD9">
        <w:rPr>
          <w:b/>
        </w:rPr>
        <w:t>Objednáváme u Vás:</w:t>
      </w:r>
      <w:r>
        <w:t xml:space="preserve"> vypracování projektové doku</w:t>
      </w:r>
      <w:r w:rsidR="00991FD9">
        <w:t>mentace pro územní rozhodnutí DÚ</w:t>
      </w:r>
      <w:r>
        <w:t xml:space="preserve">R vč. </w:t>
      </w:r>
      <w:r w:rsidR="00991FD9">
        <w:t>IČ</w:t>
      </w:r>
    </w:p>
    <w:p w:rsidR="00461BA0" w:rsidRDefault="00D73509">
      <w:pPr>
        <w:spacing w:after="171" w:line="269" w:lineRule="auto"/>
        <w:ind w:left="585" w:firstLine="4"/>
        <w:jc w:val="both"/>
      </w:pPr>
      <w:r w:rsidRPr="00991FD9">
        <w:rPr>
          <w:b/>
        </w:rPr>
        <w:t>Lhůta pro dodání či termín dodání:</w:t>
      </w:r>
      <w:r>
        <w:t xml:space="preserve"> koncept do 07/2019, čistopis do 08/2019 a IČ k získání pravomocného ÚR do 30.</w:t>
      </w:r>
      <w:r w:rsidR="00991FD9">
        <w:t>11</w:t>
      </w:r>
      <w:r>
        <w:t>.2019</w:t>
      </w:r>
    </w:p>
    <w:p w:rsidR="00461BA0" w:rsidRDefault="00D73509">
      <w:pPr>
        <w:tabs>
          <w:tab w:val="center" w:pos="1058"/>
          <w:tab w:val="center" w:pos="3007"/>
          <w:tab w:val="center" w:pos="5006"/>
        </w:tabs>
        <w:spacing w:after="140" w:line="269" w:lineRule="auto"/>
      </w:pPr>
      <w:r>
        <w:tab/>
      </w:r>
      <w:r w:rsidR="00991FD9">
        <w:t xml:space="preserve">           </w:t>
      </w:r>
      <w:r>
        <w:rPr>
          <w:u w:val="single" w:color="000000"/>
        </w:rPr>
        <w:t>Fakturace</w:t>
      </w:r>
      <w:r>
        <w:t xml:space="preserve">: </w:t>
      </w:r>
      <w:r w:rsidR="00991FD9">
        <w:t>80 % - 08/2019 (DÚ</w:t>
      </w:r>
      <w:r>
        <w:t xml:space="preserve">R) a </w:t>
      </w:r>
      <w:r w:rsidR="00991FD9">
        <w:t>20 % 11/2019 (IČ</w:t>
      </w:r>
      <w:r>
        <w:t>)</w:t>
      </w:r>
    </w:p>
    <w:p w:rsidR="00461BA0" w:rsidRDefault="00D73509">
      <w:pPr>
        <w:spacing w:after="0"/>
        <w:ind w:left="552" w:hanging="10"/>
      </w:pPr>
      <w:r>
        <w:rPr>
          <w:sz w:val="24"/>
        </w:rPr>
        <w:t>Celková hodnota objednávky v Kč:</w:t>
      </w:r>
    </w:p>
    <w:tbl>
      <w:tblPr>
        <w:tblStyle w:val="TableGrid"/>
        <w:tblW w:w="3461" w:type="dxa"/>
        <w:tblInd w:w="547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272"/>
      </w:tblGrid>
      <w:tr w:rsidR="00461BA0">
        <w:trPr>
          <w:trHeight w:val="36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61BA0" w:rsidRDefault="00D73509">
            <w:pPr>
              <w:spacing w:after="0"/>
            </w:pPr>
            <w:r>
              <w:rPr>
                <w:sz w:val="24"/>
              </w:rPr>
              <w:t>Cena bez DPH: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61BA0" w:rsidRDefault="00D73509">
            <w:pPr>
              <w:spacing w:after="0"/>
              <w:ind w:right="58"/>
              <w:jc w:val="right"/>
            </w:pPr>
            <w:r>
              <w:t>238 000,-</w:t>
            </w:r>
          </w:p>
        </w:tc>
      </w:tr>
      <w:tr w:rsidR="00461BA0">
        <w:trPr>
          <w:trHeight w:val="588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A0" w:rsidRDefault="00D73509">
            <w:pPr>
              <w:spacing w:after="0"/>
              <w:ind w:left="10"/>
            </w:pPr>
            <w:r>
              <w:rPr>
                <w:sz w:val="24"/>
              </w:rPr>
              <w:t>DPH 21%: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A0" w:rsidRDefault="00991FD9">
            <w:pPr>
              <w:spacing w:after="0"/>
              <w:ind w:right="34"/>
              <w:jc w:val="right"/>
            </w:pPr>
            <w:r>
              <w:rPr>
                <w:sz w:val="20"/>
              </w:rPr>
              <w:t>49 980,-</w:t>
            </w:r>
            <w:r w:rsidR="00D73509">
              <w:rPr>
                <w:sz w:val="20"/>
              </w:rPr>
              <w:t>_</w:t>
            </w:r>
          </w:p>
        </w:tc>
      </w:tr>
      <w:tr w:rsidR="00461BA0">
        <w:trPr>
          <w:trHeight w:val="36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BA0" w:rsidRDefault="00D73509">
            <w:pPr>
              <w:spacing w:after="0"/>
              <w:ind w:left="14"/>
            </w:pPr>
            <w:r>
              <w:rPr>
                <w:sz w:val="24"/>
              </w:rPr>
              <w:t>Cena celkem s DPH: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BA0" w:rsidRDefault="00D73509">
            <w:pPr>
              <w:spacing w:after="0"/>
              <w:jc w:val="right"/>
            </w:pPr>
            <w:r>
              <w:rPr>
                <w:sz w:val="24"/>
              </w:rPr>
              <w:t>287 980.-</w:t>
            </w:r>
          </w:p>
        </w:tc>
      </w:tr>
    </w:tbl>
    <w:p w:rsidR="00991FD9" w:rsidRDefault="00991FD9">
      <w:pPr>
        <w:spacing w:after="100" w:line="304" w:lineRule="auto"/>
        <w:ind w:left="566" w:firstLine="5"/>
      </w:pPr>
    </w:p>
    <w:p w:rsidR="00461BA0" w:rsidRDefault="00D73509">
      <w:pPr>
        <w:spacing w:after="100" w:line="304" w:lineRule="auto"/>
        <w:ind w:left="566" w:firstLine="5"/>
      </w:pPr>
      <w:r>
        <w:t>V případě akceptace objednávky Objednatele Dodavatel objednávk</w:t>
      </w:r>
      <w:r w:rsidR="00991FD9">
        <w:t>u písemně potvrdí prostřednictv</w:t>
      </w:r>
      <w:r>
        <w:t>ím</w:t>
      </w:r>
      <w:r>
        <w:tab/>
        <w:t>e-mailu</w:t>
      </w:r>
      <w:r w:rsidR="00991FD9">
        <w:t xml:space="preserve"> </w:t>
      </w:r>
      <w:r>
        <w:tab/>
        <w:t>zaslaného</w:t>
      </w:r>
      <w:r>
        <w:tab/>
      </w:r>
      <w:r w:rsidR="00991FD9">
        <w:t>d</w:t>
      </w:r>
      <w:r>
        <w:t>o</w:t>
      </w:r>
      <w:r>
        <w:tab/>
      </w:r>
      <w:r>
        <w:t>e-mailové</w:t>
      </w:r>
      <w:r>
        <w:tab/>
        <w:t xml:space="preserve">schránky </w:t>
      </w:r>
      <w:r>
        <w:tab/>
        <w:t xml:space="preserve">Objednatele </w:t>
      </w:r>
      <w:r w:rsidR="00991FD9" w:rsidRPr="00991FD9">
        <w:rPr>
          <w:noProof/>
          <w:highlight w:val="black"/>
        </w:rPr>
        <w:t>xxxxxxxxxxxxxxxxxxxxxxxxxx</w:t>
      </w:r>
      <w:r w:rsidR="00991FD9" w:rsidRPr="00991FD9">
        <w:rPr>
          <w:b/>
          <w:noProof/>
          <w:highlight w:val="black"/>
        </w:rPr>
        <w:t>xx</w:t>
      </w:r>
      <w:r>
        <w:t xml:space="preserve"> V případě </w:t>
      </w:r>
      <w:r w:rsidR="00991FD9">
        <w:t>nepotvrzeni akceptace objednávky Obj</w:t>
      </w:r>
      <w:r>
        <w:t>ednatele Dodavatelem platí, že Dodavatel objednávku neakc</w:t>
      </w:r>
      <w:r>
        <w:t>eptoval a</w:t>
      </w:r>
      <w:r w:rsidR="00991FD9">
        <w:t xml:space="preserve"> objednávka je bez dalšího zneplatněna.</w:t>
      </w:r>
    </w:p>
    <w:p w:rsidR="00461BA0" w:rsidRDefault="00D73509">
      <w:pPr>
        <w:spacing w:after="140" w:line="269" w:lineRule="auto"/>
        <w:ind w:left="585" w:firstLine="4"/>
        <w:jc w:val="both"/>
      </w:pPr>
      <w:r>
        <w:t>Pokud není ve Smlouvě a jejích přílohách stanoveno jinak, řídí se právní vztah. založený touto Smlouvou Občanským zákoníkem.</w:t>
      </w:r>
    </w:p>
    <w:p w:rsidR="00461BA0" w:rsidRDefault="00D73509">
      <w:pPr>
        <w:spacing w:after="140" w:line="269" w:lineRule="auto"/>
        <w:ind w:left="585" w:firstLine="4"/>
        <w:jc w:val="both"/>
      </w:pPr>
      <w:r>
        <w:t>Nedílnou součástí této objednávky jsou následující přílohy:</w:t>
      </w:r>
    </w:p>
    <w:p w:rsidR="00461BA0" w:rsidRDefault="00D73509">
      <w:pPr>
        <w:spacing w:after="81" w:line="269" w:lineRule="auto"/>
        <w:ind w:left="585" w:firstLine="4"/>
        <w:jc w:val="both"/>
      </w:pPr>
      <w:r>
        <w:t>Příloha č. 1 — Specifikace služeb</w:t>
      </w:r>
    </w:p>
    <w:p w:rsidR="00461BA0" w:rsidRDefault="00D73509">
      <w:pPr>
        <w:spacing w:after="317" w:line="269" w:lineRule="auto"/>
        <w:ind w:left="585" w:firstLine="4"/>
        <w:jc w:val="both"/>
      </w:pPr>
      <w:r>
        <w:t>Příloha č. 2 — Položkový rozpis ceny</w:t>
      </w:r>
    </w:p>
    <w:p w:rsidR="00461BA0" w:rsidRDefault="00D73509">
      <w:pPr>
        <w:spacing w:after="213"/>
        <w:ind w:left="729" w:hanging="10"/>
      </w:pPr>
      <w:r>
        <w:rPr>
          <w:sz w:val="24"/>
        </w:rPr>
        <w:t>V Plzni dne</w:t>
      </w:r>
      <w:r w:rsidR="00691893">
        <w:rPr>
          <w:noProof/>
        </w:rPr>
        <w:t xml:space="preserve">   27-06-2019                                                </w:t>
      </w:r>
      <w:r>
        <w:rPr>
          <w:sz w:val="24"/>
        </w:rPr>
        <w:t>V Liberci dne 24.06.2019</w:t>
      </w:r>
    </w:p>
    <w:p w:rsidR="00691893" w:rsidRDefault="00D73509">
      <w:pPr>
        <w:tabs>
          <w:tab w:val="center" w:pos="4879"/>
          <w:tab w:val="center" w:pos="6458"/>
        </w:tabs>
        <w:spacing w:after="27" w:line="269" w:lineRule="auto"/>
        <w:rPr>
          <w:noProof/>
        </w:rPr>
      </w:pPr>
      <w:r>
        <w:tab/>
      </w: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691893" w:rsidRDefault="00691893">
      <w:pPr>
        <w:spacing w:after="0" w:line="265" w:lineRule="auto"/>
        <w:ind w:left="682" w:hanging="10"/>
        <w:rPr>
          <w:sz w:val="36"/>
          <w:u w:val="single" w:color="000000"/>
        </w:rPr>
      </w:pPr>
    </w:p>
    <w:p w:rsidR="00461BA0" w:rsidRDefault="00D73509">
      <w:pPr>
        <w:spacing w:after="0" w:line="265" w:lineRule="auto"/>
        <w:ind w:left="682" w:hanging="10"/>
      </w:pPr>
      <w:r>
        <w:rPr>
          <w:sz w:val="36"/>
          <w:u w:val="single" w:color="000000"/>
        </w:rPr>
        <w:t>Příloha č. 1 - Specifikace služeb</w:t>
      </w:r>
    </w:p>
    <w:p w:rsidR="00461BA0" w:rsidRDefault="00D73509">
      <w:pPr>
        <w:spacing w:after="46" w:line="269" w:lineRule="auto"/>
        <w:ind w:left="677" w:firstLine="4"/>
        <w:jc w:val="both"/>
      </w:pPr>
      <w:r w:rsidRPr="00991FD9">
        <w:rPr>
          <w:b/>
        </w:rPr>
        <w:t>Odůvodnění:</w:t>
      </w:r>
      <w:r>
        <w:t xml:space="preserve"> V rámci přípravy levostranné odpočívky Krsice a jejího pr</w:t>
      </w:r>
      <w:r w:rsidR="00991FD9">
        <w:t>ojednání vznikl požadavek na zm</w:t>
      </w:r>
      <w:r>
        <w:t>ěnu</w:t>
      </w:r>
    </w:p>
    <w:p w:rsidR="00461BA0" w:rsidRDefault="00D73509">
      <w:pPr>
        <w:spacing w:after="243" w:line="269" w:lineRule="auto"/>
        <w:ind w:left="677" w:firstLine="4"/>
        <w:jc w:val="both"/>
      </w:pPr>
      <w:r>
        <w:t>Odpočívky z velikosti střední na velkou.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38" name="Picture 5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51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A0" w:rsidRDefault="00D73509">
      <w:pPr>
        <w:spacing w:after="234" w:line="269" w:lineRule="auto"/>
        <w:ind w:left="677" w:right="187" w:firstLine="4"/>
        <w:jc w:val="both"/>
      </w:pPr>
      <w:r>
        <w:t>Popis činnosti: Jedná se o přepracování le</w:t>
      </w:r>
      <w:r w:rsidR="00991FD9">
        <w:t>vostranné odpočívky Krsice na „</w:t>
      </w:r>
      <w:r>
        <w:t>V</w:t>
      </w:r>
      <w:r w:rsidR="00991FD9">
        <w:t>elkou odpočívku“</w:t>
      </w:r>
      <w:r>
        <w:t xml:space="preserve"> vč. úpravy souvisejících objektů </w:t>
      </w:r>
      <w:r w:rsidR="00991FD9">
        <w:t>jako jsou přeložky polních cest, vodovodní přípojky, přípojky</w:t>
      </w:r>
      <w:r>
        <w:t xml:space="preserve"> elektro</w:t>
      </w:r>
      <w:r w:rsidR="00991FD9">
        <w:t>,</w:t>
      </w:r>
      <w:r>
        <w:t xml:space="preserve"> kanalizace splašková a dešťová, veřejné osvětlen</w:t>
      </w:r>
      <w:r w:rsidR="00991FD9">
        <w:t>í</w:t>
      </w:r>
      <w:r>
        <w:t>.</w:t>
      </w:r>
    </w:p>
    <w:p w:rsidR="00461BA0" w:rsidRDefault="00D73509">
      <w:pPr>
        <w:spacing w:after="474" w:line="269" w:lineRule="auto"/>
        <w:ind w:left="686" w:firstLine="4"/>
        <w:jc w:val="both"/>
      </w:pPr>
      <w:r>
        <w:t>Počet výtisků: 4 x v tištěné podobě a 4 x v elektronické podobě na CD</w:t>
      </w:r>
    </w:p>
    <w:p w:rsidR="00461BA0" w:rsidRDefault="00D73509">
      <w:pPr>
        <w:spacing w:after="9519" w:line="269" w:lineRule="auto"/>
        <w:ind w:left="585" w:right="322" w:firstLine="4"/>
        <w:jc w:val="both"/>
      </w:pPr>
      <w:r>
        <w:t>Veškeré Objed</w:t>
      </w:r>
      <w:r>
        <w:t xml:space="preserve">natelem předem schválené správní poplatky související s inženýrskou činností (např.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39" name="Picture 5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Picture 51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kolky, výpisy z katastru nemovitostí, znalečné aj.) budou hrazeny na základě požadavku Poskytovatele přímo Objednatelem.</w:t>
      </w:r>
    </w:p>
    <w:p w:rsidR="00461BA0" w:rsidRDefault="00D73509">
      <w:pPr>
        <w:spacing w:after="13448" w:line="265" w:lineRule="auto"/>
        <w:ind w:left="547" w:hanging="10"/>
      </w:pPr>
      <w:r>
        <w:rPr>
          <w:sz w:val="36"/>
          <w:u w:val="single" w:color="000000"/>
        </w:rPr>
        <w:lastRenderedPageBreak/>
        <w:t xml:space="preserve">Příloha č. 2 </w:t>
      </w:r>
      <w:bookmarkStart w:id="0" w:name="_GoBack"/>
      <w:bookmarkEnd w:id="0"/>
      <w:r>
        <w:rPr>
          <w:sz w:val="36"/>
          <w:u w:val="single" w:color="000000"/>
        </w:rPr>
        <w:t xml:space="preserve">- </w:t>
      </w:r>
      <w:r>
        <w:rPr>
          <w:sz w:val="36"/>
          <w:u w:val="single" w:color="000000"/>
        </w:rPr>
        <w:t xml:space="preserve"> Položkový rozpis ceny</w:t>
      </w:r>
    </w:p>
    <w:p w:rsidR="00461BA0" w:rsidRDefault="00D73509">
      <w:pPr>
        <w:pStyle w:val="Nadpis2"/>
      </w:pPr>
      <w:r>
        <w:lastRenderedPageBreak/>
        <w:t>CENOVÁ NABÍDKA</w:t>
      </w:r>
    </w:p>
    <w:p w:rsidR="00461BA0" w:rsidRPr="00991FD9" w:rsidRDefault="00D73509">
      <w:pPr>
        <w:spacing w:after="39"/>
        <w:ind w:left="58"/>
        <w:rPr>
          <w:b/>
          <w:sz w:val="32"/>
          <w:szCs w:val="32"/>
        </w:rPr>
      </w:pPr>
      <w:r w:rsidRPr="00991FD9">
        <w:rPr>
          <w:b/>
          <w:sz w:val="32"/>
          <w:szCs w:val="32"/>
        </w:rPr>
        <w:t>D4 Čimelice — Mirotice, dálniční odpočívka Krsice levostranná</w:t>
      </w:r>
    </w:p>
    <w:p w:rsidR="00991FD9" w:rsidRPr="00991FD9" w:rsidRDefault="00991FD9">
      <w:pPr>
        <w:spacing w:after="39"/>
        <w:ind w:left="58"/>
        <w:rPr>
          <w:sz w:val="32"/>
          <w:szCs w:val="32"/>
        </w:rPr>
      </w:pPr>
    </w:p>
    <w:p w:rsidR="00461BA0" w:rsidRPr="00991FD9" w:rsidRDefault="00991FD9">
      <w:pPr>
        <w:spacing w:after="60" w:line="265" w:lineRule="auto"/>
        <w:ind w:left="19" w:hanging="10"/>
        <w:rPr>
          <w:i/>
        </w:rPr>
      </w:pPr>
      <w:r w:rsidRPr="00991FD9">
        <w:rPr>
          <w:i/>
          <w:sz w:val="20"/>
        </w:rPr>
        <w:t>Zpr</w:t>
      </w:r>
      <w:r w:rsidR="00D73509" w:rsidRPr="00991FD9">
        <w:rPr>
          <w:i/>
          <w:sz w:val="20"/>
        </w:rPr>
        <w:t>acování dokum</w:t>
      </w:r>
      <w:r w:rsidRPr="00991FD9">
        <w:rPr>
          <w:i/>
          <w:sz w:val="20"/>
        </w:rPr>
        <w:t>entace pro územní rozhodnutí (DÚ</w:t>
      </w:r>
      <w:r w:rsidR="00D73509" w:rsidRPr="00991FD9">
        <w:rPr>
          <w:i/>
          <w:sz w:val="20"/>
        </w:rPr>
        <w:t>R)</w:t>
      </w:r>
    </w:p>
    <w:tbl>
      <w:tblPr>
        <w:tblStyle w:val="TableGrid"/>
        <w:tblW w:w="9326" w:type="dxa"/>
        <w:tblInd w:w="-24" w:type="dxa"/>
        <w:tblCellMar>
          <w:top w:w="72" w:type="dxa"/>
          <w:left w:w="187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5037"/>
        <w:gridCol w:w="1142"/>
        <w:gridCol w:w="1361"/>
        <w:gridCol w:w="1786"/>
      </w:tblGrid>
      <w:tr w:rsidR="00461BA0" w:rsidRPr="00991FD9">
        <w:trPr>
          <w:trHeight w:val="624"/>
        </w:trPr>
        <w:tc>
          <w:tcPr>
            <w:tcW w:w="5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1BA0" w:rsidRPr="00991FD9" w:rsidRDefault="00D73509">
            <w:pPr>
              <w:spacing w:after="0"/>
              <w:ind w:left="34"/>
              <w:jc w:val="center"/>
              <w:rPr>
                <w:b/>
              </w:rPr>
            </w:pPr>
            <w:r w:rsidRPr="00991FD9">
              <w:rPr>
                <w:b/>
                <w:sz w:val="24"/>
              </w:rPr>
              <w:t>Popis činnosti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A0" w:rsidRPr="00991FD9" w:rsidRDefault="00D73509">
            <w:pPr>
              <w:spacing w:after="0"/>
              <w:ind w:left="130" w:firstLine="10"/>
              <w:rPr>
                <w:b/>
              </w:rPr>
            </w:pPr>
            <w:r w:rsidRPr="00991FD9">
              <w:rPr>
                <w:b/>
                <w:sz w:val="24"/>
              </w:rPr>
              <w:t>Počet hodin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A0" w:rsidRPr="00991FD9" w:rsidRDefault="00D73509">
            <w:pPr>
              <w:spacing w:after="0"/>
              <w:jc w:val="center"/>
              <w:rPr>
                <w:b/>
              </w:rPr>
            </w:pPr>
            <w:r w:rsidRPr="00991FD9">
              <w:rPr>
                <w:b/>
                <w:sz w:val="24"/>
              </w:rPr>
              <w:t>Hodinová sazba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BA0" w:rsidRPr="00991FD9" w:rsidRDefault="00D73509">
            <w:pPr>
              <w:spacing w:after="0"/>
              <w:ind w:right="11"/>
              <w:jc w:val="center"/>
              <w:rPr>
                <w:b/>
              </w:rPr>
            </w:pPr>
            <w:r w:rsidRPr="00991FD9">
              <w:rPr>
                <w:b/>
                <w:sz w:val="24"/>
              </w:rPr>
              <w:t>Cena</w:t>
            </w:r>
          </w:p>
        </w:tc>
      </w:tr>
      <w:tr w:rsidR="00461BA0">
        <w:trPr>
          <w:trHeight w:val="1539"/>
        </w:trPr>
        <w:tc>
          <w:tcPr>
            <w:tcW w:w="5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1BA0" w:rsidRDefault="00991FD9">
            <w:pPr>
              <w:spacing w:after="0"/>
              <w:ind w:firstLine="10"/>
              <w:jc w:val="both"/>
            </w:pPr>
            <w:r>
              <w:t>Přepracováni levostranné odpočívky Krsice na "Velkou odpočívku“</w:t>
            </w:r>
            <w:r w:rsidR="00D73509">
              <w:t xml:space="preserve"> </w:t>
            </w:r>
            <w:r w:rsidR="00D73509">
              <w:rPr>
                <w:vertAlign w:val="superscript"/>
              </w:rPr>
              <w:t xml:space="preserve"> </w:t>
            </w:r>
            <w:r w:rsidR="00D73509">
              <w:t xml:space="preserve">včetně úpravy souvisejících objektů jako jsou </w:t>
            </w:r>
            <w:r>
              <w:t>přeložky polních cest, vodovodní přípojky, přípojky elektro, kanalizace splaškové a dešťové,</w:t>
            </w:r>
            <w:r w:rsidR="00D73509">
              <w:t xml:space="preserve"> veřejného osvětlení.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BA0" w:rsidRDefault="00461BA0">
            <w:pPr>
              <w:spacing w:after="0"/>
              <w:ind w:right="1"/>
              <w:jc w:val="center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BA0" w:rsidRDefault="00461BA0">
            <w:pPr>
              <w:spacing w:after="0"/>
              <w:ind w:left="151"/>
              <w:jc w:val="center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BA0" w:rsidRDefault="00461BA0">
            <w:pPr>
              <w:spacing w:after="0"/>
              <w:ind w:left="483"/>
            </w:pPr>
          </w:p>
        </w:tc>
      </w:tr>
      <w:tr w:rsidR="00461BA0" w:rsidRPr="00991FD9">
        <w:trPr>
          <w:trHeight w:val="453"/>
        </w:trPr>
        <w:tc>
          <w:tcPr>
            <w:tcW w:w="5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1BA0" w:rsidRDefault="00D73509">
            <w:pPr>
              <w:spacing w:after="0"/>
              <w:ind w:left="5"/>
            </w:pPr>
            <w:r>
              <w:rPr>
                <w:sz w:val="24"/>
              </w:rPr>
              <w:t>NABÍDKOVÁ CENA CELKEM BEZ DPH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1BA0" w:rsidRDefault="00461BA0"/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1BA0" w:rsidRDefault="00461BA0"/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1BA0" w:rsidRPr="00991FD9" w:rsidRDefault="00D73509">
            <w:pPr>
              <w:spacing w:after="0"/>
              <w:ind w:left="464"/>
              <w:rPr>
                <w:sz w:val="20"/>
                <w:szCs w:val="20"/>
              </w:rPr>
            </w:pPr>
            <w:r w:rsidRPr="00991FD9">
              <w:rPr>
                <w:sz w:val="20"/>
                <w:szCs w:val="20"/>
              </w:rPr>
              <w:t>238 000 Kč</w:t>
            </w:r>
          </w:p>
        </w:tc>
      </w:tr>
      <w:tr w:rsidR="00461BA0" w:rsidRPr="00991FD9">
        <w:trPr>
          <w:trHeight w:val="459"/>
        </w:trPr>
        <w:tc>
          <w:tcPr>
            <w:tcW w:w="5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1BA0" w:rsidRDefault="00D73509">
            <w:pPr>
              <w:spacing w:after="0"/>
              <w:ind w:left="10"/>
            </w:pPr>
            <w:r>
              <w:rPr>
                <w:sz w:val="24"/>
              </w:rPr>
              <w:t>DPH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1BA0" w:rsidRDefault="00461BA0"/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1BA0" w:rsidRDefault="00461BA0"/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1BA0" w:rsidRPr="00991FD9" w:rsidRDefault="00D73509">
            <w:pPr>
              <w:spacing w:after="0"/>
              <w:ind w:left="589"/>
              <w:rPr>
                <w:sz w:val="20"/>
                <w:szCs w:val="20"/>
              </w:rPr>
            </w:pPr>
            <w:r w:rsidRPr="00991FD9">
              <w:rPr>
                <w:sz w:val="20"/>
                <w:szCs w:val="20"/>
              </w:rPr>
              <w:t>49 980 Kč</w:t>
            </w:r>
          </w:p>
        </w:tc>
      </w:tr>
      <w:tr w:rsidR="00461BA0" w:rsidRPr="00991FD9">
        <w:trPr>
          <w:trHeight w:val="456"/>
        </w:trPr>
        <w:tc>
          <w:tcPr>
            <w:tcW w:w="5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1BA0" w:rsidRDefault="00D73509">
            <w:pPr>
              <w:spacing w:after="0"/>
              <w:ind w:left="5"/>
            </w:pPr>
            <w:r>
              <w:rPr>
                <w:sz w:val="24"/>
              </w:rPr>
              <w:t>NABÍDKOVÁ CENA CELKEM VČ. DPH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1BA0" w:rsidRDefault="00461BA0"/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1BA0" w:rsidRDefault="00461BA0"/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1BA0" w:rsidRPr="00991FD9" w:rsidRDefault="00D73509">
            <w:pPr>
              <w:spacing w:after="0"/>
              <w:ind w:left="464"/>
              <w:rPr>
                <w:sz w:val="20"/>
                <w:szCs w:val="20"/>
              </w:rPr>
            </w:pPr>
            <w:r w:rsidRPr="00991FD9">
              <w:rPr>
                <w:sz w:val="20"/>
                <w:szCs w:val="20"/>
              </w:rPr>
              <w:t>287 980 Kč</w:t>
            </w:r>
          </w:p>
        </w:tc>
      </w:tr>
    </w:tbl>
    <w:p w:rsidR="00991FD9" w:rsidRDefault="00991FD9">
      <w:pPr>
        <w:spacing w:after="431" w:line="265" w:lineRule="auto"/>
        <w:ind w:left="19" w:hanging="10"/>
        <w:rPr>
          <w:sz w:val="20"/>
        </w:rPr>
      </w:pPr>
    </w:p>
    <w:p w:rsidR="00991FD9" w:rsidRDefault="00991FD9">
      <w:pPr>
        <w:spacing w:after="431" w:line="265" w:lineRule="auto"/>
        <w:ind w:left="19" w:hanging="10"/>
        <w:rPr>
          <w:sz w:val="20"/>
        </w:rPr>
      </w:pPr>
    </w:p>
    <w:p w:rsidR="00991FD9" w:rsidRDefault="00991FD9">
      <w:pPr>
        <w:spacing w:after="431" w:line="265" w:lineRule="auto"/>
        <w:ind w:left="19" w:hanging="10"/>
        <w:rPr>
          <w:sz w:val="20"/>
        </w:rPr>
      </w:pPr>
    </w:p>
    <w:p w:rsidR="00461BA0" w:rsidRPr="00991FD9" w:rsidRDefault="00991FD9">
      <w:pPr>
        <w:spacing w:after="431" w:line="265" w:lineRule="auto"/>
        <w:ind w:left="19" w:hanging="10"/>
        <w:rPr>
          <w:i/>
        </w:rPr>
      </w:pPr>
      <w:r w:rsidRPr="00991FD9">
        <w:rPr>
          <w:i/>
          <w:sz w:val="20"/>
        </w:rPr>
        <w:t>Předpokládaný termín plnění:</w:t>
      </w:r>
      <w:r w:rsidR="00D73509" w:rsidRPr="00991FD9">
        <w:rPr>
          <w:i/>
          <w:noProof/>
        </w:rPr>
        <w:drawing>
          <wp:inline distT="0" distB="0" distL="0" distR="0">
            <wp:extent cx="3048" cy="3049"/>
            <wp:effectExtent l="0" t="0" r="0" b="0"/>
            <wp:docPr id="6822" name="Picture 6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" name="Picture 68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A0" w:rsidRDefault="00991FD9">
      <w:pPr>
        <w:tabs>
          <w:tab w:val="center" w:pos="6696"/>
        </w:tabs>
        <w:spacing w:after="1441"/>
      </w:pPr>
      <w:r>
        <w:rPr>
          <w:sz w:val="24"/>
        </w:rPr>
        <w:t>čistopis DÚ</w:t>
      </w:r>
      <w:r w:rsidR="00D73509">
        <w:rPr>
          <w:sz w:val="24"/>
        </w:rPr>
        <w:t>R:</w:t>
      </w:r>
      <w:r w:rsidR="00D73509">
        <w:rPr>
          <w:sz w:val="24"/>
        </w:rPr>
        <w:tab/>
      </w:r>
      <w:r w:rsidR="00D73509" w:rsidRPr="00991FD9">
        <w:rPr>
          <w:i/>
          <w:sz w:val="24"/>
        </w:rPr>
        <w:t>08/2019</w:t>
      </w:r>
    </w:p>
    <w:p w:rsidR="00461BA0" w:rsidRDefault="00D73509">
      <w:pPr>
        <w:tabs>
          <w:tab w:val="center" w:pos="7358"/>
        </w:tabs>
        <w:spacing w:after="1353"/>
      </w:pPr>
      <w:r>
        <w:t>V Liberci dne 24.0</w:t>
      </w:r>
      <w:r w:rsidR="00991FD9">
        <w:t>6</w:t>
      </w:r>
      <w:r>
        <w:t>.2019</w:t>
      </w:r>
      <w:r>
        <w:tab/>
      </w:r>
    </w:p>
    <w:sectPr w:rsidR="00461BA0">
      <w:pgSz w:w="11904" w:h="16834"/>
      <w:pgMar w:top="1439" w:right="1522" w:bottom="864" w:left="11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461BA0"/>
    <w:rsid w:val="00691893"/>
    <w:rsid w:val="00991FD9"/>
    <w:rsid w:val="00D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EA0E"/>
  <w15:docId w15:val="{7BB7695C-0BD4-48D0-822D-2C795BA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38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54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69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2019-06-28T11:10:00Z</dcterms:created>
  <dcterms:modified xsi:type="dcterms:W3CDTF">2019-06-28T11:11:00Z</dcterms:modified>
</cp:coreProperties>
</file>