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LBA-BN-21/2019</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w:t>
      </w:r>
      <w:r>
        <w:rPr>
          <w:szCs w:val="20"/>
        </w:rPr>
        <w:t>.1.48/0.0/0.0/15_121/0000597</w:t>
      </w: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zastupující osoba:</w:t>
      </w:r>
      <w:r>
        <w:rPr>
          <w:rFonts w:cs="Arial"/>
          <w:szCs w:val="20"/>
        </w:rPr>
        <w:tab/>
      </w:r>
      <w:r>
        <w:t xml:space="preserve">Mgr. </w:t>
      </w:r>
      <w:r>
        <w:rPr>
          <w:szCs w:val="20"/>
        </w:rPr>
        <w:t>Pavel Dymokurský</w:t>
      </w:r>
      <w:r>
        <w:rPr>
          <w:rFonts w:cs="Arial"/>
          <w:szCs w:val="20"/>
        </w:rPr>
        <w:t xml:space="preserve">, </w:t>
      </w:r>
      <w:r>
        <w:t>pověřený řízením</w:t>
      </w:r>
      <w:r>
        <w:rPr>
          <w:szCs w:val="20"/>
        </w:rPr>
        <w:t xml:space="preserve"> Krajské pobočky Úřadu práce ČR v Liberci</w:t>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republiky - krajská pobočka v Liberci, Dr. Milady Horákové </w:t>
      </w:r>
      <w:proofErr w:type="gramStart"/>
      <w:r>
        <w:rPr>
          <w:szCs w:val="20"/>
        </w:rPr>
        <w:t>č.p.</w:t>
      </w:r>
      <w:proofErr w:type="gramEnd"/>
      <w:r>
        <w:rPr>
          <w:szCs w:val="20"/>
        </w:rPr>
        <w:t> 580/7, Liberec IV-Perštýn, 460 01 Liberec 1</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spacing w:before="60"/>
        <w:ind w:left="2520" w:hanging="2520"/>
        <w:rPr>
          <w:rFonts w:cs="Arial"/>
          <w:szCs w:val="20"/>
        </w:rPr>
      </w:pPr>
      <w:r>
        <w:rPr>
          <w:rFonts w:cs="Arial"/>
          <w:szCs w:val="20"/>
        </w:rPr>
        <w:t xml:space="preserve"> (dále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proofErr w:type="spellStart"/>
      <w:r>
        <w:t>bfz</w:t>
      </w:r>
      <w:proofErr w:type="spellEnd"/>
      <w:r>
        <w:t xml:space="preserve"> o</w:t>
      </w:r>
      <w:r>
        <w:rPr>
          <w:szCs w:val="20"/>
        </w:rPr>
        <w:t>.p.s.</w:t>
      </w:r>
    </w:p>
    <w:p>
      <w:pPr>
        <w:tabs>
          <w:tab w:val="left" w:pos="2520"/>
        </w:tabs>
        <w:ind w:left="2520" w:hanging="2520"/>
        <w:rPr>
          <w:rFonts w:cs="Arial"/>
          <w:szCs w:val="20"/>
        </w:rPr>
      </w:pPr>
      <w:r>
        <w:rPr>
          <w:rFonts w:cs="Arial"/>
          <w:noProof/>
          <w:szCs w:val="20"/>
        </w:rPr>
        <w:t>zastupující osoba:</w:t>
      </w:r>
      <w:r>
        <w:rPr>
          <w:rFonts w:cs="Arial"/>
          <w:noProof/>
          <w:szCs w:val="20"/>
        </w:rPr>
        <w:tab/>
      </w:r>
      <w:r>
        <w:rPr>
          <w:noProof/>
        </w:rPr>
        <w:t>Steinke Steffen</w:t>
      </w:r>
      <w:r>
        <w:rPr>
          <w:noProof/>
          <w:szCs w:val="20"/>
        </w:rPr>
        <w:t>, ředitel</w:t>
      </w:r>
    </w:p>
    <w:p>
      <w:pPr>
        <w:tabs>
          <w:tab w:val="left" w:pos="2520"/>
        </w:tabs>
        <w:ind w:left="2520" w:hanging="2520"/>
        <w:rPr>
          <w:rFonts w:cs="Arial"/>
          <w:szCs w:val="20"/>
        </w:rPr>
      </w:pPr>
      <w:r>
        <w:rPr>
          <w:rFonts w:cs="Arial"/>
          <w:noProof/>
          <w:szCs w:val="20"/>
        </w:rPr>
        <w:t>sídlo:</w:t>
      </w:r>
      <w:r>
        <w:rPr>
          <w:rFonts w:cs="Arial"/>
          <w:szCs w:val="20"/>
        </w:rPr>
        <w:tab/>
      </w:r>
      <w:r>
        <w:t xml:space="preserve">Provaznická </w:t>
      </w:r>
      <w:proofErr w:type="gramStart"/>
      <w:r>
        <w:t>č</w:t>
      </w:r>
      <w:r>
        <w:rPr>
          <w:szCs w:val="20"/>
        </w:rPr>
        <w:t>.p.</w:t>
      </w:r>
      <w:proofErr w:type="gramEnd"/>
      <w:r>
        <w:rPr>
          <w:szCs w:val="20"/>
        </w:rPr>
        <w:t> 425/16, 350 02 Cheb 2</w:t>
      </w:r>
    </w:p>
    <w:p>
      <w:pPr>
        <w:tabs>
          <w:tab w:val="left" w:pos="2520"/>
        </w:tabs>
        <w:ind w:left="2520" w:hanging="2520"/>
        <w:rPr>
          <w:rFonts w:cs="Arial"/>
          <w:szCs w:val="20"/>
        </w:rPr>
      </w:pPr>
      <w:r>
        <w:rPr>
          <w:rFonts w:cs="Arial"/>
          <w:szCs w:val="20"/>
        </w:rPr>
        <w:t>identifikační číslo:</w:t>
      </w:r>
      <w:r>
        <w:rPr>
          <w:rFonts w:cs="Arial"/>
          <w:szCs w:val="20"/>
        </w:rPr>
        <w:tab/>
      </w:r>
      <w:r>
        <w:t>27966119</w:t>
      </w:r>
    </w:p>
    <w:p>
      <w:pPr>
        <w:tabs>
          <w:tab w:val="left" w:pos="2520"/>
        </w:tabs>
        <w:spacing w:before="60"/>
        <w:rPr>
          <w:rFonts w:cs="Arial"/>
          <w:szCs w:val="20"/>
        </w:rPr>
      </w:pPr>
      <w:r>
        <w:rPr>
          <w:rFonts w:cs="Arial"/>
          <w:szCs w:val="20"/>
        </w:rPr>
        <w:t xml:space="preserve"> (dále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a to 82,38%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t>Personalista (</w:t>
      </w:r>
      <w:r>
        <w:rPr>
          <w:szCs w:val="20"/>
        </w:rPr>
        <w:t>PK, v rozsahu 120 hodin teoretické výuky)</w:t>
      </w:r>
    </w:p>
    <w:p>
      <w:pPr>
        <w:pStyle w:val="BoddohodyII"/>
      </w:pPr>
      <w:r>
        <w:t xml:space="preserve">Rekvalifikace se uskuteční ve vzdělávacím programu: </w:t>
      </w:r>
      <w:r>
        <w:tab/>
      </w:r>
      <w:r>
        <w:br/>
      </w:r>
      <w:r>
        <w:rPr>
          <w:b/>
        </w:rPr>
        <w:t>19BN021 Personalista</w:t>
      </w:r>
    </w:p>
    <w:p>
      <w:pPr>
        <w:pStyle w:val="BoddohodyII"/>
      </w:pPr>
      <w:r>
        <w:t xml:space="preserve">Základní kvalifikační předpoklady potřebné pro zařazení do rekvalifikace, tj. minimální stupeň vzdělání, popřípadě další požadavky: </w:t>
      </w:r>
      <w:r>
        <w:tab/>
      </w:r>
      <w:r>
        <w:br/>
        <w:t>ÚSO s maturitou</w:t>
      </w:r>
      <w:r>
        <w:rPr>
          <w:szCs w:val="20"/>
        </w:rPr>
        <w:t xml:space="preserve"> (bez vyučení)</w:t>
      </w:r>
      <w:r>
        <w:t>, základní</w:t>
      </w:r>
      <w:r>
        <w:rPr>
          <w:szCs w:val="20"/>
        </w:rPr>
        <w:t xml:space="preserve"> znalost obsluhy osobního počítače</w:t>
      </w:r>
    </w:p>
    <w:p>
      <w:pPr>
        <w:pStyle w:val="BoddohodyII"/>
        <w:tabs>
          <w:tab w:val="left" w:pos="1440"/>
          <w:tab w:val="right" w:pos="7740"/>
          <w:tab w:val="left" w:pos="7853"/>
        </w:tabs>
      </w:pPr>
      <w:r>
        <w:t>Celkový rozsah rekvalifikace:</w:t>
      </w:r>
      <w:r>
        <w:tab/>
      </w:r>
      <w:r>
        <w:rPr>
          <w:b/>
        </w:rPr>
        <w:t xml:space="preserve">123,00 </w:t>
      </w:r>
      <w:r>
        <w:rPr>
          <w:b/>
        </w:rPr>
        <w:tab/>
        <w:t>hodin</w:t>
      </w:r>
      <w:r>
        <w:br/>
        <w:t>z toho:</w:t>
      </w:r>
      <w:r>
        <w:tab/>
        <w:t>- teoretická příprava:</w:t>
      </w:r>
      <w:r>
        <w:tab/>
        <w:t>120,00</w:t>
      </w:r>
      <w:r>
        <w:tab/>
        <w:t>hodin</w:t>
      </w:r>
      <w:r>
        <w:br/>
      </w:r>
      <w:r>
        <w:tab/>
        <w:t>- praktická příprava:</w:t>
      </w:r>
      <w:r>
        <w:tab/>
        <w:t>0,00</w:t>
      </w:r>
      <w:r>
        <w:tab/>
        <w:t>hodin</w:t>
      </w:r>
      <w:r>
        <w:br/>
      </w:r>
      <w:r>
        <w:lastRenderedPageBreak/>
        <w:tab/>
        <w:t>- ověření získaných znalostí a dovedností:</w:t>
      </w:r>
      <w:r>
        <w:tab/>
        <w:t>3,00</w:t>
      </w:r>
      <w:r>
        <w:tab/>
        <w:t>hodin</w:t>
      </w:r>
      <w:r>
        <w:br/>
        <w:t>Forma konání přípravy: Denní výuka</w:t>
      </w:r>
      <w:r>
        <w:rPr>
          <w:szCs w:val="20"/>
        </w:rPr>
        <w:t xml:space="preserve"> dopoledne i odpoledne</w:t>
      </w:r>
    </w:p>
    <w:p>
      <w:pPr>
        <w:pStyle w:val="BoddohodyII"/>
      </w:pPr>
      <w:r>
        <w:t xml:space="preserve">Místo konání rekvalifikace: </w:t>
      </w:r>
      <w:r>
        <w:tab/>
      </w:r>
      <w:r>
        <w:br/>
      </w:r>
      <w:proofErr w:type="spellStart"/>
      <w:r>
        <w:t>Bfz</w:t>
      </w:r>
      <w:proofErr w:type="spellEnd"/>
      <w:r>
        <w:t xml:space="preserve"> o</w:t>
      </w:r>
      <w:r>
        <w:rPr>
          <w:szCs w:val="20"/>
        </w:rPr>
        <w:t xml:space="preserve">.p.s.-003, nám. Soukenné </w:t>
      </w:r>
      <w:proofErr w:type="gramStart"/>
      <w:r>
        <w:rPr>
          <w:szCs w:val="20"/>
        </w:rPr>
        <w:t>č.p.</w:t>
      </w:r>
      <w:proofErr w:type="gramEnd"/>
      <w:r>
        <w:rPr>
          <w:szCs w:val="20"/>
        </w:rPr>
        <w:t> 115/6, Liberec III-Jeřáb, 460 07 Liberec 7</w:t>
      </w:r>
      <w:r>
        <w:t>, případně další místa určená rekvalifikačním zařízením.</w:t>
      </w:r>
    </w:p>
    <w:p>
      <w:pPr>
        <w:pStyle w:val="BoddohodyII"/>
        <w:tabs>
          <w:tab w:val="left" w:pos="2880"/>
          <w:tab w:val="right" w:pos="6120"/>
          <w:tab w:val="left" w:pos="6660"/>
        </w:tabs>
      </w:pPr>
      <w:r>
        <w:t>Doba rekvalifikace:</w:t>
      </w:r>
      <w:r>
        <w:tab/>
        <w:t>zahájení</w:t>
      </w:r>
      <w:r>
        <w:tab/>
      </w:r>
      <w:proofErr w:type="gramStart"/>
      <w:r>
        <w:rPr>
          <w:b/>
        </w:rPr>
        <w:t>1.7</w:t>
      </w:r>
      <w:r>
        <w:rPr>
          <w:szCs w:val="20"/>
        </w:rPr>
        <w:t>.2019</w:t>
      </w:r>
      <w:proofErr w:type="gramEnd"/>
      <w:r>
        <w:tab/>
      </w:r>
      <w:r>
        <w:rPr>
          <w:noProof/>
        </w:rPr>
        <w:t>v 8</w:t>
      </w:r>
      <w:r>
        <w:rPr>
          <w:noProof/>
          <w:szCs w:val="20"/>
        </w:rPr>
        <w:t>:00 hod.</w:t>
      </w:r>
      <w:r>
        <w:t xml:space="preserve"> </w:t>
      </w:r>
      <w:r>
        <w:br/>
      </w:r>
      <w:r>
        <w:tab/>
        <w:t>ukončení</w:t>
      </w:r>
      <w:r>
        <w:tab/>
      </w:r>
      <w:r>
        <w:rPr>
          <w:b/>
        </w:rPr>
        <w:t>31.7</w:t>
      </w:r>
      <w:r>
        <w:rPr>
          <w:szCs w:val="20"/>
        </w:rPr>
        <w:t>.2019</w:t>
      </w:r>
    </w:p>
    <w:p>
      <w:pPr>
        <w:pStyle w:val="BoddohodyII"/>
      </w:pPr>
      <w:r>
        <w:t xml:space="preserve">Způsob ověření získaných znalostí a dovedností: </w:t>
      </w:r>
      <w:r>
        <w:tab/>
      </w:r>
      <w:r>
        <w:br/>
        <w:t>Závěrečná zkouška</w:t>
      </w:r>
      <w:r>
        <w:rPr>
          <w:szCs w:val="20"/>
        </w:rPr>
        <w:t>, zkouška před autorizovanou osobou</w:t>
      </w:r>
      <w:r>
        <w:tab/>
      </w:r>
      <w:r>
        <w:br/>
        <w:t>Výstupní doklad:</w:t>
      </w:r>
      <w:r>
        <w:tab/>
      </w:r>
      <w:r>
        <w:br/>
        <w:t>Osvědčení o získání</w:t>
      </w:r>
      <w:r>
        <w:rPr>
          <w:szCs w:val="20"/>
        </w:rPr>
        <w:t xml:space="preserve"> profesní kvalifikace, Potvrzení o účasti v akreditovaném </w:t>
      </w:r>
      <w:proofErr w:type="spellStart"/>
      <w:r>
        <w:rPr>
          <w:szCs w:val="20"/>
        </w:rPr>
        <w:t>vzdělávácím</w:t>
      </w:r>
      <w:proofErr w:type="spellEnd"/>
      <w:r>
        <w:rPr>
          <w:szCs w:val="20"/>
        </w:rPr>
        <w:t xml:space="preserve"> programu</w:t>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10</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10 170</w:t>
      </w:r>
      <w:r>
        <w:tab/>
        <w:t>Kč</w:t>
      </w:r>
      <w:r>
        <w:tab/>
        <w:t xml:space="preserve">(slovy </w:t>
      </w:r>
      <w:proofErr w:type="spellStart"/>
      <w:r>
        <w:t>Desettisícstosedmdesát</w:t>
      </w:r>
      <w:proofErr w:type="spellEnd"/>
      <w:r>
        <w:t xml:space="preserve"> korun českých) </w:t>
      </w:r>
      <w:r>
        <w:tab/>
      </w:r>
      <w:r>
        <w:br/>
        <w:t xml:space="preserve">Celkové náklady rekvalifikace: </w:t>
      </w:r>
      <w:r>
        <w:tab/>
      </w:r>
      <w:r>
        <w:br/>
        <w:t>do výše</w:t>
      </w:r>
      <w:r>
        <w:rPr>
          <w:b/>
        </w:rPr>
        <w:tab/>
        <w:t xml:space="preserve"> 101 700</w:t>
      </w:r>
      <w:r>
        <w:tab/>
        <w:t>Kč</w:t>
      </w:r>
      <w:r>
        <w:tab/>
        <w:t xml:space="preserve">(slovy </w:t>
      </w:r>
      <w:proofErr w:type="spellStart"/>
      <w:r>
        <w:t>Stojedentisícsedmset</w:t>
      </w:r>
      <w:proofErr w:type="spellEnd"/>
      <w:r>
        <w:t xml:space="preserve">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proofErr w:type="gramStart"/>
      <w:r>
        <w:t>se účastník</w:t>
      </w:r>
      <w:proofErr w:type="gramEnd"/>
      <w:r>
        <w:t xml:space="preserve"> rekvalifikace nepodrobí závěrečnému ověření získaných znalostí a dovedností.</w:t>
      </w:r>
    </w:p>
    <w:p>
      <w:pPr>
        <w:pStyle w:val="BoddohodyIII"/>
        <w:numPr>
          <w:ilvl w:val="0"/>
          <w:numId w:val="0"/>
        </w:numPr>
        <w:ind w:left="709"/>
      </w:pPr>
      <w:r>
        <w:lastRenderedPageBreak/>
        <w:t>Poslední pracovní den kalendářního měsíce, pokud rekvalifikace probíhá, informovat Úřad práce o přítomnosti účastníků rekvalifikace.</w:t>
      </w:r>
    </w:p>
    <w:p>
      <w:pPr>
        <w:pStyle w:val="BoddohodyIII"/>
      </w:pPr>
      <w:r>
        <w:t>Neprodleně, nejpozději do 8 kalendářních dnů, písemně informovat Úřad práce, pokud vzniknou překážky, které znemožní pokračování rekvalifikace.</w:t>
      </w:r>
    </w:p>
    <w:p>
      <w:pPr>
        <w:pStyle w:val="BoddohodyIII"/>
      </w:pPr>
      <w:r>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V souladu s body II.8 a </w:t>
      </w:r>
      <w:proofErr w:type="gramStart"/>
      <w:r>
        <w:t>II.9 dohody</w:t>
      </w:r>
      <w:proofErr w:type="gramEnd"/>
      <w:r>
        <w:t xml:space="preserve">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30 kalendářních dnů.</w:t>
      </w:r>
    </w:p>
    <w:p>
      <w:pPr>
        <w:pStyle w:val="BoddohodyIII"/>
      </w:pPr>
      <w: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se zákonem č. 101/2000 Sb., o ochraně osobních údajů, ve znění pozdějších předpisů.</w:t>
      </w:r>
    </w:p>
    <w:p>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w:t>
      </w:r>
      <w:proofErr w:type="gramStart"/>
      <w:r>
        <w:t>10ti</w:t>
      </w:r>
      <w:proofErr w:type="gramEnd"/>
      <w:r>
        <w:t xml:space="preserve"> let se počítá od 1. ledna  roku následujícího po roce, v němž byl projekt ukončen.</w:t>
      </w:r>
    </w:p>
    <w:p>
      <w:pPr>
        <w:pStyle w:val="lnek"/>
        <w:keepNext/>
        <w:rPr>
          <w:szCs w:val="20"/>
        </w:rPr>
      </w:pPr>
      <w:r>
        <w:rPr>
          <w:szCs w:val="20"/>
        </w:rPr>
        <w:lastRenderedPageBreak/>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w:t>
      </w:r>
      <w:proofErr w:type="gramStart"/>
      <w:r>
        <w:t>II.3 dohody</w:t>
      </w:r>
      <w:proofErr w:type="gramEnd"/>
      <w:r>
        <w:t xml:space="preserve"> a předat přílohu č. 1 “Seznam účastníků rekvalifikace“, který je součástí této dohody rekvalifikačnímu zařízení nejpozději v den zahájení rekvalifikace.</w:t>
      </w:r>
    </w:p>
    <w:p>
      <w:pPr>
        <w:pStyle w:val="BoddohodyIV"/>
        <w:numPr>
          <w:ilvl w:val="0"/>
          <w:numId w:val="29"/>
        </w:numPr>
      </w:pPr>
      <w:r>
        <w:t>Uhradit na základě předložených faktur náklady rekvalifikace ve výši a způsobem dohodnutým v bodě </w:t>
      </w:r>
      <w:proofErr w:type="gramStart"/>
      <w:r>
        <w:t>III.9 dohody</w:t>
      </w:r>
      <w:proofErr w:type="gramEnd"/>
      <w:r>
        <w:t>. Konečnou fakturu uhradit po předložení závěrečného protokolu podle bodu </w:t>
      </w:r>
      <w:proofErr w:type="gramStart"/>
      <w:r>
        <w:t>III.8 dohody</w:t>
      </w:r>
      <w:proofErr w:type="gramEnd"/>
      <w:r>
        <w:t>. Úhradu provést na účet rekvalifikačního zařízení.</w:t>
      </w:r>
    </w:p>
    <w:p>
      <w:pPr>
        <w:pStyle w:val="lnek"/>
        <w:rPr>
          <w:szCs w:val="20"/>
        </w:rPr>
      </w:pPr>
      <w:r>
        <w:rPr>
          <w:szCs w:val="20"/>
        </w:rPr>
        <w:t>Článek V</w:t>
      </w:r>
    </w:p>
    <w:p>
      <w:pPr>
        <w:pStyle w:val="Nadpislnku"/>
      </w:pPr>
      <w:r>
        <w:t>Všeobecná ustanovení</w:t>
      </w:r>
    </w:p>
    <w:p>
      <w:pPr>
        <w:pStyle w:val="BoddohodyV"/>
        <w:numPr>
          <w:ilvl w:val="0"/>
          <w:numId w:val="18"/>
        </w:numPr>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numPr>
          <w:ilvl w:val="0"/>
          <w:numId w:val="18"/>
        </w:numPr>
      </w:pPr>
      <w:r>
        <w:t>Rekvalifikační zařízení poskytne písemně Úřadu práce na jeho žádost jakékoliv doplňující informace související s poskytnutím příspěvku, a to ve lhůtě stanovené Úřadem práce.</w:t>
      </w:r>
    </w:p>
    <w:p>
      <w:pPr>
        <w:pStyle w:val="BoddohodyV"/>
        <w:numPr>
          <w:ilvl w:val="0"/>
          <w:numId w:val="18"/>
        </w:numPr>
      </w:pPr>
      <w:r>
        <w:t>Změny této dohody budou učiněny jen se souhlasem obou smluvních stran písemným dodatkem k dohodě.</w:t>
      </w:r>
    </w:p>
    <w:p>
      <w:pPr>
        <w:pStyle w:val="BoddohodyV"/>
        <w:numPr>
          <w:ilvl w:val="0"/>
          <w:numId w:val="18"/>
        </w:numPr>
      </w:pPr>
      <w:r>
        <w:t>V případě zániku některé ze smluvních stran přecházejí její práva a povinnosti vyplývající z dohody na jejího právního nástupce.</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Dohoda nabývá platnosti podpisem obou smluvních stran. Je sepsána ve dvou vyhotoveních, z nichž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Pr>
        <w:pStyle w:val="lnek"/>
        <w:rPr>
          <w:szCs w:val="20"/>
        </w:rPr>
      </w:pPr>
      <w:r>
        <w:rPr>
          <w:szCs w:val="20"/>
        </w:rPr>
        <w:t>Článek VI</w:t>
      </w:r>
    </w:p>
    <w:p>
      <w:pPr>
        <w:pStyle w:val="Nadpislnku"/>
      </w:pPr>
      <w:r>
        <w:t>Další ujednání</w:t>
      </w:r>
    </w:p>
    <w:p>
      <w:r>
        <w:rPr>
          <w:b/>
        </w:rPr>
        <w:tab/>
      </w:r>
    </w:p>
    <w:p>
      <w:pPr>
        <w:rPr>
          <w:b/>
        </w:rPr>
      </w:pPr>
    </w:p>
    <w:p/>
    <w:p>
      <w:r>
        <w:t>Úřad práce</w:t>
      </w:r>
      <w:r>
        <w:rPr>
          <w:szCs w:val="20"/>
        </w:rPr>
        <w:t xml:space="preserve"> České republiky - kontaktní pracoviště Liberec</w:t>
      </w:r>
      <w:r>
        <w:t xml:space="preserve"> dne </w:t>
      </w:r>
      <w:proofErr w:type="gramStart"/>
      <w:r>
        <w:t>20.6.2019</w:t>
      </w:r>
      <w:bookmarkStart w:id="0" w:name="_GoBack"/>
      <w:bookmarkEnd w:id="0"/>
      <w:proofErr w:type="gramEnd"/>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rPr>
          <w:rFonts w:cs="Arial"/>
          <w:szCs w:val="20"/>
        </w:rPr>
        <w:br w:type="column"/>
        <w:t>..................................................................</w:t>
      </w: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p>
    <w:p>
      <w:pPr>
        <w:keepLines/>
        <w:tabs>
          <w:tab w:val="left" w:pos="2160"/>
        </w:tabs>
        <w:rPr>
          <w:rFonts w:cs="Arial"/>
          <w:szCs w:val="20"/>
        </w:rPr>
      </w:pPr>
      <w:r>
        <w:rPr>
          <w:rFonts w:cs="Arial"/>
          <w:szCs w:val="20"/>
        </w:rPr>
        <w:t>Telefon:</w:t>
      </w:r>
      <w:r>
        <w:rPr>
          <w:rFonts w:cs="Arial"/>
          <w:szCs w:val="20"/>
        </w:rPr>
        <w:tab/>
      </w:r>
    </w:p>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LBA-BN-21/2019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LBA-BN-21/2019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B359-09EA-4803-9230-A02CD5F1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4</TotalTime>
  <Pages>4</Pages>
  <Words>1438</Words>
  <Characters>9275</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10692</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Adamec</dc:creator>
  <cp:lastModifiedBy>Eva Friedrichová</cp:lastModifiedBy>
  <cp:revision>2</cp:revision>
  <dcterms:created xsi:type="dcterms:W3CDTF">2019-06-27T04:27:00Z</dcterms:created>
  <dcterms:modified xsi:type="dcterms:W3CDTF">2019-06-27T09:48:00Z</dcterms:modified>
</cp:coreProperties>
</file>